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2022年度句容市商务局单位预算公开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（一）贯彻执行国家关于内外贸易和国际经济合作的方针政策、法律法规，拟订实施相关规划，监测分析商务运行状况并提出政策建议，协调、组织全市商务发展战略的实施。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（二）指导协调和管理全市外商投资工作，拟订外商投资政策和改革方案并组织实施，指导全市外商投资审批、备案工作；监督检查外商投资企业执行有关法律法规的情况；联系对接园区建设工作。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贯彻实施国家对香港、澳门特别行政区和台湾地区的经贸规划、政策，指导我市对香港、澳门特别行政区及台湾地区贸易工作，协调港、澳、台商投资管理工作，组织对香港、澳门特别行政区和台湾地区的经济交流与合作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全市货物进出口贸易管理工作。贯彻执行国家、省市相关货物进出口贸易政策以及参与拟定地方对外贸易发展规划及政策，指导贸易促进工作和贸易体系建设。承接和提供与货物进出口贸易相关的业务咨询和服务。组织境内外展销工作；规范对外贸易经营秩序，推进贸易标准化与便利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（五）组织协调我市企业发起或应对反倾销、反补贴、保障措施调查及其他与进出口公平贸易相关工作。建立进出口公平贸易预警机制，指导协调产业安全应对工作。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全市对外经济合作工作。贯彻执行国家、省市相关对外合作政策，以及参与拟订实施我市相关对外经济合作规划及政策；承接和提供与境外投资、对外工程承包、对外劳务合作相关的业务咨询和服务；组织协调境外劳务纠纷和突发事件的应急处置；推动构建对外投资合作促进和服务保障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牵头拟订全市服务贸易发展规划，指导服务贸易领域的对外开放。会同有关部门拟订促进服务出口和服务外包发展的政策措施并组织实施，推动服务外包平台建设。执行国家对外技术贸易、鼓励技术政策，依法监督全市技术引进、国家限制出口技术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研究拟订和落实全市口岸工作政策和开放规划、计划；负责全市电子口岸和国际贸易“单一窗口”“大通关”协调服务工作；负责协调全市口岸通关便利化；协调口岸查验机构需要地方政府解决的问题；负责组织协调跨区域口岸合作与交流。协调海关、外汇、税务、银行、出口信保等部门与商务工作有关的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（九）拟订全市内贸发展规划，促进城乡市场发展。指导城乡商业网点、商品交易市场（现货交易类）、菜市场布局规划，推进城乡商业体系建设，组织实施农村现代流通网络工程。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（十）负责推进流通产业结构调整，指导流通企业改革、 商贸服务业发展，提出促进商贸中小企业发展的政策建议，推动流通标准化和连锁经营、商业特许经营、物流配送等现。代流通方式的发展。拟订规范市场运行、流通秩序的政策，负责商务行政执法的业务指导。推动商务领域信用建设，指导商业信用销售，建立市场诚信公共服务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（十一）统计监测分析市场运行和商品供求情况，进行预测预警和信息引导，组织实施商贸领域消费促进工作。按有关规定对成品油流通进行监督管理。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（十二）研究提出推进全市电子商务发展的政策意见，会同有关部门拟订全市电子商务发展规划。落实商贸服务领域电子商务发展工作。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（十三）牵头拟订全市产业招引规划、计划，负责协调和指导全市产业招引工作，承担重大产业项目的招商和跟踪帮办服务工作，参与制定全市产业投资促进规划和改善投资环境的政策措施。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（十五）职能转变。贯彻落实市委、市政府决策部署，进一步转变职能，强化服务，简政放权，放管结合，优化营商环境，加强事中事后监管，推进商务依法行政和法治化建设，推动商务高质量发展。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与市市场监督管理局的有关职责分工。市商务局牵头推进肉类蔬菜等重要产品追溯体系建设工作，负责完善菜市场布局规划和建设规范，负责拟订药品流通发展规划和政策。市市场监督管理局负责药品流通环节的监督管理，配合执行药品流通发展规划和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办公室，国际经济合作科，外国投资管理科，市场体系建设科，商贸流通发展科。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本单位下属单位包括:句容市招商中心，句容市再生资源管理办公室。</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（一）项目招引方面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拓宽招商渠道。把南京作为招引主攻方向,深度对接江宁、仙林、麒麟和江北新区等地的链主企业、配套企业，有选择性地承接南京产业转移，开展专业化定向招商；将传统招商与新型招商方式相结合，大力开展委托招商、代理招商、资本招商，提升招商覆盖面和成功率。二是整合我市资源。协助板块进一步盘活存量资源，探索低效资源项目并购、股权转让等新模式，最大限度提升企业活力，提高资产产出效益；建立全市项目信息共享平台，制定我市招商信息流转共享制度和“飞地模式”，做到招商信息共享，招商成果共享。三是提升项目质效。充分发挥招商流动红旗作用，围绕“项目签约是前提、项目开工是关键、项目投产是目标”的导向，继续抓好项目产评签约、项目落地、开工列统、往年项目开工列统率等指标，强化项目全生命周期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（二）外资工作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做好选题，重点推进。围绕“一福地•四名城”战略，放大区位优势，通过专项主题招商着力引进1-2家重点领域外资制造业，引增量；服务好现有存量企业，做好以商引商，引导现有外资产业延链、补链、强链，扩存量。二是保障配套，着力推进。因资源要素问题，导致立邦新型材料、中德智能制造业产业园等项目推进较慢，建议推进计划中明确要素保障时间，有重点推进；同时，梳理一些如宝华吾悦、中建国际等有外资背景的地产、城建项目，促成外资到账。三是强化责任，突出重点。强化板块指标调度责任，加大项目到账督查，及早将指标细化到具体项目，突出重点板块、重点产业、重点项目，查找着力点，重点推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（三）外贸方面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常态帮扶重点企业。加强与板块的联系，从市场开拓、品牌建设和风险防空等方面进行研究，重点解决企业信用保险、多元化市场等方面的问题，培育本地的规模性根植性外贸企业。二是实现本地产品本地出口。着力解决外地外贸公司代理、数据外流问题（如苏美达郭庄工厂、科创电器开发区工厂等），今年我局已经梳理79家企业、8个园区作为外贸、外包的挖潜点并推送给板块，下一步将调度板块力量争取数据列统。三是挖掘新增长点。跟踪服务半导体项目，跟踪协调华电煤炭数据落地问题，做到应统尽统；积极向市委市政府争取地方配套政策，缩小与周边城市的差距，争取数据回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（四）外包方面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分解指标，挖掘潜力。继续将外包执行额纳入考核“硬指标”，引导开发区、郭庄、边城等重点板块进一步发挥支撑带动作用；摸排服务外包新增企业和高质量企业，重点推进省工程质量检测中心、华祥耀半导体等的入库。二是对标找差，建设园区。对照服务外包示范区的建设要求，增加服务外包企业数和执行额，鼓励高新技术企业、技术先进型企业、认证企业的加入；重视园区载体的打造，着力建设省高新技术创业园和光明中小企业科创园。三是用足资金，强化服务。合理有效利用省级切块资金，积极研究申请国家级服务外包资金，出台市级配套资金的使用办法；对企业和板块工作人员开展深度培训，最大化争取外包统计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（五）电子商务方面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推动电商体系建设。发挥市级公服中心指挥枢纽作用，统筹推进工业品下乡和农产品进城、物流快递、电商扶贫、运营指导、人员培训等服务，积极动员本地传统生产和流通企业参与示范县建设；加大对跨境电商的研究，推动我市传统产业与跨境电商相结合。二是完善物流服务体系。尽快开通农村物流配送3、4号线，加强村级站点管理，实现包裹“统仓、统进、统配、统送”，达到24小时配送时效；对82个镇村站点制定差异化提升方案，开发贴合乡村需求的各类增值服务功能。三是助力乡村振兴。在站点设置、品牌培育及产品上行上对我市经济薄弱村给予倾斜，在人员培训、就业用工、创业孵化上对贫困户给予倾斜；建立陕西特色农村产品扶贫专区，创新对口蒲城扶贫工作模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（六）商贸流通发展方面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繁荣消费市场。全面落实省市商务部门促进消费各项措施，深入开展“消费促进月”等促销活动；加快推进商品交易市场网络销售，促进传统零售业与网上零售协调发展，扩大便利消费市场份额。二是做好安全生产。重点做好商贸服务行业燃气使用安全专项治理，以“三个必须”为准绳，全面落实安全生产责任制；以“三防”到位为基础，全面加强安全风险管控；以宣传教育为引导，全面提高安全防范意识。三是拓展发展空间。抓住宁镇扬一体化、宁句城际开通、南沿江高铁建设的契机，加强规划引导，与南京等大城市错位发展，加强配套商业载体建设，优化商业空间布局，引导市场主体有序建设、健康发展。</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句容市商务局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句容市商务局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481.71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389.14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62.57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481.71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481.71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481.71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481.71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481.71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481.71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481.71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063063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句容市商务局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481.71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481.71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481.71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481.71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328.71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国内贸易管理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21606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涉外发展服务支出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2160699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其他涉外发展服务支出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句容市商务局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481.71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481.71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481.71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389.14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62.57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481.71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481.71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481.71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304.15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国内贸易管理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21606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涉外发展服务支出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2160699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其他涉外发展服务支出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句容市商务局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328.71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304.15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481.71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328.71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304.15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国内贸易管理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21606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涉外发展服务支出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2160699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其他涉外发展服务支出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328.71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304.15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句容市商务局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句容市商务局2022年度收入、支出预算总计481.71万元，与上年相比收、支预算总计各增加51.83万元，增长12.06%。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（一）收入预算总计481.71万元。包括：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1．本年收入合计481.71万元。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（1）一般公共预算拨款收入481.71万元，与上年相比增加51.83万元，增长12.06%。主要原因是人员经费的增加和新增服务外包产业发展资金。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（二）支出预算总计481.71万元。包括：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1．本年支出合计481.71万元。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（1）一般公共服务支出（类）支出389.14万元，主要用于本单位人员经费和日常办公经费。与上年相比增加12.25万元，增长3.25%。主要原因是人员经费的增加和新增服务外包产业发展资金。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（2）商业服务业等支出（类）支出30万元，主要用于服务外包产业发展扶持。与上年相比增加30万元（去年预算数为0万元，无法计算增减比率）。主要原因是本年度新增服务外包产业发展资金。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（3）住房保障支出（类）支出62.57万元，主要用于职工住房公积金和发放住房租金补贴。与上年相比增加9.58万元，增长18.08%。主要原因是缴存基数增加。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句容市商务局2022年收入预算合计481.71万元，包括本年收入481.71万元，上年结转结余0万元。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本年一般公共预算收入481.71万元，占100%；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句容市商务局2022年支出预算合计481.71万元，其中：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基本支出328.71万元，占68.24%；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项目支出153万元，占31.76%；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句容市商务局2022年度财政拨款收、支总预算481.71万元。与上年相比，财政拨款收、支总计各增加51.83万元，增长12.06%。主要原因是人员经费的增加和新增服务外包产业发展资金。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句容市商务局2022年财政拨款预算支出481.71万元，占本年支出合计的100%。与上年相比，财政拨款支出增加51.83万元，增长12.06%。主要原因是人员经费的增加和新增服务外包产业发展资金。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1.商贸事务（款）行政运行（项）支出266.14万元，与上年相比增加48.28万元，增长22.16%。主要原因是人员经费的增加。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2.商贸事务（款）一般行政管理事务（项）支出28万元，与上年相比减少6.03万元，减少17.72%。主要原因是压缩了验资费。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3.商贸事务（款）国内贸易管理（项）支出15万元，与上年相比减少20万元，减少57.14%。主要原因是压缩了农贸市场整治经费。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4.商贸事务（款）招商引资（项）支出60万元，与上年相比减少10万元，减少14.29%。主要原因是压缩招商经费。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5.商贸事务（款）其他商贸事务支出（项）支出20万元，与上年预算数相同。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（二）商业服务业等支出（类）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涉外发展服务支出（款）其他涉外发展服务支出（项）支出30万元，与上年相比增加30万元（去年预算数为0万元，无法计算增减比率）。主要原因是本年度新增服务外包产业发展资金。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1.住房改革支出（款）住房公积金（项）支出20.4万元，与上年相比增加3.32万元，增长19.44%。主要原因是住房公积金基数的增加。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2.住房改革支出（款）提租补贴（项）支出42.17万元，与上年相比增加6.26万元，增长17.43%。主要原因是提租补贴基数的增加。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句容市商务局2022年度财政拨款基本支出预算328.71万元，其中：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304.15万元。主要包括：基本工资、津贴补贴、奖金、机关事业单位基本养老保险缴费、职业年金缴费、职工基本医疗保险缴费、公务员医疗补助缴费、其他社会保障缴费、住房公积金、离休费、退休费、退职（役）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（二）公用经费24.56万元。主要包括：办公费、公务接待费、工会经费、福利费、其他交通费用。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句容市商务局2022年一般公共预算财政拨款支出预算481.71万元，与上年相比增加51.83万元，增长12.06%。主要原因是人员经费的增加和新增服务外包产业发展资金。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句容市商务局2022年度一般公共预算财政拨款基本支出预算328.71万元，其中：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304.15万元。主要包括：基本工资、津贴补贴、奖金、机关事业单位基本养老保险缴费、职业年金缴费、职工基本医疗保险缴费、公务员医疗补助缴费、其他社会保障缴费、住房公积金、离休费、退休费、退职（役）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（二）公用经费24.56万元。主要包括：办公费、公务接待费、工会经费、福利费、其他交通费用。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度一般公共预算拨款安排的“三公”经费预算支出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2022年本单位一般公共预算机关运行经费预算支出24.56万元。与上年相比减少0.18万元，减少0.73%。主要原因是其他交通费用的缩减。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2022年度，本单位整体支出纳入绩效目标管理，涉及四本预算资金481.71万元；本单位共6个项目纳入绩效目标管理，涉及四本预算资金合计153万元，占四本预算资金(基本支出除外)总额的比例为100%。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八、一般公共服务支出(类)商贸事务(款)行政运行(项)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九、一般公共服务支出(类)商贸事务(款)一般行政管理事务(项)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十、一般公共服务支出(类)商贸事务(款)国内贸易管理(项)</w:t>
      </w:r>
      <w:r>
        <w:rPr>
          <w:rFonts w:ascii="仿宋" w:hAnsi="仿宋" w:cs="仿宋" w:eastAsia="仿宋"/>
          <w:b w:val="true"/>
        </w:rPr>
        <w:t>：</w:t>
      </w:r>
      <w:r>
        <w:rPr>
          <w:rFonts w:hint="eastAsia" w:ascii="仿宋" w:hAnsi="仿宋" w:eastAsia="仿宋" w:cs="仿宋"/>
        </w:rPr>
        <w:t>反映商贸部门国内贸易管理方面的支出。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十一、一般公共服务支出(类)商贸事务(款)招商引资(项)</w:t>
      </w:r>
      <w:r>
        <w:rPr>
          <w:rFonts w:ascii="仿宋" w:hAnsi="仿宋" w:cs="仿宋" w:eastAsia="仿宋"/>
          <w:b w:val="true"/>
        </w:rPr>
        <w:t>：</w:t>
      </w:r>
      <w:r>
        <w:rPr>
          <w:rFonts w:hint="eastAsia" w:ascii="仿宋" w:hAnsi="仿宋" w:eastAsia="仿宋" w:cs="仿宋"/>
        </w:rPr>
        <w:t>反映用于招商引资、优化经济环境等方面的支出。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十二、一般公共服务支出(类)商贸事务(款)其他商贸事务支出(项)</w:t>
      </w:r>
      <w:r>
        <w:rPr>
          <w:rFonts w:ascii="仿宋" w:hAnsi="仿宋" w:cs="仿宋" w:eastAsia="仿宋"/>
          <w:b w:val="true"/>
        </w:rPr>
        <w:t>：</w:t>
      </w:r>
      <w:r>
        <w:rPr>
          <w:rFonts w:hint="eastAsia" w:ascii="仿宋" w:hAnsi="仿宋" w:eastAsia="仿宋" w:cs="仿宋"/>
        </w:rPr>
        <w:t>反映除上述项目以外其他用于商贸事务方面的支出。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十三、商业服务业等支出(类)涉外发展服务支出(款)其他涉外发展服务支出(项)</w:t>
      </w:r>
      <w:r>
        <w:rPr>
          <w:rFonts w:ascii="仿宋" w:hAnsi="仿宋" w:cs="仿宋" w:eastAsia="仿宋"/>
          <w:b w:val="true"/>
        </w:rPr>
        <w:t>：</w:t>
      </w:r>
      <w:r>
        <w:rPr>
          <w:rFonts w:hint="eastAsia" w:ascii="仿宋" w:hAnsi="仿宋" w:eastAsia="仿宋" w:cs="仿宋"/>
        </w:rPr>
        <w:t>反映除上述项目以外其他用于涉外发展服务方面的支出。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句容市商务局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