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2022年度句容市公安局单位预算公开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执行党和国家关于公安工作的方针政策和法律法规，提出政策建议，组织实施全市公安工作；参与维护国内安全和社会稳定；依法实施公安侦查工作；依法实施治安行政管贯彻执行党和国家关于公安工作的方针政策和法律法规，提出政策建议，组织实施全市公安工作；参与维护国内安全和社会稳定；依法实施公安侦查工作；依法实施治安行政管理工作；依法实施消防行政管理，依据预案、规定组织或参与全市应急抢险救援工作；依法维护道路交通安全和交通秩序，依法实施对公共信息网络的安全监察工作；负责依法承担的执行刑罚工作；负责全市公安科技和装备建设；依法管理全市公安队伍；承办市委、市政府和上级公安机关交办的其他事项。理工作；依法实施消防行政管理，依据预案、规定组织或参与全市应急抢险救援工作；依法维护道路交通安全和交通秩序，依法实施对公共信息网络的安全监察工作；负责依法承担的执行刑罚工作；负责全市公安科技和装备建设；依法管理全市公安队伍；承办市委、市政府和上级公安机关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指挥中心、政保大队、治安大队、交警大队、刑侦大队、经侦大队、禁毒大队、巡防大队、网监大队、法制大队、出入境管理大队、督察大队、食药环大队、政治处、警务保障室、审计室、工会、团委、妇委会、直属派出所、华阳派出所、开发区派出所、黄梅派出所、白兔派出所、宝华派出所、石狮派出所、后白派出所、天王派出所、茅山派出所、茅山风景区派出所、赤山湖派出所、边城派出所、郭庄派出所、下蜀派出所、森林公安派出所、拘留所和看守所。</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是党的二十大召开之年，是全面贯彻党的十九届六中全会、省市党代会精神、推进现代化建设的关键之年。新节点开启新希望，新征程承载新梦想。立足新发展阶段，贯彻新发展理念，我们必须认清发展形势，顺势而为、借势而进、造势而起，把争先进位写具体，让追赶超越成现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（一）展望前路，我们当常怀强国之志，提升发展贡献度。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（二）展望前路，我们当常怀佑民之志，干出群众满意度。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（三）展望前路，我们当常怀松柏之志，敢于打破舒适度。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（四）展望前路，我们当常怀鲲鹏之志，跑出公安加速度。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（五）展望前路，我们当常怀墨梅之志，保持“赶考”清醒度。</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句容市公安局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句容市公安局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28,514.39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25,810.95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2,703.44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28,514.39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28,514.39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28,514.39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28,514.39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28,514.39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28,514.39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28,514.39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101101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句容市公安局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28,514.39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28,514.39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28,514.39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28,514.39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23,101.99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5,412.40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25,810.95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20,398.55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5,412.40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公安</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25,810.95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20,398.55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5,412.40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22,548.65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20,398.55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执法办案</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特别业务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1,086.89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1,086.89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句容市公安局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28,514.39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28,514.39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28,514.39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25,810.95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2,703.44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28,514.39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28,514.39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28,514.39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23,101.99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21,422.06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1,679.93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5,412.40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25,810.95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5,412.40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公安</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25,810.95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5,412.40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22,548.65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执法办案</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特别业务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2,703.44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2,703.44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2,703.44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2,703.44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1,086.89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1,086.89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1,086.89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句容市公安局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23,101.99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21,422.06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21,170.93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2,018.87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2,018.87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4,749.82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4,749.82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4,399.65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4,399.65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7,039.47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7,039.47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28,514.39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23,101.99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21,422.06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1,679.93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5,412.40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25,810.95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20,398.55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5,412.40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公安</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25,810.95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20,398.55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5,412.40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22,548.65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20,398.55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执法办案</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特别业务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1,086.89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1,086.89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1,086.89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23,101.99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21,422.06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21,170.93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2,018.87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2,018.87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4,749.82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4,749.82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4,399.65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4,399.65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7,039.47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7,039.47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1,679.93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1,679.93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652.36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句容市公安局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句容市公安局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软件运维服务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50.60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句容市公安局2022年度收入、支出预算总计28,514.39万元，与上年相比收、支预算总计各增加4,616万元，增长19.32%。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（一）收入预算总计28,514.39万元。包括：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1．本年收入合计28,514.39万元。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（1）一般公共预算拨款收入28,514.39万元，与上年相比增加4,616万元，增长19.32%。主要原因是人员增加、住房保障缴费基数增加、项目新增造成的。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（二）支出预算总计28,514.39万元。包括：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1．本年支出合计28,514.39万元。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（1）公共安全支出（类）支出25,810.95万元，主要用于公安业务基本支出和项目支出。与上年相比增加4,160.99万元，增长19.22%。主要原因是新进人员以及新增项目造成的。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（2）住房保障支出（类）支出2,703.44万元，主要用于住房公积金及民警住房补贴发放。与上年相比增加455万元，增长20.24%。主要原因是人员新增以及住房保障缴费基数增加。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句容市公安局2022年收入预算合计28,514.39万元，包括本年收入28,514.39万元，上年结转结余0万元。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本年一般公共预算收入28,514.39万元，占100%；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句容市公安局2022年支出预算合计28,514.39万元，其中：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基本支出23,101.99万元，占81.02%；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项目支出5,412.4万元，占18.98%；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句容市公安局2022年度财政拨款收、支总预算28,514.39万元。与上年相比，财政拨款收、支总计各增加4,616万元，增长19.32%。主要原因是人员增加、住房保障缴费基数增加、项目新增造成的。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句容市公安局2022年财政拨款预算支出28,514.39万元，占本年支出合计的100%。与上年相比，财政拨款支出增加4,616万元，增长19.32%。主要原因是人员增加、住房保障缴费基数增加、项目新增造成的。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1.公安（款）行政运行（项）支出22,548.65万元，与上年相比增加4,165.99万元，增长22.66%。主要原因是人员增加、住房保障缴费基数增加造成的。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2.公安（款）一般行政管理事务（项）支出2,340万元，与上年相比增加50万元，增长2.18%。主要原因是部分项目预算功能科目调整。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3.公安（款）信息化建设（项）支出742.3万元，与上年预算数相同。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4.公安（款）执法办案（项）支出35万元，与上年相比减少50万元，减少58.82%。主要原因是部分项目预算功能科目调整。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5.公安（款）特别业务（项）支出10万元，与上年预算数相同。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6.公安（款）其他公安支出（项）支出135万元，与上年相比减少5万元，减少3.57%。主要原因是压缩经费开支。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1.住房改革支出（款）住房公积金（项）支出1,086.89万元，与上年相比增加182.31万元，增长20.15%。主要原因是人员增加以及人员住房缴费基数增加。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2.住房改革支出（款）提租补贴（项）支出1,616.55万元，与上年相比增加272.7万元，增长20.29%。主要原因是人员增加以及人员住房缴费基数增加。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句容市公安局2022年度财政拨款基本支出预算23,101.99万元，其中：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21,422.06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（二）公用经费1,679.93万元。主要包括：办公费、水费、电费、邮电费、差旅费、会议费、培训费、公务接待费、工会经费、福利费、公务用车运行维护费、其他交通费用、其他商品和服务支出。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句容市公安局2022年一般公共预算财政拨款支出预算28,514.39万元，与上年相比增加4,616万元，增长19.32%。主要原因是人员增加、住房保障缴费基数增加、项目新增造成的。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句容市公安局2022年度一般公共预算财政拨款基本支出预算23,101.99万元，其中：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21,422.06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（二）公用经费1,679.93万元。主要包括：办公费、水费、电费、邮电费、差旅费、会议费、培训费、公务接待费、工会经费、福利费、公务用车运行维护费、其他交通费用、其他商品和服务支出。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一般公共预算拨款安排的“三公”经费预算支出中，因公出国（境）费支出0万元，占“三公”经费的0%；公务用车购置及运行维护费支出345.6万元，占“三公”经费的77.56%；公务接待费支出100万元，占“三公”经费的22.44%。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2．公务用车购置及运行维护费预算支出345.6万元。其中：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（2）公务用车运行维护费预算支出345.6万元，比上年预算增加3.2万元，主要原因是车辆新增。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句容市公安局2022年度一般公共预算拨款安排的会议费预算支出10万元，与上年预算数相同。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句容市公安局2022年度一般公共预算拨款安排的培训费预算支出60万元，与上年预算数相同。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2022年本单位一般公共预算机关运行经费预算支出1,679.93万元。与上年相比增加87.7万元，增长5.51%。主要原因是人员增加导致办公经费增加。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2022年度政府采购支出预算总额403.6万元，其中：拟采购货物支出42.3万元、拟采购工程支出0万元、拟购买服务支出361.3万元。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108辆，其中，一般公务用车0辆、执法执勤用车108辆、特种专业技术用车0辆、业务用车0辆、其他用车0辆等。单价50万元（含）以上的通用设备12台（套），单价100万元（含）以上的专用设备3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2022年度，本单位整体支出纳入绩效目标管理，涉及四本预算资金28,514.39万元；本单位共14个项目纳入绩效目标管理，涉及四本预算资金合计5,412.4万元，占四本预算资金(基本支出除外)总额的比例为100%。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八、公共安全支出(类)公安(款)行政运行(项)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九、公共安全支出(类)公安(款)一般行政管理事务(项)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十、公共安全支出(类)公安(款)信息化建设(项)</w:t>
      </w:r>
      <w:r>
        <w:rPr>
          <w:rFonts w:ascii="仿宋" w:hAnsi="仿宋" w:cs="仿宋" w:eastAsia="仿宋"/>
          <w:b w:val="true"/>
        </w:rPr>
        <w:t>：</w:t>
      </w:r>
      <w:r>
        <w:rPr>
          <w:rFonts w:hint="eastAsia" w:ascii="仿宋" w:hAnsi="仿宋" w:eastAsia="仿宋" w:cs="仿宋"/>
        </w:rPr>
        <w:t>反映各级公安机关用于非涉密的信息网络建设和运行维护相关支出。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十一、公共安全支出(类)公安(款)执法办案(项)</w:t>
      </w:r>
      <w:r>
        <w:rPr>
          <w:rFonts w:ascii="仿宋" w:hAnsi="仿宋" w:cs="仿宋" w:eastAsia="仿宋"/>
          <w:b w:val="true"/>
        </w:rPr>
        <w:t>：</w:t>
      </w:r>
      <w:r>
        <w:rPr>
          <w:rFonts w:hint="eastAsia" w:ascii="仿宋" w:hAnsi="仿宋" w:eastAsia="仿宋" w:cs="仿宋"/>
        </w:rPr>
        <w:t>反映公安机关从事行政执法、刑事司法及侦查办案等相关活动的支出。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十二、公共安全支出(类)公安(款)特别业务(项)</w:t>
      </w:r>
      <w:r>
        <w:rPr>
          <w:rFonts w:ascii="仿宋" w:hAnsi="仿宋" w:cs="仿宋" w:eastAsia="仿宋"/>
          <w:b w:val="true"/>
        </w:rPr>
        <w:t>：</w:t>
      </w:r>
      <w:r>
        <w:rPr>
          <w:rFonts w:hint="eastAsia" w:ascii="仿宋" w:hAnsi="仿宋" w:eastAsia="仿宋" w:cs="仿宋"/>
        </w:rPr>
        <w:t>反映公安机关开展特别业务工作的相关支出。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十三、公共安全支出(类)公安(款)其他公安支出(项)</w:t>
      </w:r>
      <w:r>
        <w:rPr>
          <w:rFonts w:ascii="仿宋" w:hAnsi="仿宋" w:cs="仿宋" w:eastAsia="仿宋"/>
          <w:b w:val="true"/>
        </w:rPr>
        <w:t>：</w:t>
      </w:r>
      <w:r>
        <w:rPr>
          <w:rFonts w:hint="eastAsia" w:ascii="仿宋" w:hAnsi="仿宋" w:eastAsia="仿宋" w:cs="仿宋"/>
        </w:rPr>
        <w:t>反映除上述项目以外其他用于公安方面的支出。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句容市公安局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