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2022年度句容市文联部门部门预算公开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句容市文学艺术界联合会是市委、市政府联系文艺界的桥梁和纽带，是各全市性文艺家协会的联合组织，实现团体会员制。句容市文学艺术界联合会由中共句容市委领导。其机关主要任务是：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（一）贯彻落实党的文艺方针，开展同各市级文艺家协会的联络、协调、服务工作，听取和反映文艺界的情况和意见。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（二）组织召开市文学艺术界联合会和全市性文艺家协会代表大会、委员会、理事会会议；组织召开全市文学艺术界联合会系统的工作和学术研讨等会议。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（三）组织团体会员的文艺创作和评论、学术交流、人才培训和调研工作；组织或协调有关部门开展相关文艺创作的重大评奖活动。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（四）主管、主办文学艺术界联合会市一级文艺报刊和杂志。</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（五）协同有关部门联系、组织中外文艺界的国际文化交流活动，开展同港澳台文艺界的联系和交流。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（六）负责对团体会员的服务工作，帮助各团体会员改善文艺家的工作条件。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（七）承担市委、市政府和上级文学艺术界联合会交办的其它事项。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句容市文联部门（本级）。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句容市文联将认真学习贯彻习近平总书记在中国文联十一大、中国作协十大开幕式上的重要讲话精神，坚持以人民为中心的工作导向，突出树品牌、创精品、出人才的中心任务，奋力开创全市文艺事业发展新局面。着力抓好以下几方面重点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一、以塑品牌为目标抓活动，唱响高质量发展主旋律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按照市委统一部署和市委宣传部的要求，围绕推进现代化建设、党的二十大召开，精心组织策划书画展、摄影展、文艺汇演等系列主题鲜明的文艺活动，引导广大文艺工作者唱响高质量发展的主旋律。在活动组织上，实行项目化运作、品牌化建设。采取政府主导、统一布局、社会参与等，从动议策划、形成方案、特别是经费来源提前谋划，统筹考虑，努力打造有特色有声势有影响的品牌文艺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二、以出精品为目标抓平台，推进文艺惠民走向深入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市文联将结合新时代文明实践要求，积极推动文艺惠民，把满足人民群众精神文化需求作为工作的根本出发点和落脚点。一是推进常态服务。积极承接、主动参与“文艺轻骑兵”活动，承办“句容福地文化艺术节”相关活动，持续推进文艺“四进”活动，组织开展“美丽乡村容城行”——首届“文旅杯”书画篆刻大赛、全市妇女篆刻艺术培训、首届教师书画作品展、名家绘画邀请展、“走进乡村”摄影创作作品展、“我最满意的一张照片”摄影大赛、全民阅读品牌活动金秋诗歌大型朗诵会、“童真童趣”少儿书法大赛、少儿舞蹈大赛、器乐大赛以及美术四季采风、文学采风创作等。二是推出创新项目。联合教育局启动“艺心向党”——传统文化进校园项目，通过整合资源、新增阵地等方式形成工作合力，推动书法、戏曲、篆刻等中华优秀传统文化在广大中小学生中传承弘扬。三是打造惠民品牌。持续举办“名家讲坛”公益活动，邀请省级、国家级知名专家学者来句授课，提高广大群众文艺鉴赏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三、以促成长为目标抓培养，打造文艺人才队伍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出作品、出人才”始终是文联工作的重要目标任务，而培养锻造一支高水平、高层次的文艺人才队伍是推动文艺精品创作的根本保障和必然要求。2022年，我们将健全会员组织网络体系，完善文艺人才库建设，重点抓好省和国家级会员的发展工作。一是搭建学习展示平台。定期举办培训讲座，组织观摩学习，根据不同门类文艺人才特点，积极为文艺家提供深入生活、展览展示、个性化创作研究等机会和条件，为句容文艺的可持续发展集聚更多的创作力量。二是扶持推介优秀人才。通过省市各级媒介平台积极宣传推介本土优秀文艺人才及其作品，积极帮助文艺人才争取项目资金。三是抓好重点文艺创作。加强重大题材创作规划引领，围绕推进现代化建设、乡村振兴、党的二十大等重要节点，提前规划、选好题材，积极组织各文艺家协会参加高规格赛事，力争多出精品。重点关注省级作协会员周宜飞创作的长篇小说《葡萄镇》，以丁庄葡萄小镇为原型，目前素材采集基本完成。</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句容市文联部门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句容市文联部门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165.56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144.55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21.01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165.56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165.56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165.56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165.56</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句容市文联部门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165.56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165.56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165.56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092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句容市文联部门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165.56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165.56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165.56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092092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句容市文学艺术界联合会</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165.56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165.56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165.56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句容市文联部门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165.56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118.76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144.55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文化和旅游</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144.55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句容市文联部门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165.56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165.56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165.56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144.55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21.01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165.56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165.56</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句容市文联部门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165.56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118.76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108.75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文化和旅游</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句容市文联部门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118.76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108.75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句容市文联部门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165.56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118.76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108.75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文化和旅游</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句容市文联部门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118.76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108.75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句容市文联部门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句容市文联部门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句容市文联部门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句容市文联部门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句容市文联部门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句容市文学艺术界联合会</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《风雅句曲》编印费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其他印刷品</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句容市文联部门2022年度收入、支出预算总计165.56万元，与上年相比收、支预算总计各减少22.95万元，减少12.17%。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（一）收入预算总计165.56万元。包括：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1．本年收入合计165.56万元。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（1）一般公共预算拨款收入165.56万元，与上年相比减少22.95万元，减少12.17%。主要原因是2021年退休2人，造成2022年在职人员减少2人、人员经费支出减少。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（二）支出预算总计165.56万元。包括：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1．本年支出合计165.56万元。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（1）文化旅游体育与传媒支出（类）支出144.55万元，主要用于文化事务基本支出和项目支出。与上年相比减少19.03万元，减少11.63%。主要原因是2021年退休2人，造成2022年在职人员减少2人、人员经费支出减少。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（2）住房保障支出（类）支出21.01万元，主要用于缴纳职工住房公积金和发放提租补贴。与上年相比减少3.92万元，减少15.72%。主要原因是2021年退休2人，造成2022年在职人员减少2人、人员经费支出减少。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句容市文联部门2022年收入预算合计165.56万元，包括本年收入165.56万元，上年结转结余0万元。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本年一般公共预算收入165.56万元，占100%；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句容市文联部门2022年支出预算合计165.56万元，其中：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基本支出118.76万元，占71.73%；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项目支出46.8万元，占28.27%；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句容市文联部门2022年度财政拨款收、支总预算165.56万元。与上年相比，财政拨款收、支总计各减少22.95万元，减少12.17%。主要原因是2021年退休2人，造成2022年在职人员减少2人、人员经费支出减少。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句容市文联部门2022年财政拨款预算支出165.56万元，占本年支出合计的100%。与上年相比，财政拨款支出减少22.95万元，减少12.17%。主要原因是2021年退休2人，造成2022年在职人员减少2人、人员经费支出减少。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（一）文化旅游体育与传媒支出（类）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1.文化和旅游（款）行政运行（项）支出96.95万元，与上年相比减少19.83万元，减少16.98%。主要原因是2021年退休2人，造成2022年在职人员减少2人、人员经费支出减少。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2.文化和旅游（款）一般行政管理事务（项）支出46.8万元，与上年预算数相同。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3.文化和旅游（款）机关服务（项）支出0.8万元，与上年相比增加0.8万元（去年预算数为0万元，无法计算增减比率）。主要原因是2022年事业退休人员慰问费支出功能科目调整。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1.住房改革支出（款）住房公积金（项）支出8.06万元，与上年相比减少2.51万元，减少23.75%。主要原因是2021年退休2人，造成2022年在职人员减少2人、人员经费支出减少。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2.住房改革支出（款）提租补贴（项）支出12.95万元，与上年相比减少1.41万元，减少9.82%。主要原因是2021年退休2人，造成2022年在职人员减少2人、人员经费支出减少。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句容市文联部门2022年度财政拨款基本支出预算118.76万元，其中：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（一）人员经费108.75万元。主要包括：基本工资、津贴补贴、奖金、机关事业单位基本养老保险缴费、职业年金缴费、职工基本医疗保险缴费、公务员医疗补助缴费、其他社会保障缴费、住房公积金、退休费。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（二）公用经费10.01万元。主要包括：办公费、公务接待费、工会经费、福利费、其他交通费用、其他商品和服务支出。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句容市文联部门2022年一般公共预算财政拨款支出预算165.56万元，与上年相比减少22.95万元，减少12.17%。主要原因是2021年退休2人，造成2022年在职人员减少2人、人员经费支出减少。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句容市文联部门2022年度一般公共预算财政拨款基本支出预算118.76万元，其中：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（一）人员经费108.75万元。主要包括：基本工资、津贴补贴、奖金、机关事业单位基本养老保险缴费、职业年金缴费、职工基本医疗保险缴费、公务员医疗补助缴费、其他社会保障缴费、住房公积金、退休费。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（二）公用经费10.01万元。主要包括：办公费、公务接待费、工会经费、福利费、其他交通费用、其他商品和服务支出。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联部门2022年度一般公共预算拨款安排的“三公”经费预算支出中，因公出国（境）费支出0万元，占“三公”经费的0%；公务用车购置及运行维护费支出0万元，占“三公”经费的0%；公务接待费支出0.3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句容市文联部门2022年度一般公共预算拨款安排的会议费预算支出0万元，与上年预算数相同。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句容市文联部门2022年度一般公共预算拨款安排的培训费预算支出0万元，与上年预算数相同。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句容市文联部门2022年政府性基金支出预算支出0万元。与上年预算数相同。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句容市文联部门2022年国有资本经营预算支出0万元。与上年预算数相同。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2022年本部门一般公共预算机关运行经费预算支出10.01万元。与上年相比减少4.68万元，减少31.86%。主要原因是2021年退休2人，造成2022年在职人员减少2人、人员经费定额及其他交通费用支出减少。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2022年度政府采购支出预算总额3万元，其中：拟采购货物支出3万元、拟采购工程支出0万元、拟购买服务支出0万元。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2022年度，本部门整体支出纳入绩效目标管理，涉及四本预算资金165.56万元；本部门共5个项目纳入绩效目标管理，涉及四本预算资金合计46.8万元，占四本预算资金(基本支出除外)总额的比例为100%。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八、文化旅游体育与传媒支出(类)文化和旅游(款)行政运行(项)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九、文化旅游体育与传媒支出(类)文化和旅游(款)一般行政管理事务(项)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十、文化旅游体育与传媒支出(类)文化和旅游(款)机关服务(项)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句容市文联部门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