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2022年度句容市发改部门部门预算公开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部门</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部门</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部门</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部门</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部门</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部门</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（一）拟订并组织实施全市国民经济和社会发展战略、中长期规划和年度计划。牵头组织全市统一规划体系建设，负责市级专项规划、区域规划、空间规划与全市发展规划的统筹衔接。</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（二）提出加快建设全市现代化经济体系、推动高质量发展的总体目标、重大任务以及相关政策。组织开展重大战略规划、重大政策、重大工程等评估督导，提出相关调整建议。</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统筹提出全市国民经济和社会发展主要目标，监测预测预警宏观经济和社会发展态势趋势。综合协调宏观经济政策，牵头研究宏观经济应对措施。调节经济运行，协调解决经济运行中的重大问题。拟订并组织实施有关价格政策，组织制定市级管理的重要商品、服务价格和重要收费标准。参与拟订市级财政政策和土地政策。</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指导推进和综合协调全市经济体制改革有关工作。统筹推进供给侧结构性改革。协调推进产权制度和要素市场化配置改革。推动完善相关经济制度和现代市场体系建设。会同相关部门组织实施市场准入负面清单制度。协调推进优化营商环境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（五）研究协调有关利用外资、境外投资和国际产能合作的政策，参与研究对外开放的有关问题，承担统筹协调走出去有关工作。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（六）负责投资综合管理，拟订全市全社会固定资产投资总规模、结构调控目标和政策。安排市级有关财政性专项建设资金。协调推进全市重大项目建设。拟订并推动落实全市鼓励民间投资政策措施。</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七）推进落实区域协调发展战略、新型城镇化战略和重大政策，组织拟订相关区域规划和政策。组织和协调参与长三角区域一体化发展，南京都市圈合作与发展工作。推动落实“一带一路”建设、长江经济带发展，参与推进宁镇扬、宁句一体化等跨区域合作。组织编制并推进实施全市新型城镇化规划。协调推进对口帮扶、对口支援和对口合作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八）贯彻落实国家有关能源工作的法律、法规和政策，研究提出我市能源发展战略的建议，拟订能源发展规划、计划、政策并组织实施。协调能源发展和改革中的重大问题，监测能源发展状况，衔接能源生产建设和供需平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（九）推进能源行业节能和资源综合利用，组织协调相关重大示范工程和推广应用新产品、新技术、新设备。负责编制政府性扶持新能源和可再生能源、能源行业节能等专项资金计划，并监督实施。</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（十）参与制定与能源相关的资源、财税、环保及应对气候变化等政策，提出能源价格调整和总量平衡的建议。</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一）组织拟订全市综合性产业政策。协调全市一二三产业发展重大问题并统筹衔接相关发展规划和重大政策。统筹规划全市重大产业项目和生产力布局。协调推进重大基础设施建设发展，组织拟订并推动实施全市服务业战略规划和重大政策，推进先进制造业与现代服务业融合发展。提出和落实农村经济发展战略，协调社会事业发展；综合研判全市消费变动趋势，拟订实施促进消费的综合性政策措施。</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二）推动实施创新驱动发展战略。会同相关部门拟订推进全市创新创业的规划和政策，提出创新发展和培育经济发展新动能的政策。会同相关部门规划布局全市重大科技基础设施。组织拟订并推动实施全市高技术产业和战略性新兴产业发展规划政策，协调产业升级、重大技术装备推广应用等方面的重大问题。</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三）跟踪研判经济安全等风险隐患，提出相关工作建议。负责全市重要商品总量平衡和宏观调控，协调落实重要工业品、原材料和重要农产品进出口调控措施。会同有关部门拟订市级储备物资品种目录、总体发展规划。</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四）负责全市社会发展与国民经济发展的政策衔接，协调有关重大问题。组织拟订全市社会发展战略、总体规划，统筹推进基本公共服务体系建设和收入分配制度改革，提出促进就业、完善社会保障与经济协调发展的政策建议。牵头开展全市社会信用体系建设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五）推进实施可持续发展战略，协调生态环境保护与修复、能源资源节约和综合利用等工作。会同有关部门提出健全全市生态保护补偿机制的政策措施，综合协调环保产业和清洁生产促进有关工作。提出全市能源消费总量控制目标、任务并组织实施。</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（十六）会同有关部门拟订推进全市经济建设与国防建设协调发展的战略和规划。组织编制全市国民经济动员规划，协调和组织实施全市国民经济动员有关工作。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（十七）承担市委军民融合日常工作，综合协调全市军民融合发展。汇总全市军民融合发展总体需求，分析研判军民融合发展态势，编制并组织实施军民融合发展规划，研究拟订我市军民融合发展重要政策。</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（十八）组织实施全市军民融合发展重点项目（专项工程）和重要事项，协调地方经济与国防建设有关问题，组织协调军地需求对接和军队保障社会化，推进军民融合发展创新。</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（十九）贯彻执行国家、省粮食和物资储备的法律法规和规章。研究提出粮食和物资储备体制改革方案并组织实施。</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十）根据国家、省市储备总体发展规划和品种目录，研究提出全市储备发展规划、储备品种目录的建议。参与全市粮食宏观调控、总量平衡和地区平衡工作。参与监测、分析全市粮食供求运行态势，提出市级储备粮的收购储存和动用建议。组织实施全市战略物资的收储、轮换和日常管理，落实有关动用计划和指令。</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（二十一）负责市级储备粮行政管理，对管理的政府储备、企业储备以及储备政策落实情况进行监督检查。</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（二十二）完成市委、市政府交办的其他任务。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部门</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1.</w:t>
      </w:r>
      <w:r>
        <w:rPr>
          <w:rFonts w:hint="eastAsia" w:ascii="仿宋" w:hAnsi="仿宋" w:eastAsia="仿宋" w:cs="仿宋"/>
        </w:rPr>
        <w:t>根据</w:t>
      </w:r>
      <w:r>
        <w:rPr>
          <w:rFonts w:hint="eastAsia" w:ascii="仿宋" w:hAnsi="仿宋" w:eastAsia="仿宋" w:cs="仿宋"/>
          <w:lang w:val="en-US" w:eastAsia="zh-CN"/>
        </w:rPr>
        <w:t>部门</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本部门内设机构包括：</w:t>
      </w:r>
      <w:r>
        <w:rPr>
          <w:rFonts w:ascii="仿宋" w:hAnsi="仿宋" w:cs="仿宋" w:eastAsia="仿宋"/>
        </w:rPr>
        <w:t/>
      </w:r>
      <w:r>
        <w:rPr>
          <w:rFonts w:ascii="仿宋" w:hAnsi="仿宋" w:cs="仿宋" w:eastAsia="仿宋"/>
        </w:rPr>
        <w:t/>
      </w:r>
      <w:r>
        <w:rPr>
          <w:rFonts w:ascii="仿宋" w:hAnsi="仿宋" w:cs="仿宋" w:eastAsia="仿宋"/>
        </w:rPr>
        <w:t>办公室、发展规划科、工业和高技术发展科、固定资产投资科、综合改革和政策法规科、财政金融和信用建设科、农村经济和社会发展科、能源科、收费管理和价格调控科、价格管理和成本监审科、组织人事科、粮食和物资储备管理科。</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本部门下属单位包括:句容市经济信息中心、句容市价格认证中心、句容市天王物价管理所、句容市下蜀物价管理所。</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2.</w:t>
      </w:r>
      <w:r>
        <w:rPr>
          <w:rFonts w:hint="eastAsia" w:ascii="仿宋" w:hAnsi="仿宋" w:eastAsia="仿宋" w:cs="仿宋"/>
        </w:rPr>
        <w:t>从</w:t>
      </w:r>
      <w:r>
        <w:rPr>
          <w:rFonts w:hint="eastAsia" w:ascii="仿宋" w:hAnsi="仿宋" w:eastAsia="仿宋" w:cs="仿宋"/>
          <w:lang w:eastAsia="zh-CN"/>
        </w:rPr>
        <w:t>预算</w:t>
      </w:r>
      <w:r>
        <w:rPr>
          <w:rFonts w:hint="eastAsia" w:ascii="仿宋" w:hAnsi="仿宋" w:eastAsia="仿宋" w:cs="仿宋"/>
        </w:rPr>
        <w:t>单位构成看，纳入本</w:t>
      </w:r>
      <w:r>
        <w:rPr>
          <w:rFonts w:hint="eastAsia" w:ascii="仿宋" w:hAnsi="仿宋" w:eastAsia="仿宋" w:cs="仿宋"/>
          <w:lang w:val="en-US" w:eastAsia="zh-CN"/>
        </w:rPr>
        <w:t>部门</w:t>
      </w:r>
      <w:r>
        <w:rPr>
          <w:rFonts w:hint="eastAsia" w:ascii="仿宋" w:hAnsi="仿宋" w:eastAsia="仿宋" w:cs="仿宋"/>
          <w:lang w:eastAsia="zh-CN"/>
        </w:rPr>
        <w:t>2022</w:t>
      </w:r>
      <w:r>
        <w:rPr>
          <w:rFonts w:hint="eastAsia" w:ascii="仿宋" w:hAnsi="仿宋" w:eastAsia="仿宋" w:cs="仿宋"/>
        </w:rPr>
        <w:t>年</w:t>
      </w:r>
      <w:r>
        <w:rPr>
          <w:rFonts w:hint="eastAsia" w:ascii="仿宋" w:hAnsi="仿宋" w:eastAsia="仿宋" w:cs="仿宋"/>
          <w:lang w:val="en-US" w:eastAsia="zh-CN"/>
        </w:rPr>
        <w:t>部门</w:t>
      </w:r>
      <w:r>
        <w:rPr>
          <w:rFonts w:hint="eastAsia" w:ascii="仿宋" w:hAnsi="仿宋" w:eastAsia="仿宋" w:cs="仿宋"/>
        </w:rPr>
        <w:t>汇总</w:t>
      </w:r>
      <w:r>
        <w:rPr>
          <w:rFonts w:hint="eastAsia" w:ascii="仿宋" w:hAnsi="仿宋" w:eastAsia="仿宋" w:cs="仿宋"/>
          <w:lang w:eastAsia="zh-CN"/>
        </w:rPr>
        <w:t>预算</w:t>
      </w:r>
      <w:r>
        <w:rPr>
          <w:rFonts w:hint="eastAsia" w:ascii="仿宋" w:hAnsi="仿宋" w:eastAsia="仿宋" w:cs="仿宋"/>
        </w:rPr>
        <w:t>编制范围的预算单位共计</w:t>
      </w:r>
      <w:r>
        <w:rPr>
          <w:rFonts w:hint="eastAsia" w:ascii="仿宋" w:hAnsi="仿宋" w:eastAsia="仿宋" w:cs="仿宋"/>
          <w:lang w:val="en-US"/>
        </w:rPr>
        <w:t/>
      </w:r>
      <w:r>
        <w:rPr>
          <w:rFonts w:ascii="仿宋" w:hAnsi="仿宋" w:cs="仿宋" w:eastAsia="仿宋"/>
        </w:rPr>
        <w:t/>
      </w:r>
      <w:r>
        <w:rPr>
          <w:rFonts w:ascii="仿宋" w:hAnsi="仿宋" w:cs="仿宋" w:eastAsia="仿宋"/>
        </w:rPr>
        <w:t>2</w:t>
      </w:r>
      <w:r>
        <w:rPr>
          <w:rFonts w:ascii="仿宋" w:hAnsi="仿宋" w:cs="仿宋" w:eastAsia="仿宋"/>
        </w:rPr>
        <w:t/>
      </w:r>
      <w:r>
        <w:rPr>
          <w:rFonts w:ascii="仿宋" w:hAnsi="仿宋" w:cs="仿宋" w:eastAsia="仿宋"/>
        </w:rPr>
        <w:t/>
      </w:r>
      <w:r>
        <w:rPr>
          <w:rFonts w:hint="eastAsia" w:ascii="仿宋" w:hAnsi="仿宋" w:eastAsia="仿宋" w:cs="仿宋"/>
        </w:rPr>
        <w:t>家，具体包括：</w:t>
      </w:r>
      <w:r>
        <w:rPr>
          <w:rFonts w:hint="eastAsia" w:ascii="仿宋" w:hAnsi="仿宋" w:eastAsia="仿宋" w:cs="仿宋"/>
          <w:lang w:val="en-US"/>
        </w:rPr>
        <w:t/>
      </w:r>
      <w:r>
        <w:rPr>
          <w:rFonts w:ascii="仿宋" w:hAnsi="仿宋" w:cs="仿宋" w:eastAsia="仿宋"/>
        </w:rPr>
        <w:t/>
      </w:r>
      <w:r>
        <w:rPr>
          <w:rFonts w:ascii="仿宋" w:hAnsi="仿宋" w:cs="仿宋" w:eastAsia="仿宋"/>
        </w:rPr>
        <w:t>句容市发展和改革委员会（本级），句容市价格认证中心。</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部门</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坚持产业强市“一号战略”。一是统筹推进经济增长。依据全市主要指标年度工作目标，统筹谋划、系统推进各类考核指标，引领全市经济社会健康有序发展，预计“十四五”期间全市地区生产总值年均增长6.5左右，到2025年突破1000亿元大关。二是强化项目招引及督查。立足我市4大主导产业，瞄准“新基建”、军民融合、智能制造、半导体、大健康等新兴产业发展机遇，招引一批先进制造业和战略性新兴产业项目，积蓄发展后劲；围绕项目谋划、落地、开工、竣工、达产等关键环节，依托“三听三答”，紧盯重点产业项目年度目标及月度分解目标，坚持用更大力度推进项目实施、用更严要求加强项目管理、用更优服务破解项目瓶颈，推动项目早开工、早建成、早投产。三是紧盯项目投资率和开工率。用好、用活重大项目建设“标准地+承诺制”等政策，简化项目审批流程，推动开发区味全食品、宝华镇涵田酒店、茅山风景区金象农旅、茅山长青等已开工项目列统；围绕项目提供全生命周期服务，完善重大项目综合管理，全力解决项目融资、土地供给、配套基础设施建设等难题。</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快速推进区域一体化。一是加强区域规划协同。明确“融入南京、接力镇江”的全新定位，抢抓长三角一体化、宁镇扬一体化等战略机遇，以“十四五”规划为引领，以南京都市圈发展规划为契机，全方位融入其产业创新圈、资源配置圈、轨道交通圈和宜居生活圈，全力打造宁镇扬一体化发展先行示范区。二是加快区域融合发展。坚持做强对外“主动脉”，发挥南沿江城际铁路、宁句城际轨道交通、扬镇宁马城际铁路、市域（郊）铁路句容至茅山线4条铁路的交汇优势，推动建设“轨道上的句容”；大力发展枢纽经济，利用枢纽经济加快要素集聚与产业融合，认真谋划句容在“双循环”中的切入点和价值链位置，进一步厚植自身在南京都市圈中的经济腹地作用。三是全面优化产业布局。坚持“科技园+产业园”双轮驱动，围绕“功能布局合理、主导产业明晰、资源集约高效、产城深度融合、特色错位竞争、管理体制高效”目标实施园区升级工程，有序推进“一区多园”改革。对标镇江“四群八链”，紧盯南京五大地标产业和八大产业链，立足智能制造、新能源、新材料、绿色建材四大主导产业，大力开展产业链、供应链招商，逐步形成“头部企业在南京、配套企业在句容，总部研发端在南京、生产制造端在句容”的产业格局，推动经济体系整体优化升级，实现本地产业基础高级化、产业链现代化，打造具有鲜明标识的“句容制造”地标产业集群。</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强化突出科技创新。全面激发创新动能，打造创新发展高地。一是提升创新载体能级。借力紫东地区创新智谷、G312产业创新走廊建设，推进南京科研院所技术创新成果在重点产业链企业转移转化，吸纳集聚一批中试级以上创新成果产业化落地，打造承西联东的区域科创产业新高地。二是加快培育创新主体。加强传统产业转型升级，大力发展战略性新兴产业，推进先进制造业与现代服务业融合发展；培育壮大台湾半导体产业园，积极招引芯片研发设计、中高端芯片封测等电子信息细分领域企业，推动数字产品制造业规模发展；鼓励中小企业上云，推进5G、工业互联网、大数据等新一代信息技术与制造业深度融合。三是强化保障人才供给。坚持“创新链+产业链+资本链+人才链”四链融合，加快引育一批创新创业团队、重大创新平台，着力构筑“政产学研金”深度融合的创新生态体系；深入实施“福地聚才”工程，深化拓展“福地英才”计划，紧密对接国家重点人才计划、省“双创计划”及市级各类人才计划，实施产业强市领军人才、青年人才来句等专项人才引进培养子计划，为全市高质量发展和产业强市储备一批人才资源。</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全面优化营商环境。全速优化涉企服务，全力提高市场主体的满意度和感受度，全面营造市场化、法治化、国际化的营商环境。一是深化“放管服”，提高政府服务效率。聚力简政放权，以“一网通办”增便利、“不见面审批”再升级、“红色专窗”做表率、“街道吹哨”解难题、市场监管重服务等一系列务实举措，确保实现企业开办“一次办结”、跨省事项“一网通办”、信用信息“一站修复”；构建新型亲清政商关系，形成走访企业常态化机制，为企业提供省心、热心、贴心的服务，提振企业发展信心。二是降本增效，激发市场主体活力。企业运营成本的高低是衡量营商环境建设的重要标准，要深入贯彻落实国家、省、市各级降低企业成本的政策意见，推动各类减税降费、援企纾困政策落地落细，努力在降低税费、融资、物流以及要素成本上做文章；充分发挥南京高校的人才优势，围绕重点产业链“卡脖子”技术短板，加大招才引智力度，加快创新成果产业化，围绕产业链部署创新链，围绕创新链打造产业链，减少企业配套服务成本；强化信用修复，开展失信企业信用修复培训，帮助企业纠正失信行为，为企业未来长远健康发展扫清障碍。三是实施“句满意”，打响优化服务品牌。主动学习借鉴先进地区经验，狠抓短板弱项指标，以市场主体需求为切入点，推动简政放权改革再深化，精准监管举措再细化，政务服务体验再优化，打造更多高质量的“拿地即开工”案例，系统性推动企业在句办事中实现“减事项、减环节、减时间、减材料、减跑动、减费用、增便利度”的目标，加快建设成为企业点赞、群众满意、人才向往的营商环境新高地。</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句容市发改部门</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部门</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color w:val="000000"/>
                <w:sz w:val="22"/>
                <w:szCs w:val="22"/>
                <w:lang w:eastAsia="ar-SA"/>
              </w:rPr>
              <w:t>句容市发改部门</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2,418.57</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2,076.59</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341.98</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2,418.57</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2,418.57</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2,418.57</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2,418.57</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149" w:type="dxa"/>
        <w:tblInd w:w="-25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097"/>
        <w:gridCol w:w="1800"/>
        <w:gridCol w:w="1063"/>
        <w:gridCol w:w="943"/>
        <w:gridCol w:w="789"/>
        <w:gridCol w:w="754"/>
        <w:gridCol w:w="686"/>
        <w:gridCol w:w="754"/>
        <w:gridCol w:w="754"/>
        <w:gridCol w:w="720"/>
        <w:gridCol w:w="754"/>
        <w:gridCol w:w="738"/>
        <w:gridCol w:w="720"/>
        <w:gridCol w:w="925"/>
        <w:gridCol w:w="772"/>
        <w:gridCol w:w="720"/>
        <w:gridCol w:w="754"/>
        <w:gridCol w:w="686"/>
        <w:gridCol w:w="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572"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句容市发改部门</w:t>
            </w:r>
          </w:p>
        </w:tc>
        <w:tc>
          <w:tcPr>
            <w:tcW w:w="457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097"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代码</w:t>
            </w:r>
          </w:p>
        </w:tc>
        <w:tc>
          <w:tcPr>
            <w:tcW w:w="180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名称</w:t>
            </w:r>
          </w:p>
        </w:tc>
        <w:tc>
          <w:tcPr>
            <w:tcW w:w="106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7612"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57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1097"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06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897"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2,418.57</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2,418.57</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2,418.57</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026</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句容市发改部门</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2,418.57</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2,418.57</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2,418.57</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026026</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句容市发展和改革委员会</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2,126.32</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2,126.32</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2,126.32</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026032</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句容市价格认证中心</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292.25</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292.25</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292.25</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57" w:right="0" w:firstLine="221" w:firstLineChars="100"/>
        <w:jc w:val="left"/>
        <w:rPr>
          <w:rFonts w:hint="eastAsia" w:ascii="仿宋" w:hAnsi="仿宋" w:eastAsia="仿宋" w:cs="仿宋"/>
          <w:b/>
          <w:bCs/>
          <w:sz w:val="22"/>
          <w:szCs w:val="22"/>
        </w:rPr>
        <w:sectPr>
          <w:footerReference r:id="rId9" w:type="default"/>
          <w:pgSz w:w="16838" w:h="11906" w:orient="landscape"/>
          <w:pgMar w:top="720" w:right="720" w:bottom="720" w:left="5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句容市发改部门</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2,418.57</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2,014.57</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404.00</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2,076.59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1,672.59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404.00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发展与改革事务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2,076.59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1,672.59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404.00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2010401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1,154.67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1,154.67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2010402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153.00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153.00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2010405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日常经济运行调节</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2010406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社会事业发展规划</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2010408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物价管理</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324.81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196.81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128.00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2010450</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321.11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321.11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341.98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341.98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341.98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341.98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106.81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106.81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235.17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235.17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sz w:val="22"/>
                <w:szCs w:val="22"/>
              </w:rPr>
              <w:t>句容市发改部门</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2,418.57</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2,418.57</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2,418.57</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2,076.59</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341.98</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2,418.57</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2,418.57</w:t>
            </w:r>
          </w:p>
        </w:tc>
      </w:tr>
    </w:tbl>
    <w:p>
      <w:pPr>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句容市发改部门</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2,418.57</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2,014.57</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1,876.60</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137.97</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404.00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2,076.59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1,672.59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1,534.62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137.97</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404.00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发展与改革事务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2,076.59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1,672.59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1,534.62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137.97</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404.00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2010401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1,154.67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1,154.67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1,035.48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119.19</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2010402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153.00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153.00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2010405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日常经济运行调节</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83.00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83.00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2010406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社会事业发展规划</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2010408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物价管理</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324.81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196.81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178.03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18.78</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128.00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2010450</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321.11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321.11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321.11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341.98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341.98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341.98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341.98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341.98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341.98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106.81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106.81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106.81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235.17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235.17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235.17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sz w:val="22"/>
                <w:szCs w:val="22"/>
              </w:rPr>
              <w:t>句容市发改部门</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2,014.57</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1,876.60</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137.97</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1,399.92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1,399.92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221.82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221.82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292.45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292.45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436.70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436.70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127.25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127.25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84.44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84.44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42.22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42.22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36.91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36.91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106.81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106.81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41.45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41.45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137.97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137.97</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16.88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16.88</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14.52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14.52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3.26</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66.31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66.31</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476.68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476.68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离休费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27.02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27.02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151.46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151.46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退职（役）费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269.87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269.87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9.48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9.48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医疗费补助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18.85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18.85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句容市发改部门</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2,418.57</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2,014.57</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1,876.60</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137.97</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404.00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2,076.59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1,672.59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1,534.62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137.97</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404.00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发展与改革事务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2,076.59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1,672.59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1,534.62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137.97</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404.00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2010401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1,154.67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1,154.67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1,035.48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119.19</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2010402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153.00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153.00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2010405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日常经济运行调节</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2010406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社会事业发展规划</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2010408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物价管理</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324.81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196.81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178.03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18.78</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128.00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2010450</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321.11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321.11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321.11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341.98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341.98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341.98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341.98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341.98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341.98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106.81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106.81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106.81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235.17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235.17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235.17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句容市发改部门</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2,014.57</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1,876.60</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137.97</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1,399.92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1,399.92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221.82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221.82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292.45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292.45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436.70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436.70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127.25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127.25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84.44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84.44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42.22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42.22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36.91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36.91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106.81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106.81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41.45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41.45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137.97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137.97</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16.88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16.88</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14.52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14.52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3.26</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66.31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66.31</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476.68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476.68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离休费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27.02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27.02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151.46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151.46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退职（役）费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269.87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269.87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9.48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9.48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医疗费补助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18.85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18.85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句容市发改部门</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句容市发改部门</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部门</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句容市发改部门</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部门</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句容市发改部门</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119.19</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119.19</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11.24</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30205</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水费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30206</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邮电费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30213</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维修（护）费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30228</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工会经费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10.56</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福利费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3.02</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其他交通费用</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57.37</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30299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句容市发改部门</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bl>
    <w:p>
      <w:pPr>
        <w:numPr>
          <w:ilvl w:val="0"/>
          <w:numId w:val="0"/>
        </w:numPr>
        <w:bidi w:val="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cs="仿宋" w:eastAsia="仿宋"/>
          <w:b w:val="true"/>
          <w:sz w:val="22"/>
        </w:rPr>
        <w:t>部门</w:t>
      </w:r>
      <w:r>
        <w:rPr>
          <w:rFonts w:ascii="仿宋" w:hAnsi="仿宋" w:cs="仿宋" w:eastAsia="仿宋"/>
          <w:b w:val="true"/>
          <w:sz w:val="22"/>
        </w:rPr>
        <w:t>无政府采购支出，故本表无数据。</w:t>
      </w:r>
      <w:r>
        <w:rPr>
          <w:rFonts w:hint="eastAsia" w:ascii="仿宋" w:hAnsi="仿宋" w:eastAsia="仿宋" w:cs="仿宋"/>
          <w:b/>
          <w:bCs/>
          <w:sz w:val="22"/>
          <w:szCs w:val="22"/>
        </w:rPr>
        <w:t/>
      </w:r>
    </w:p>
    <w:p>
      <w:pPr>
        <w:bidi w:val="0"/>
        <w:rPr>
          <w:rFonts w:hint="eastAsia" w:ascii="仿宋" w:hAnsi="仿宋" w:eastAsia="仿宋" w:cs="仿宋"/>
          <w:b/>
          <w:bCs/>
          <w:sz w:val="22"/>
          <w:szCs w:val="22"/>
        </w:rPr>
        <w:sectPr>
          <w:footerReference r:id="rId19"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部门</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句容市发改部门2022年度收入、支出预算总计2,418.57万元，与上年相比收、支预算总计各增加373.58万元，增长18.27%。</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（一）收入预算总计2,418.57万元。包括：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1．本年收入合计2,418.57万元。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（1）一般公共预算拨款收入2,418.57万元，与上年相比增加373.58万元，增长18.27%。主要原因是公共财政拨款资金的增加。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（二）支出预算总计2,418.57万元。包括：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1．本年支出合计2,418.57万元。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（1）一般公共服务支出（类）支出2,076.59万元，主要用于发展与改革事务方面的支出等。与上年相比增加338.96万元，增长19.51%。主要原因是行政运行、物价管理等支出的增加。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（2）住房保障支出（类）支出341.98万元，主要用于为职工缴纳的住房公积金及住房补贴。与上年相比增加34.62万元，增长11.26%。主要原因是人员增加及工资的自然增长。</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句容市发改部门2022年收入预算合计2,418.57万元，包括本年收入2,418.57万元，上年结转结余0万元。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本年一般公共预算收入2,418.57万元，占100%；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句容市发改部门2022年支出预算合计2,418.57万元，其中：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基本支出2,014.57万元，占83.3%；</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项目支出404万元，占16.7%；</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句容市发改部门2022年度财政拨款收、支总预算2,418.57万元。与上年相比，财政拨款收、支总计各增加373.58万元，增长18.27%。主要原因是一般公共预算收、支的增加。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句容市发改部门2022年财政拨款预算支出2,418.57万元，占本年支出合计的100%。与上年相比，财政拨款支出增加373.58万元，增长18.27%。主要原因是行政运行、物价管理支出增加。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（一）一般公共服务支出（类）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1.发展与改革事务（款）行政运行（项）支出1,154.67万元，与上年相比增加361.06万元，增长45.5%。主要原因是人员增加及工资自然增长。</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2.发展与改革事务（款）一般行政管理事务（项）支出153万元，与上年相比减少27万元，减少15%。主要原因是发展改革综合专项经费减少。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3.发展与改革事务（款）日常经济运行调节（项）支出83万元，与上年相比减少20万元，减少19.42%。主要原因是社会信用体系建设经费减少。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4.发展与改革事务（款）社会事业发展规划（项）支出40万元，与上年相比减少10万元，减少20%。主要原因是人才计划工作经费减少。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5.发展与改革事务（款）物价管理（项）支出324.81万元，与上年相比增加80.79万元，增长33.11%。主要原因是功能科目调整。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6.发展与改革事务（款）事业运行（项）支出321.11万元，与上年相比减少45.89万元，减少12.5%。主要原因是功能科目调整。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1.住房改革支出（款）住房公积金（项）支出106.81万元，与上年相比增加12.17万元，增长12.86%。主要原因是人员增加及工资自然增长。</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2.住房改革支出（款）提租补贴（项）支出235.17万元，与上年相比增加22.45万元，增长10.55%。主要原因是人员增加及工资自然增长。</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句容市发改部门2022年度财政拨款基本支出预算2,014.57万元，其中：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1,876.6万元。主要包括：基本工资、津贴补贴、奖金、绩效工资、机关事业单位基本养老保险缴费、职业年金缴费、职工基本医疗保险缴费、公务员医疗补助缴费、其他社会保障缴费、住房公积金、其他工资福利支出、离休费、退休费、退职（役）费、生活补助、医疗费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（二）公用经费137.97万元。主要包括：办公费、水费、电费、邮电费、维修（护）费、工会经费、福利费、其他交通费用、其他商品和服务支出。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句容市发改部门2022年一般公共预算财政拨款支出预算2,418.57万元，与上年相比增加373.58万元，增长18.27%。主要原因是一般公共服务类支出增加。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句容市发改部门2022年度一般公共预算财政拨款基本支出预算2,014.57万元，其中：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1,876.6万元。主要包括：基本工资、津贴补贴、奖金、绩效工资、机关事业单位基本养老保险缴费、职业年金缴费、职工基本医疗保险缴费、公务员医疗补助缴费、其他社会保障缴费、住房公积金、其他工资福利支出、离休费、退休费、退职（役）费、生活补助、医疗费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（二）公用经费137.97万元。主要包括：办公费、水费、电费、邮电费、维修（护）费、工会经费、福利费、其他交通费用、其他商品和服务支出。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发改部门2022年度一般公共预算拨款安排的“三公”经费预算支出中，因公出国（境）费支出0万元，占“三公”经费的0%；公务用车购置及运行维护费支出0万元，占“三公”经费的0%；公务接待费支出5万元，占“三公”经费的100%。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2．公务用车购置及运行维护费预算支出0万元。其中：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3．公务接待费预算支出5万元，比上年预算增加2万元，主要原因是预计2022年公务接待次数增加。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句容市发改部门2022年度一般公共预算拨款安排的会议费预算支出4万元，与上年预算数相同。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句容市发改部门2022年度一般公共预算拨款安排的培训费预算支出0万元，与上年预算数相同。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句容市发改部门2022年政府性基金支出预算支出0万元。与上年预算数相同。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句容市发改部门2022年国有资本经营预算支出0万元。与上年预算数相同。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2022年本部门一般公共预算机关运行经费预算支出119.19万元。与上年相比减少6.2万元，减少4.94%。主要原因是机关厉行节约，提高财政资金使用效率。</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2022年度政府采购支出预算总额0万元，其中：拟采购货物支出0万元、拟采购工程支出0万元、拟购买服务支出0万元。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部门共有车辆0辆，其中，一般公务用车0辆、执法执勤用车0辆、特种专业技术用车0辆、业务用车0辆、其他用车0辆等。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2022年度，本部门整体支出纳入绩效目标管理，涉及四本预算资金2,418.57万元；本部门共17个项目纳入绩效目标管理，涉及四本预算资金合计404万元，占四本预算资金(基本支出除外)总额的比例为100%。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八、一般公共服务支出(类)发展与改革事务(款)行政运行(项)</w:t>
      </w:r>
      <w:r>
        <w:rPr>
          <w:rFonts w:ascii="仿宋" w:hAnsi="仿宋" w:cs="仿宋" w:eastAsia="仿宋"/>
          <w:b w:val="true"/>
        </w:rPr>
        <w:t>：</w:t>
      </w:r>
      <w:r>
        <w:rPr>
          <w:rFonts w:hint="eastAsia" w:ascii="仿宋" w:hAnsi="仿宋" w:eastAsia="仿宋" w:cs="仿宋"/>
        </w:rPr>
        <w:t>反映行政单位（包括实行公务员管理的事业单位）的基本支出。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九、一般公共服务支出(类)发展与改革事务(款)一般行政管理事务(项)</w:t>
      </w:r>
      <w:r>
        <w:rPr>
          <w:rFonts w:ascii="仿宋" w:hAnsi="仿宋" w:cs="仿宋" w:eastAsia="仿宋"/>
          <w:b w:val="true"/>
        </w:rPr>
        <w:t>：</w:t>
      </w:r>
      <w:r>
        <w:rPr>
          <w:rFonts w:hint="eastAsia" w:ascii="仿宋" w:hAnsi="仿宋" w:eastAsia="仿宋" w:cs="仿宋"/>
        </w:rPr>
        <w:t>反映行政单位（包括实行公务员管理的事业单位）未单独设置项级科目的其他项目支出。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十、一般公共服务支出(类)发展与改革事务(款)日常经济运行调节(项)</w:t>
      </w:r>
      <w:r>
        <w:rPr>
          <w:rFonts w:ascii="仿宋" w:hAnsi="仿宋" w:cs="仿宋" w:eastAsia="仿宋"/>
          <w:b w:val="true"/>
        </w:rPr>
        <w:t>：</w:t>
      </w:r>
      <w:r>
        <w:rPr>
          <w:rFonts w:hint="eastAsia" w:ascii="仿宋" w:hAnsi="仿宋" w:eastAsia="仿宋" w:cs="仿宋"/>
        </w:rPr>
        <w:t>反映日常经济运行调节方面的支出。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十一、一般公共服务支出(类)发展与改革事务(款)社会事业发展规划(项)</w:t>
      </w:r>
      <w:r>
        <w:rPr>
          <w:rFonts w:ascii="仿宋" w:hAnsi="仿宋" w:cs="仿宋" w:eastAsia="仿宋"/>
          <w:b w:val="true"/>
        </w:rPr>
        <w:t>：</w:t>
      </w:r>
      <w:r>
        <w:rPr>
          <w:rFonts w:hint="eastAsia" w:ascii="仿宋" w:hAnsi="仿宋" w:eastAsia="仿宋" w:cs="仿宋"/>
        </w:rPr>
        <w:t>反映社会事业发展规划方面的支出。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十二、一般公共服务支出(类)发展与改革事务(款)物价管理(项)</w:t>
      </w:r>
      <w:r>
        <w:rPr>
          <w:rFonts w:ascii="仿宋" w:hAnsi="仿宋" w:cs="仿宋" w:eastAsia="仿宋"/>
          <w:b w:val="true"/>
        </w:rPr>
        <w:t>：</w:t>
      </w:r>
      <w:r>
        <w:rPr>
          <w:rFonts w:hint="eastAsia" w:ascii="仿宋" w:hAnsi="仿宋" w:eastAsia="仿宋" w:cs="仿宋"/>
        </w:rPr>
        <w:t>反映物价管理方面的支出。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十三、一般公共服务支出(类)发展与改革事务(款)事业运行(项)</w:t>
      </w:r>
      <w:r>
        <w:rPr>
          <w:rFonts w:ascii="仿宋" w:hAnsi="仿宋" w:cs="仿宋" w:eastAsia="仿宋"/>
          <w:b w:val="true"/>
        </w:rPr>
        <w:t>：</w:t>
      </w:r>
      <w:r>
        <w:rPr>
          <w:rFonts w:hint="eastAsia" w:ascii="仿宋" w:hAnsi="仿宋" w:eastAsia="仿宋" w:cs="仿宋"/>
        </w:rPr>
        <w:t>反映事业单位的基本支出，不包括行政单位（包括实行公务员管理的事业单位）后勤服务中心、医务室等附属事业单位。</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十四、住房保障支出(类)住房改革支出(款)住房公积金(项)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十五、住房保障支出(类)住房改革支出(款)提租补贴(项)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句容市发改部门</w:t>
    </w:r>
    <w:r>
      <w:t>2022</w:t>
    </w:r>
    <w:r>
      <w:t>年度</w:t>
    </w:r>
    <w:r>
      <w:t>部门</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48</TotalTime>
  <ScaleCrop>false</ScaleCrop>
  <LinksUpToDate>false</LinksUpToDate>
  <CharactersWithSpaces>7399</CharactersWithSpaces>
  <Application>WPS Office_11.1.0.11294_F1E327BC-269C-435d-A152-05C5408002CA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有光的地方</cp:lastModifiedBy>
  <dcterms:modified xsi:type="dcterms:W3CDTF">2022-02-09T14:56:23Z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2052-11.1.0.11294</vt:lpwstr>
  </property>
  <property fmtid="{D5CDD505-2E9C-101B-9397-08002B2CF9AE}" pid="6" name="LastSaved">
    <vt:filetime>2021-04-15T00:00:00Z</vt:filetime>
  </property>
</Properties>
</file>