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中共句容市委统战部</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一）贯彻落实中央关于统一战线的方针政策和省委、市委的决策部署，加强党对统一战线工作的集中统一领导，发挥市委在统战工作方面的参谋机构、组织协调机构、具体执行机构、督促检查机构作用。了解情况、掌握政策、协调关系、安排人事、增进共识、加强团结，协调统一战线各方面关系，巩固壮大最广泛的统一战线。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开展统一战线理论、政策和法律法规调查研究，及时向市委和上级统战部门报告统一战线工作情况并提出建议。拟订有关政策、措施，统筹协调和指导各地各部门各单位统一战线工作。拟订全市统一战线宣传工作政策、规划并组织实施，研判涉及统一战线的舆情并协调有关部门应对处置。承担民族宗教事务行政审批、行政复议、行政诉讼工作；负责行政执法工作；组织协调网络宗教事务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负责发现、培养党外代表人士，负责党外人士的政治安排，会同有关部门做好安排党外人士担任政府、司法机关、群团组织、国有企事业单位等领导职务的工作，做好党外人士后备队伍建设工作。协助市各民主党派、工商联及其他统战团体做好干部管理工作。反映并协调解决党外代表人士工作生活中的实际困难。负责党外代表人士、统战干部培训工作，做好党政领导干部统战理论政策培训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负责联系各民主党派，通报情况、反映意见，贯彻落实中国共产党领导的多党合作和政治协商制度以及对民主党派的方针政策。支持、帮助民主党派加强自身建设，做好支持民主党派履行职责、发挥作用的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负责联系、培养无党派代表人士，支持、帮助无党派人士加强自身建设、发挥作用。调查研究党外知识分子和新的社会阶层人士情况，提出政策建议并推动落实。联系、培养党外知识分子和新的社会阶层代表人士。开展思想政治工作，指导市级机关、高等学校、科研院所、市属企事业等有关单位及社会组织开展党外知识分子、新的社会阶层人士、出国和归国留学人员统战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 xml:space="preserve">（六）贯彻落实党的民族工作方针政策和法律法规，拟订民族工作措施，宣传民族政策和法律法规，组织开展民族团结进步创建活动。做好民族事务行政审批工作，依法保护全市少数民族的合法权益。会同有关部门做好少数民族扶贫工作、少数民族流动人口服务管理工作，协助有关镇加快推进少数民族聚居地建设，全面促进民族事业发展。贯彻落实党中央治藏、治疆工作方略，协调市有关部门和单位做好涉藏、涉疆工作。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负责全市宗教工作，贯彻落实党的宗教工作方针政策和中央、省市委关于宗教工作的重大决策部署。依法管理宗教事务工作，加强宗教团体建设。牵头协调处置全市宗教领域的重大事件，开展全市宗教领域重大问题调研。联系、培养宗教界代表人士，做好代表人士的政治安排和在宗教团体的安排工作，巩固和发展同宗教界的爱国统一战线。引导宗教坚持中国化方向，配合有关部门做好防范和处理邪教工作，抵御境外利用宗教进行的渗透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统一领导海外统战工作，贯彻落实党中央、国务院关于港澳台侨工作的方针政策和省市工作部署，牵头开展港澳统战工作，开展对台统战工作，统一管理侨务工作。拟订海外统战工作政策和规划并组织协调、督促检查落实，会同有关部门对港澳台地区统战工作进行调查研究并提出政策建议，开展侨情和侨务工作调查研究。联系港澳台有关党派、团体及代表人士，联系海外有关社团及代表人士，做好港澳台侨胞及其眷属有关工作。参与拟订引资引智政策法规，指导并参与经济、文化、教育、科技、体育等各领域的对外交流交往。做好统一战线外事管理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参与制定、推动落实鼓励支持引导非公有制经济发展的各项政策，调查研究非公有制经济人士情况并提出政策建议。了解、反映非公有制经济人士的意见，团结、服务、引导、教育培养非公有制经济人士，促进非公有制经济健康发展和非公有制经济人士健康成长。协同督促检查《台湾同胞投资保护法》《江苏省保护和促进台湾同胞投资条例》《江苏省保护和促进华侨投资条例》的贯彻落实，会同有关部门协调指导全市对外经贸工作，指导港澳台侨资企业的管理工作，协调有关部门和所在地党委政府帮助港澳台侨资企业处理矛盾纠纷，维护合法权益。</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（十）协助管理各镇（街道、园区）党（工）委统战委员。受市委委托，领导市工商联党组，指导市工商联工作。领导市台湾同胞联谊会、市归侨侨眷联合会。</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（十一）完成市委交办的其他任务。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（一） 办公室；（二） 研究室（政策法规科）；（三） 民主党派工作科；（四） 无党派人士工作科（新的社会阶层人士工作科）；（五） 民族工作科；（六） 宗教工作科；（七） 港澳台侨工作科（经济联络科）。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本单位下属单位包括:句容市民族宗教事务服务中心。</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一是全力抓好“二十大”精神的传达学习。要团结带领全市统战领域，深入学习“二十大”的会议精神，确保统战系统始终与我党同心同德，紧密团结在党中央周围。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二是继续推进《条例》学习贯彻。要继续在各级党委（党组）及统战领域各团体开展《条例》的学习贯彻，完善并推动《实施方案》在统战系统的贯彻落实。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三是深入学习贯彻中央民族工作会议精神和全国宗教工作会议精神。在全市深入开展中央民族工作会议精神和全国宗教工作会议精神的学习，在民族宗教工作中全面贯彻落实两个会议精神。</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四是大力推进“同心红”志愿工作。要统筹各分团力量，整合各自优势，集中力量开展在全市有影响力的服务活动，在后白镇林梅村开展幸福家园项目建设。</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是在服务民营企业发展上持续发力。要紧密结合实际，发挥前期的优势积累，在全市选择一批优秀民营企业，开展党建进民企活动，助力企业发展；要发挥好民主党派（统战团体）民主监督和民营企业人士的亲历者作用，持续优化营商环境。</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六是办好宗教领域重大工作。紧盯“国际道教论坛”与基督教堂异地重建两项重点工程，超前谋划，牢牢把住工作重要节点和关键步骤，确保重大工作圆满顺利完成。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是继续强化党外代表人士队伍建设。与组织部门联合开展党外代表人士及统战系统干部队伍能力提升培训班，不断提升统战领域的整体工作水平和能力素质；以市人大、市政协换届为契机，科学谋划、统筹安排党外代表人士的政治安排；通盘考虑党外干部队伍和民主党派组织建设，不断优化党外代表人士队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是继续深入推进统战阵地建设。在解决了“有”的基础上，全面提升统战阵地建设的质量，向“优”看齐，统战阵地建设在区域上要做到“一镇一品”，在界别上要做到“种类齐全”，在活动开展上要做到“常态互联”。</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九是进一步提升统战领域的规范性。要进一步指导民主党派和统战团体，提升组织建设和成员发展等方面的规范性和科学性，加大对宗教团体规范化管理的力度，全面提升统战领域的规范性科学性。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十是推动“侨务联盟建设”落地落实。紧密结合实际，高标准完成省侨办的创新实验课题——“侨务联盟建设”，推进我市侨务工作在全省争先进位。</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是进一步提升党派团体的活跃度。要发挥统战部“统”的职能，通过“给课题”“下任务”“压担子”等形式，进一步激发民主党派（统战团体）的活跃度，鼓励支持他们单独或者联合开展活动，提升他们参政议政、服务社会的能力和意愿。</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中共句容市委统战部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中共句容市委统战部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1,137.49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972.13</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165.36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1,137.49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1,137.49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1,137.49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1,137.49</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中共句容市委统战部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1,137.49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1,137.49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1,137.49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009009</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中共句容市委统战部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1,137.49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1,137.49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1,137.49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中共句容市委统战部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1,137.49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883.85</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253.64</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972.13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718.49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253.64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民族事务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2012304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民族工作专项</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统战事务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949.63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718.49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231.14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2013401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683.93</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683.93</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2013402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2013404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宗教事务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54.50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54.50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2013405</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华侨事务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2013450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2013499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其他统战事务支出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146.64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146.64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165.36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165.36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109.56</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中共句容市委统战部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1,137.49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1,137.49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1,137.49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972.13</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165.36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1,137.49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1,137.49</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中共句容市委统战部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1,137.49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883.85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813.43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70.42</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253.64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972.13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718.49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648.07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70.42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253.64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民族事务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2012304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民族工作专项</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22.50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统战事务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949.63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718.49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648.07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70.42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231.14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2013401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683.93</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683.93</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613.51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70.42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2013402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2013404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宗教事务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54.50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54.50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2013405</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华侨事务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2013450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34.56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2013499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其他统战事务支出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146.64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165.36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55.80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109.56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中共句容市委统战部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883.85</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813.43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727.03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727.03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112.37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112.37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201.06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201.06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43.96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43.96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70.42</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33.98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56.77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56.77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中共句容市委统战部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1,137.49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883.85</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813.43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70.42</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253.64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972.13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718.49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648.07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253.64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民族事务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2012304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民族工作专项</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22.50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统战事务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949.63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718.49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648.07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231.14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2013401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683.93</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683.93</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613.51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2013402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2013404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宗教事务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54.50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54.50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2013405</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华侨事务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2013450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34.56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34.56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2013499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其他统战事务支出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146.64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146.64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165.36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165.36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165.36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109.56</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109.56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中共句容市委统战部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883.85</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813.43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727.03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727.03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112.37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112.37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201.06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201.06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244.39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9.39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43.96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43.96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21.97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16.52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55.80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70.42</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差旅费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5.94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1.34</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33.98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11.36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86.40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12.28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56.77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56.77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13.57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中共句容市委统战部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中共句容市委统战部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中共句容市委统战部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中共句容市委统战部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70.42</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邮电费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差旅费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5.94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1.34</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33.98</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11.36</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中共句容市委统战部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中共句容市委统战部2022年度收入、支出预算总计1,137.49万元，与上年相比收、支预算总计各增加158.7万元，增长16.21%。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（一）收入预算总计1,137.49万元。包括：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1．本年收入合计1,137.49万元。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（1）一般公共预算拨款收入1,137.49万元，与上年相比增加158.7万元，增长16.21%。主要原因是人员增加及项目经费增加。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（二）支出预算总计1,137.49万元。包括：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1．本年支出合计1,137.49万元。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（1）一般公共服务支出（类）支出972.13万元，主要用于统战事务、民族宗教事务、台湾事务基本支出和项目支出。与上年相比增加126.42万元，增长14.95%。主要原因是人员增加及项目经费增加。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（2）住房保障支出（类）支出165.36万元，主要用于在职人员住房公积金单位部分和在职人员提租补贴支出。与上年相比增加32.28万元，增长24.26%。主要原因是调整基本工资所致。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中共句容市委统战部2022年收入预算合计1,137.49万元，包括本年收入1,137.49万元，上年结转结余0万元。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本年一般公共预算收入1,137.49万元，占100%；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中共句容市委统战部2022年支出预算合计1,137.49万元，其中：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基本支出883.85万元，占77.7%；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项目支出253.64万元，占22.3%；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中共句容市委统战部2022年度财政拨款收、支总预算1,137.49万元。与上年相比，财政拨款收、支总计各增加158.7万元，增长16.21%。主要原因是人员增加及项目经费增加。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中共句容市委统战部2022年财政拨款预算支出1,137.49万元，占本年支出合计的100%。与上年相比，财政拨款支出增加158.7万元，增长16.21%。主要原因是人员增加及项目经费增加。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1.民族事务（款）民族工作专项（项）支出22.5万元，与上年相比增加22.5万元（去年预算数为0万元，无法计算增减比率）。主要原因是功能科目调整。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2.统战事务（款）行政运行（项）支出683.93万元，与上年相比增加104.85万元，增长18.11%。主要原因是人员经费增加。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3.统战事务（款）一般行政管理事务（项）支出24万元，与上年预算数相同。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4.统战事务（款）宗教事务（项）支出54.5万元，与上年相比减少7万元，减少11.38%。主要原因是项目经费缩减所致。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5.统战事务（款）华侨事务（项）支出6万元，与上年相比减少2万元，减少25%。主要原因是减少侨联工作经费所致。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6.统战事务（款）事业运行（项）支出34.56万元，与上年相比增加34.56万元（去年预算数为0万元，无法计算增减比率）。主要原因是功能科目调整。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7.统战事务（款）其他统战事务支出（项）支出146.64万元，与上年相比减少26.5万元，减少15.31%。主要原因是功能科目调整。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1.住房改革支出（款）住房公积金（项）支出55.8万元，与上年相比增加12.67万元，增长29.38%。主要原因是调整基本工资所致。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2.住房改革支出（款）提租补贴（项）支出109.56万元，与上年相比增加19.61万元，增长21.8%。主要原因是调整基本工资所致。。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中共句容市委统战部2022年度财政拨款基本支出预算883.85万元，其中：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813.43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（二）公用经费70.42万元。主要包括：办公费、邮电费、差旅费、公务接待费、工会经费、福利费、其他交通费用、其他商品和服务支出。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中共句容市委统战部2022年一般公共预算财政拨款支出预算1,137.49万元，与上年相比增加158.7万元，增长16.21%。主要原因是人员增加及项目经费增加。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中共句容市委统战部2022年度一般公共预算财政拨款基本支出预算883.85万元，其中：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813.43万元。主要包括：基本工资、津贴补贴、奖金、绩效工资、机关事业单位基本养老保险缴费、职业年金缴费、职工基本医疗保险缴费、公务员医疗补助缴费、其他社会保障缴费、住房公积金、其他工资福利支出、离休费、退休费、退职（役）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（二）公用经费70.42万元。主要包括：办公费、邮电费、差旅费、公务接待费、工会经费、福利费、其他交通费用、其他商品和服务支出。</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共句容市委统战部2022年度一般公共预算拨款安排的“三公”经费预算支出中，因公出国（境）费支出0万元，占“三公”经费的0%；公务用车购置及运行维护费支出0万元，占“三公”经费的0%；公务接待费支出6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中共句容市委统战部2022年度一般公共预算拨款安排的会议费预算支出0万元，与上年预算数相同。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中共句容市委统战部2022年度一般公共预算拨款安排的培训费预算支出0万元，与上年预算数相同。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中共句容市委统战部2022年政府性基金支出预算支出0万元。与上年预算数相同。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中共句容市委统战部2022年国有资本经营预算支出0万元。与上年预算数相同。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2022年本单位一般公共预算机关运行经费预算支出70.42万元。与上年相比增加6.67万元，增长10.46%。主要原因是人员增加所致。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2022年度，本单位整体支出纳入绩效目标管理，涉及四本预算资金1,137.49万元；本单位共9个项目纳入绩效目标管理，涉及四本预算资金合计253.64万元，占四本预算资金(基本支出除外)总额的比例为100%。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八、一般公共服务支出(类)民族事务(款)民族工作专项(项)</w:t>
      </w:r>
      <w:r>
        <w:rPr>
          <w:rFonts w:ascii="仿宋" w:hAnsi="仿宋" w:cs="仿宋" w:eastAsia="仿宋"/>
          <w:b w:val="true"/>
        </w:rPr>
        <w:t>：</w:t>
      </w:r>
      <w:r>
        <w:rPr>
          <w:rFonts w:hint="eastAsia" w:ascii="仿宋" w:hAnsi="仿宋" w:eastAsia="仿宋" w:cs="仿宋"/>
        </w:rPr>
        <w:t>反映用于民族事务管理方面的专项支出。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九、一般公共服务支出(类)统战事务(款)行政运行(项)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十、一般公共服务支出(类)统战事务(款)一般行政管理事务(项)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十一、一般公共服务支出(类)统战事务(款)宗教事务(项)</w:t>
      </w:r>
      <w:r>
        <w:rPr>
          <w:rFonts w:ascii="仿宋" w:hAnsi="仿宋" w:cs="仿宋" w:eastAsia="仿宋"/>
          <w:b w:val="true"/>
        </w:rPr>
        <w:t>：</w:t>
      </w:r>
      <w:r>
        <w:rPr>
          <w:rFonts w:hint="eastAsia" w:ascii="仿宋" w:hAnsi="仿宋" w:eastAsia="仿宋" w:cs="仿宋"/>
        </w:rPr>
        <w:t>反映用于宗教事务管理方面的支出。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十二、一般公共服务支出(类)统战事务(款)华侨事务(项)</w:t>
      </w:r>
      <w:r>
        <w:rPr>
          <w:rFonts w:ascii="仿宋" w:hAnsi="仿宋" w:cs="仿宋" w:eastAsia="仿宋"/>
          <w:b w:val="true"/>
        </w:rPr>
        <w:t>：</w:t>
      </w:r>
      <w:r>
        <w:rPr>
          <w:rFonts w:hint="eastAsia" w:ascii="仿宋" w:hAnsi="仿宋" w:eastAsia="仿宋" w:cs="仿宋"/>
        </w:rPr>
        <w:t>反映有关华侨接待安置、生活困难补助以及华文教育等方面的支出。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十三、一般公共服务支出(类)统战事务(款)事业运行(项)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十四、一般公共服务支出(类)统战事务(款)其他统战事务支出(项)</w:t>
      </w:r>
      <w:r>
        <w:rPr>
          <w:rFonts w:ascii="仿宋" w:hAnsi="仿宋" w:cs="仿宋" w:eastAsia="仿宋"/>
          <w:b w:val="true"/>
        </w:rPr>
        <w:t>：</w:t>
      </w:r>
      <w:r>
        <w:rPr>
          <w:rFonts w:hint="eastAsia" w:ascii="仿宋" w:hAnsi="仿宋" w:eastAsia="仿宋" w:cs="仿宋"/>
        </w:rPr>
        <w:t>反映除上述项目以外其他用于中国共产党统战部门的事务支出。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中共句容市委统战部</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