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2022年度句容市图书馆单位预算公开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部门主要工作职责：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1、及时做好读者的借、还书登记工作，主动向读者提供新书、好书。工作人员应自觉爱护书刊，保持书架按类排列整齐，及时修补破损图书，不以破旧书面对读者。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 收集各种类型的图书文献资料，进行科学的加工、开发和利用“文化信息资源共享工程”，为句容全市人民提供切实有效的图书文献信息保障。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 开展文献借阅、阅览、读者辅导、参考咨询、信息服务工作，提高读者的信息意识和利用文献信息的技能。积极采用现代技术，实行科学管理，不断提高业务工作质量和服务水平。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管理和保护好馆藏文献，是图书馆借阅部门和书库工作人员的重要职责，要经常了解和掌握馆藏文献的保护情况，包括文献破损与修复、防尘、防火、防盗、防虫、防潮等。发现问题及时解决并向部室负责人报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5、加强对设备的维护和保养，设备要严格按照技术要求使用操作，当出现故障时，要及时维修。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6、通过举办报告会、讲座、展览等多种形式，开展延伸服务工作。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7、提供电子与网络信息资源检索、视听服务。做好相关文化阵地宣传工作等。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8、通过提供的文化惠民服务满足句容人民对文化娱乐的需要，丰富和活跃人民群众的文化生活，在精神文明建设当中起到了不可或缺的作用。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馆长室、财务室、活动策划室、技术部、流通部。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句容市图书馆2022年工作任务及目标：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1、“4.23世界读书日”系列活动；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2、喜迎二十大系列活动（成就展、主题电影展映活动、学习二十大精神等）；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3、启动实施智慧图书馆建设计划，创新开展全民阅读品牌活动；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4、组织举办优秀美术书法作品展览，用文化艺术形式营造喜迎党的二十大浓厚氛围；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5、句容市第四届少儿绘画比赛；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6、镇江市红领巾读书征文、演讲比赛；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7、第八届“图书馆”杯围棋比赛；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8、长三角地区公共图书馆阅读马拉松大赛；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9、容城名家讲坛——国学讲坛；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10、完善图书馆分馆建设，打造最美公共文化阅读空间；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11、国家一级馆评估定级。</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句容市图书馆</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句容市图书馆</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544.86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490.52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54.34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544.86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544.86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544.86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544.86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句容市图书馆</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544.86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544.86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544.86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067068</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句容市图书馆</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544.86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544.86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544.86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句容市图书馆</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544.86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352.86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图书馆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句容市图书馆</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544.86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544.86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544.86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490.52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54.34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544.86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544.86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句容市图书馆</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544.86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352.86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324.35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图书馆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句容市图书馆</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352.86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324.35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句容市图书馆</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544.86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352.86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324.35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图书馆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句容市图书馆</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352.86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324.35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句容市图书馆</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句容市图书馆</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句容市图书馆</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句容市图书馆</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句容市图书馆</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句容市图书馆</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图书专项经费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其他图书、档案</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句容市图书馆</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句容市图书馆2022年度收入、支出预算总计544.86万元，与上年相比收、支预算总计各增加42.3万元，增长8.42%。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（一）收入预算总计544.86万元。包括：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1．本年收入合计544.86万元。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（1）一般公共预算拨款收入544.86万元，与上年相比增加42.3万元，增长8.42%。主要原因是人员工资、保险的增加以及场馆运行费用增加。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（二）支出预算总计544.86万元。包括：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1．本年支出合计544.86万元。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（1）文化旅游体育与传媒支出（类）支出490.52万元，主要用于保证场馆正常运行费用。与上年相比增加40.77万元，增长9.07%。主要原因是工资、保险及场馆运行费用增加。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（2）住房保障支出（类）支出54.34万元，主要用于人员的公积金及提租补贴费用。与上年相比增加1.53万元，增长2.9%。主要原因是公积金及提租补贴的增加。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句容市图书馆2022年收入预算合计544.86万元，包括本年收入544.86万元，上年结转结余0万元。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本年一般公共预算收入544.86万元，占100%；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句容市图书馆2022年支出预算合计544.86万元，其中：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基本支出352.86万元，占64.76%；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项目支出192万元，占35.24%；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句容市图书馆2022年度财政拨款收、支总预算544.86万元。与上年相比，财政拨款收、支总计各增加42.3万元，增长8.42%。主要原因是人员工资、保险及场馆运行费用增加。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句容市图书馆2022年财政拨款预算支出544.86万元，占本年支出合计的100%。与上年相比，财政拨款支出增加42.3万元，增长8.42%。主要原因是人员工资保险及场馆运行项目费用增加。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1.文化和旅游（款）行政运行（项）支出16.72万元，与上年相比增加16.72万元（去年预算数为0万元，无法计算增减比率）。主要原因是离休人员的费用列入行政运行。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2.文化和旅游（款）图书馆（项）支出473.8万元，与上年相比增加24.05万元，增长5.35%。主要原因是场馆运行费用增加。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1.住房改革支出（款）住房公积金（项）支出17.94万元，与上年相比增加0.37万元，增长2.11%。主要原因是公积金增加。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2.住房改革支出（款）提租补贴（项）支出36.4万元，与上年相比增加1.16万元，增长3.29%。主要原因是提租补贴增加。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句容市图书馆2022年度财政拨款基本支出预算352.86万元，其中：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324.35万元。主要包括：基本工资、津贴补贴、奖金、绩效工资、机关事业单位基本养老保险缴费、职业年金缴费、职工基本医疗保险缴费、其他社会保障缴费、住房公积金、其他工资福利支出、离休费、退休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（二）公用经费28.51万元。主要包括：办公费、差旅费、会议费、培训费、公务接待费、劳务费、工会经费、福利费、公务用车运行维护费、其他交通费用、其他商品和服务支出。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句容市图书馆2022年一般公共预算财政拨款支出预算544.86万元，与上年相比增加42.3万元，增长8.42%。主要原因是人员工资、保险增加以及场馆运行费用增加。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句容市图书馆2022年度一般公共预算财政拨款基本支出预算352.86万元，其中：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324.35万元。主要包括：基本工资、津贴补贴、奖金、绩效工资、机关事业单位基本养老保险缴费、职业年金缴费、职工基本医疗保险缴费、其他社会保障缴费、住房公积金、其他工资福利支出、离休费、退休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（二）公用经费28.51万元。主要包括：办公费、差旅费、会议费、培训费、公务接待费、劳务费、工会经费、福利费、公务用车运行维护费、其他交通费用、其他商品和服务支出。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度一般公共预算拨款安排的“三公”经费预算支出中，因公出国（境）费支出0万元，占“三公”经费的0%；公务用车购置及运行维护费支出3.2万元，占“三公”经费的76.19%；公务接待费支出1万元，占“三公”经费的23.81%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3．公务接待费预算支出1万元，比上年预算减少0.5万元，主要原因是严格执行励行节约，压缩经费。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句容市图书馆2022年度一般公共预算拨款安排的会议费预算支出0.5万元，比上年预算增加0.5万元，主要原因是会议安排次数增加。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句容市图书馆2022年度一般公共预算拨款安排的培训费预算支出0.7万元，比上年预算减少0.3万元，主要原因是培训人员次数减少。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句容市图书馆2022年国有资本经营预算支出0万元。与上年预算数相同。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2022年度政府采购支出预算总额83.2万元，其中：拟采购货物支出80万元、拟采购工程支出0万元、拟购买服务支出3.2万元。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0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2022年度，本单位整体支出纳入绩效目标管理，涉及四本预算资金544.86万元；本单位共6个项目纳入绩效目标管理，涉及四本预算资金合计192万元，占四本预算资金(基本支出除外)总额的比例为100%。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八、文化旅游体育与传媒支出(类)文化和旅游(款)行政运行(项)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九、文化旅游体育与传媒支出(类)文化和旅游(款)图书馆(项)</w:t>
      </w:r>
      <w:r>
        <w:rPr>
          <w:rFonts w:ascii="仿宋" w:hAnsi="仿宋" w:cs="仿宋" w:eastAsia="仿宋"/>
          <w:b w:val="true"/>
        </w:rPr>
        <w:t>：</w:t>
      </w:r>
      <w:r>
        <w:rPr>
          <w:rFonts w:hint="eastAsia" w:ascii="仿宋" w:hAnsi="仿宋" w:eastAsia="仿宋" w:cs="仿宋"/>
        </w:rPr>
        <w:t>反映图书馆的支出。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句容市图书馆</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