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句容市城市建设投资服务中心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代表政府对建设开发用地统一征用、批租土地；主持土地竞标、拍卖；收取各种建设规费；统一对外融资，并对市房地产开发企业实行统一管理。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经理室、办公室、财务室、融资投资科、施工管理科、规划建设科、工会。</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及时做好退休人员住房补贴每月发放，在职人员保险费、职业年金的缴纳；按时完成预决算填报及公开工作。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句容市城市建设投资服务中心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句容市城市建设投资服务中心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8.92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8.92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8.92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8.92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8.92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8.92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8.92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8.92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048059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句容市城市建设投资服务中心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句容市城市建设投资服务中心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8.92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8.92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8.92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句容市城市建设投资服务中心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句容市城市建设投资服务中心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句容市城市建设投资服务中心2022年度收入、支出预算总计8.92万元，与上年相比收、支预算总计各减少22.61万元，减少71.71%。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（一）收入预算总计8.92万元。包括：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1．本年收入合计8.92万元。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（1）一般公共预算拨款收入8.92万元，与上年相比减少22.61万元，减少71.71%。主要原因是减少句投集团事业人员的社保费及职业年金。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（二）支出预算总计8.92万元。包括：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1．本年支出合计8.92万元。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（1）城乡社区支出（类）支出4.12万元，主要用于退休人员年终一次性支出及人员公用经费。与上年相比减少21.45万元，减少83.89%。主要原因是减少句投集团事业人员的社保费及职业年金。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（2）住房保障支出（类）支出4.8万元，主要用于退休人员的住房补贴支出。与上年相比减少1.16万元，减少19.46%。主要原因是退休人员减少。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句容市城市建设投资服务中心2022年收入预算合计8.92万元，包括本年收入8.92万元，上年结转结余0万元。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本年一般公共预算收入8.92万元，占100%；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句容市城市建设投资服务中心2022年支出预算合计8.92万元，其中：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基本支出8.92万元，占100%；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句容市城市建设投资服务中心2022年度财政拨款收、支总预算8.92万元。与上年相比，财政拨款收、支总计各减少22.61万元，减少71.71%。主要原因是减少句投集团事业人员的社保费及职业年金。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句容市城市建设投资服务中心2022年财政拨款预算支出8.92万元，占本年支出合计的100%。与上年相比，财政拨款支出减少22.61万元，减少71.71%。主要原因是减少句投集团事业人员的社保费及职业年金。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城乡社区管理事务（款）其他城乡社区管理事务支出（项）支出4.12万元，与上年相比减少21.45万元，减少83.89%。主要原因是减少句投集团事业人员的社保费及职业年金。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住房改革支出（款）提租补贴（项）支出4.8万元，与上年相比减少1.16万元，减少19.46%。主要原因是退休人员减少。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句容市城市建设投资服务中心2022年度财政拨款基本支出预算8.92万元，其中：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（一）人员经费8.8万元。主要包括：退休费。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（二）公用经费0.12万元。主要包括：福利费。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句容市城市建设投资服务中心2022年一般公共预算财政拨款支出预算8.92万元，与上年相比减少22.61万元，减少71.71%。主要原因是减少句投集团事业人员的社保费及职业年金。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句容市城市建设投资服务中心2022年度一般公共预算财政拨款基本支出预算8.92万元，其中：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（一）人员经费8.8万元。主要包括：退休费。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（二）公用经费0.12万元。主要包括：福利费。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句容市城市建设投资服务中心2022年国有资本经营预算支出0万元。与上年预算数相同。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2022年度，本单位整体支出纳入绩效目标管理，涉及四本预算资金8.92万元；本单位共0个项目纳入绩效目标管理，涉及四本预算资金合计0万元，占四本预算资金(基本支出除外)总额的比例为0%。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句容市城市建设投资服务中心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