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2022年度句容市建设部门部门预算公开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规范全市住房和城乡建设管理秩序的责任。制定住房和城乡建设、人民防空、防震减灾工作规范性文件。研究提出住房和城乡建设重大问题的政策建议。编制全市住房和城乡建设发展规划。监督管理全市住房和城乡建设行政执法和行业稽查工作。组织开展全市住房和城乡建设信用体系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担全市城镇住房保障和住房制度改革的责任。拟订住房政策、住房保障政策和住房制度改革方案并指导实施。组织编制全市住房发展规划和住房保障发展规划、年度计划并监督实施。推进全市住房保障体系建设，建立并指导保障性安居工程运营管理制度的实施。会同有关部门做好中央、省市有关廉租住房资金安排，指导和监督全市组织实施。监督全市直管公房管理。指导市住房公积金管理机构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承担规范房地产市场秩序、监管房地产市场的责任。拟订房地产业发展和市场监管政策并监督执行。提出房地产业的行业发展规划并监督实施。制定房地产开发、住宅产业化与性能认定、房地产交易、房屋租赁、房屋面积管理、房地产估价与经纪管理、物业管理、住宅装饰装修等制度规范并监督执行。会同有关部门负责本市行政区域内住宅专项维修资金管理工作的指导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承担设计行业发展和管理的责任。拟订工程勘察设计咨询业发展规划、技术政策和制度规范。指导城市设计、建筑设计、工程勘察设计工作，会同有关部门负责历史文化名城（名镇、名村）和历史文化保护区的申报、保护规划的审查报批和监督实施工作。承担施工图设计审查（应由其他部门承担的审查项目除外）、建设工程消防设计审查验收工作。组织编制城乡建设抗震防灾规划并监督实施，负责各类房屋建筑及其附属设施和市政设施抗震设防监督管理，组织建筑工程抗震设防审查，指导开展应急避难场所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担指导市政基础设施建设、管理的责任。拟订城市道路、桥梁、供排水、燃气等城市市政基础设施发展规划并指导实施。负责除环境卫生设施以外的公交站台、路牙、路灯等市政公用设施规划布局、建设标准审核、日常监管及安全应急管理；牵头负责城区（华阳街道、开发区管委会、崇明街道行政管辖区域）雨蓖子、害井盖管理养护工作；负责村镇的路灯、供水、建筑及市政设施防汛、排水、生活污水处理和城镇燃气、热力行业建设标准、风格和设计施工方案的审核把关工作；推进海绵城市、城市地下综合管廊建设工作；承办人居环境奖的创建申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承担规范和指导全市村镇建设的责任。协同推进乡村振兴战略，指导村镇建设规划编制，拟订村庄和小城镇建设政策并指导实施。指导农村住房建设和危房改造。指导小城镇和村庄的人居环境改善工作。指导全市美丽宜居乡村建设工程、特色田园乡村、重点中心镇和特色小城镇的建设。指导全市传统村落保护和发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7、承担建立科学规范的工程建设标准体系的责任。宣传贯彻工程建设统一定额、计价依据、工程造价管理制度规范，监督指导各类工程建设标准定额的实施和工程造价计价，组织发布工程造价信息。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监督管理建筑市场、规范市场各方主体行为、推进建筑业发展的责任。拟订建筑业行业发展战略、中长期规划、改革方案、产业政策、制度规范并监督执行。制定规范建筑市场主体及中介服务机构行为的制度规范并监督实施。指导房屋建筑和市政基础设施工程项目招投标活动、竣工验收和备案的监督管理（划转至市行政审批局的事项除外）。负责工程建设实施阶段的监督管理，指导工程项目建设、合同管理和工程风险管理。负责房屋建筑工程和市政基础设施工程防雷装置设计审核、竣工验收许可。促进建筑企业对外开拓市场、参与国际工程承包。拟订全市政府投资工程集中建设的规章制度并监督执行，负责市级政府投资非盈利性工程项目集中建设日常指导和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承担建筑工程质量安全监管的责任。制定建筑工程质量、安全生产的规章制度，指导建筑工程质量监督、安全监督工作。制定建筑业技术政策并指导实施。参与市政府组织的工程重大安全事故的调查处理，参与国家、省和市审批立项的房屋建筑和市政基础设施重大建设项目工程质量、安全、施工现场监管和竣工验收的管理工作。协调国家、省、市级优质工程的审核推荐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承担推进科技进步、绿色建筑发展、建筑节能、城镇建筑减排的责任。制定建设科技发展规划并指导实施。会同有关部门拟订绿色建筑、智慧建筑和建筑节能的政策、规划并监督实施。组织建筑行业重大科技项目研究和重大建筑节能项目实施。推进建筑产业现代化。指导建筑能效测评和绿色建筑标识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11、负责全市房屋征收拆迁管理工作。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拟订市人民防空指挥系统转入战时体制方案。指导制定城市防空袭方案和重要经济目标防护方案，监督检查执行情况。组织制定城市人口疏散计划。组织人民防空演习。负责市委、市政府人民防空指挥所的建设和管理工作，保障市委、市政府、人武部组织指挥全市人民防空行动。负责指导人民防空专业队伍、人民防空志愿者队伍建设和管理工作。负责人民防空信息化及警报建设和管理工作。承担市国防动员委员会办公室工作。依法筹集人民防空建设经费，编制经费预算，监督检查人民防空财务管理规定和制度执行情况。负责并指导人民防空国有资产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参与指导城市地下空间规划、开发利用，负责城市地下空间开发利用中人民防空防护等事项的管理和监督检查工作。负责组织修建人民防空指挥工程、公用的人员掩蔽工程和疏散干道工程。监督人民防空工程建设设计、质量、技术和造价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负责人民防空平战结合工作。负责人民防空工程平时开发利用管理工作，承担已建人民防空工程的维护、使用安全管理责任。负责制定全市人民防空宣传、教育计划并督促贯彻实施。组织开展人民防空科学技术研究，负责人民防空科技情报、项目和成果管理，指导人民防空科学技术研究机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15、管理地震监测预报工作。组织实施地震观测系统及信息平台建设，负责提出地震趋势预报意见，负责震情会商和震情速报，负责地震监测台站和地震群测群防工作的管理。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16、负责地震抗震设防、地震安全性评价管理及地震活动断层的探测工作。开展防震减灾宣传教育工作。参与地震灾害损失评估。参与地震灾区重建相关工作。负责地震科技项目管理，开展地震科技合作与交流。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17、指导全市住房和城乡建设行业人才培养、职业教育、执业资格考试与注册管理工作。组织对外交流与合作。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18、完成市委、市政府交办的其他任务。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征收拆迁管理科）、房地产市场监管科（住房保障科、物业管理指导科、直管公房管理科）、城镇建设科建筑市场监管科（建筑科技推广科、防震减灾科）、工程质量安全监管科、行政审批科招投标管理科、人防事业发展科、人防指挥通信科、财务审计科和人事教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市政建设服务所，句容市建设工程造价管理处，句容市建设工程管理处，句容市建设工程质量监督站，句容市建筑抗震防震技术服务站，句容市拆迁安置服务中心，句容市住房保障服务中心，句容市房屋白蚁防治所，句容市城市建设投资服务中心，句容市燃气发展中心，句容市市政公用事业服务中心，句容市房产业发展服务中心，句容市路灯养护所，句容市城建监察大队，句容市消防设计审查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16</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建设部门（本级），句容市市政建设服务所，句容市建设工程造价管理处，句容市建设工程管理处，句容市建设工程质量监督站，句容市建筑抗震防震技术服务站，句容市拆迁安置服务中心，句容市住房保障服务中心，句容市房屋白蚁防治所，句容市城市建设投资服务中心，句容市燃气发展中心，句容市市政公用事业服务中心，句容市房产业发展服务中心，句容市路灯养护所，句容市城建监察大队，句容市消防设计审查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推进精美城市建设。一是继续打好征收拆迁硬仗。二是继续推进老旧小区改造。三是切实打好污染防治攻坚战，深化“排口长制”工作，系统推进城区污水处理厂提质增效、城区雨污分流工程，确保国省考断面长期稳定达标。四是加快推进长江引水及40万吨新水厂工程等重点工程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2.推进乡村振兴工程。一是推进特色田园乡村创建。二是做好农村人居环境改善及撤并乡镇集镇区环境整治。三是坚决打好精准脱贫攻坚战。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强化监督管理。加强对进入我市建设工程质量检测企业经营行为管理；对所有纳入监管的新开项目全面推行实名制管理和设立农民工工资专用账户，实现实名管理全面覆盖；加强对建筑市场工程招投标的监管，严厉查处违法发包、分包转包和挂靠行为；强化商品房交付管理，加快推广商品房网签合同示范文本，进一步整治销售乱象；加强物业服务标准化建设、物业承接查验评估和租赁市场诚信化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强化改革创新。以建筑工程远程监控中心为基础，建立完善智慧安监系统，形成标准化工地、绿色工地长效管控机制；全面推广智慧物业平台，完善物业维修资金系统、物业企业征信系统，进一步提高物业管理服务水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句容市建设部门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句容市建设部门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10,376.07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9,047.84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1,318.23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10,376.07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10,376.07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10,376.07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10,376.07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10,376.07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10,376.07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10,376.07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10,376.07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10,376.07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10,376.07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句容市住房和城乡建设局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句容市市政建设服务所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句容市建设工程造价管理处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句容市建设工程管理处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1,473.23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句容市建设工程质量监督站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995.28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句容市建筑抗震防震技术服务站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399.74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句容市拆迁安置服务中心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句容市住房保障服务中心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句容市房屋白蚁防治所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048059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句容市城市建设投资服务中心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句容市燃气发展中心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句容市市政公用事业服务中心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434.82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句容市房产业发展服务中心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句容市路灯养护所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句容市城建监察大队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048068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句容市消防设计审查中心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8,395.06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1,981.01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9,047.84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7,126.58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1,921.26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4,133.09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3,561.95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工程建设管理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696.96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1,654.07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997.71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3,249.18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3,249.18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1,318.23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公共租赁住房</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地震监测</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2240507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地震应急救援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句容市建设部门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10,376.07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9,047.84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1,318.23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10,376.07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8,395.06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7,746.23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1,981.01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9,047.84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7,126.58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6,477.75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1,921.26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3,561.95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3,206.47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571.14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工程建设管理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1,567.08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270.27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696.96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125.87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2,671.04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237.23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2,671.04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237.23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公共租赁住房</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地震监测</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2240507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地震应急救援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句容市建设部门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8,395.06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7,746.23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7,438.81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7,438.81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225.75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10,376.07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8,395.06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7,746.23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9,047.84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7,126.58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1,921.26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4,133.09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3,561.95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工程建设管理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270.27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696.96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125.87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1,654.07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小城镇基础设施建设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3,249.18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2,671.04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3,249.18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2,671.04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1,318.23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公共租赁住房</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地震监测</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地震应急救援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8,395.06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7,746.23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7,438.81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7,438.81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1,636.88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225.75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因公出国（境）费用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句容市建设部门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句容市市政建设服务所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句容市建设工程质量监督站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句容市房屋白蚁防治所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句容市市政公用事业服务中心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句容市路灯养护所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句容市城建监察大队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句容市建设部门2022年度收入、支出预算总计10,376.07万元，与上年相比收、支预算总计各增加1,165.73万元，增长12.66%。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（一）收入预算总计10,376.07万元。包括：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1．本年收入合计10,376.07万元。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（1）一般公共预算拨款收入10,376.07万元，与上年相比增加1,165.73万元，增长12.66%。主要原因是完善职能，增加经费支出。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（二）支出预算总计10,376.07万元。包括：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1．本年支出合计10,376.07万元。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（1）城乡社区支出（类）支出9,047.84万元，主要用于人员工资、城镇化建设管理以及乡村振兴计划。与上年相比增加1,029.12万元，增长12.83%。主要原因是人员经费增加以及乡村振兴计划等项目支出增加。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（2）住房保障支出（类）支出1,318.23万元，主要用于住房公积金和提租补贴。与上年相比增加141.61万元，增长12.04%。主要原因是人员增加，规范公积金和住房租金补贴。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（3）灾害防治及应急管理支出（类）支出10万元，主要用于地震监测预警和灾害防治。与上年相比减少5万元，减少33.33%。主要原因是控制预算，缩减经费，减少相应支出。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句容市建设部门2022年收入预算合计10,376.07万元，包括本年收入10,376.07万元，上年结转结余0万元。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本年一般公共预算收入10,376.07万元，占100%；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句容市建设部门2022年支出预算合计10,376.07万元，其中：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基本支出8,395.06万元，占80.91%；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项目支出1,981.01万元，占19.09%；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句容市建设部门2022年度财政拨款收、支总预算10,376.07万元。与上年相比，财政拨款收、支总计各增加1,165.73万元，增长12.66%。主要原因是完善职能，相应经费增加。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句容市建设部门2022年财政拨款预算支出10,376.07万元，占本年支出合计的100%。与上年相比，财政拨款支出增加1,165.73万元，增长12.66%。主要原因是人员经费增加以及城镇化建设管理等项目支出增加。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1.城乡社区管理事务（款）行政运行（项）支出516.23万元，与上年相比增加118.62万元，增长29.83%。主要原因是人员基本工资增加以及城镇规划项目经费增加。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2.城乡社区管理事务（款）一般行政管理事务（项）支出59万元，与上年相比减少7.37万元，减少11.1%。主要原因是控制预算，经费相应减少。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3.城乡社区管理事务（款）城管执法（项）支出191.89万元，与上年相比减少13.35万元，减少6.5%。主要原因是控制预算，经费相应减少。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4.城乡社区管理事务（款）工程建设管理（项）支出116万元，与上年相比减少748.88万元，减少86.59%。主要原因是工程建设项目减少，经费缩减。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5.城乡社区管理事务（款）市政公用行业市场监管（项）支出715.66万元，与上年相比增加134.1万元，增长23.06%。主要原因是市场监管项目增加。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6.城乡社区管理事务（款）住宅建设与房地产市场监管（项）支出1,837.35万元，与上年相比增加232.15万元，增长14.46%。主要原因是房地产市场监管相关经费增加。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7.城乡社区管理事务（款）其他城乡社区管理事务支出（项）支出696.96万元，与上年相比增加113.91万元，增长19.54%。主要原因是其他城乡社区管理事务项目增加。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8.城乡社区规划与管理（款）城乡社区规划与管理（项）支出10万元，与上年相比减少9万元，减少47.37%。主要原因是控制预算，经费减少。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9.城乡社区公共设施（款）小城镇基础设施建设（项）支出50.1万元，与上年相比减少1,251.93万元，减少96.15%。主要原因是城镇基础设施项目减少。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10.城乡社区公共设施（款）其他城乡社区公共设施支出（项）支出1,603.97万元，与上年相比增加1,210.01万元，增长307.14%。主要原因是其他城镇基础设施经费增加，人员基本工资增加。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11.建设市场管理与监督（款）建设市场管理与监督（项）支出3,249.18万元，与上年相比增加1,249.37万元，增长62.47%。主要原因是项目增加，人员基本工资增加。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12.其他城乡社区支出（款）其他城乡社区支出（项）支出1.5万元，与上年相比增加1.5万元（去年预算数为0万元，无法计算增减比率）。主要原因是本年项目增加，相应经费增加。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1.保障性安居工程支出（款）公共租赁住房（项）支出17.75万元，与上年相比减少30.13万元，减少62.93%。主要原因是控制预算，公共租赁住房经费减少。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2.保障性安居工程支出（款）保障性住房租金补贴（项）支出32万元，与上年相比增加32万元（去年预算数为0万元，无法计算增减比率）。主要原因是保障性住房租金补贴项目增加，相应经费增加。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3.住房改革支出（款）住房公积金（项）支出472.13万元，与上年相比增加56.11万元，增长13.49%。主要原因是人员增加，规范公积金管理。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4.住房改革支出（款）提租补贴（项）支出796.35万元，与上年相比增加83.63万元，增长11.73%。主要原因是人员增加，规范提租补贴。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1.地震事务（款）一般行政管理事务（项）支出2万元，与上年相比减少2万元，减少50%。主要原因是控制预算，经费缩减。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2.地震事务（款）地震监测（项）支出3万元，与上年相比减少2万元，减少40%。主要原因是控制预算，经费缩减。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3.地震事务（款）地震应急救援（项）支出5万元，与上年相比减少1万元，减少16.67%。主要原因是控制预算，经费缩减。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句容市建设部门2022年度财政拨款基本支出预算8,395.06万元，其中：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7,746.23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648.83万元。主要包括：办公费、印刷费、咨询费、水费、电费、邮电费、物业管理费、差旅费、因公出国（境）费用、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句容市建设部门2022年一般公共预算财政拨款支出预算10,376.07万元，与上年相比增加1,165.73万元，增长12.66%。主要原因是人员基本工资以及项目经费增加。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句容市建设部门2022年度一般公共预算财政拨款基本支出预算8,395.06万元，其中：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7,746.23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648.83万元。主要包括：办公费、印刷费、咨询费、水费、电费、邮电费、物业管理费、差旅费、因公出国（境）费用、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一般公共预算拨款安排的“三公”经费预算支出中，因公出国（境）费支出0.5万元，占“三公”经费的0.57%；公务用车购置及运行维护费支出80万元，占“三公”经费的91.12%；公务接待费支出7.3万元，占“三公”经费的8.31%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1．因公出国（境）费预算支出0.5万元，比上年预算减少4.5万元，主要原因是控制预算，经费减少。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（2）公务用车运行维护费预算支出80万元，比上年预算增加3.2万元，主要原因是公车运行成本增加。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3．公务接待费预算支出7.3万元，比上年预算减少2.2万元，主要原因是控制预算，经费减少。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句容市建设部门2022年度一般公共预算拨款安排的会议费预算支出4万元，比上年预算减少4万元，主要原因是控制预算，经费减少。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句容市建设部门2022年度一般公共预算拨款安排的培训费预算支出4.6万元，比上年预算减少2.4万元，主要原因是控制预算，经费减少。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2022年本部门一般公共预算机关运行经费预算支出54.17万元。与上年相比增加8.31万元，增长18.12%。主要原因是机关运行成本增加。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2022年度政府采购支出预算总额57.6万元，其中：拟采购货物支出0万元、拟采购工程支出0万元、拟购买服务支出57.6万元。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24辆，其中，一般公务用车7辆、执法执勤用车3辆、特种专业技术用车7辆、业务用车5辆、其他用车2辆等。单价50万元（含）以上的通用设备0台（套），单价100万元（含）以上的专用设备1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2022年度，本部门整体支出纳入绩效目标管理，涉及四本预算资金10,376.07万元；本部门共56个项目纳入绩效目标管理，涉及四本预算资金合计1,981.01万元，占四本预算资金(基本支出除外)总额的比例为100%。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十一、城乡社区支出(类)城乡社区管理事务(款)工程建设管理(项)</w:t>
      </w:r>
      <w:r>
        <w:rPr>
          <w:rFonts w:ascii="仿宋" w:hAnsi="仿宋" w:cs="仿宋" w:eastAsia="仿宋"/>
          <w:b w:val="true"/>
        </w:rPr>
        <w:t>：</w:t>
      </w:r>
      <w:r>
        <w:rPr>
          <w:rFonts w:hint="eastAsia" w:ascii="仿宋" w:hAnsi="仿宋" w:eastAsia="仿宋" w:cs="仿宋"/>
        </w:rPr>
        <w:t>反映调控建设市场运行、拟定建设市场法规、实施建筑工程质量、安全、工程勘察设计监管等方面的支出。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十二、城乡社区支出(类)城乡社区管理事务(款)市政公用行业市场监管(项)</w:t>
      </w:r>
      <w:r>
        <w:rPr>
          <w:rFonts w:ascii="仿宋" w:hAnsi="仿宋" w:cs="仿宋" w:eastAsia="仿宋"/>
          <w:b w:val="true"/>
        </w:rPr>
        <w:t>：</w:t>
      </w:r>
      <w:r>
        <w:rPr>
          <w:rFonts w:hint="eastAsia" w:ascii="仿宋" w:hAnsi="仿宋" w:eastAsia="仿宋" w:cs="仿宋"/>
        </w:rPr>
        <w:t>反映拟定城镇市政公用设施建设法规政策、组织跨区域污水垃圾及供水燃气管网等公共基础设施建设、对城乡基础设施建设过程中资源利用与环境保护实施监管等方面的支出。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十三、城乡社区支出(类)城乡社区管理事务(款)住宅建设与房地产市场监管(项)</w:t>
      </w:r>
      <w:r>
        <w:rPr>
          <w:rFonts w:ascii="仿宋" w:hAnsi="仿宋" w:cs="仿宋" w:eastAsia="仿宋"/>
          <w:b w:val="true"/>
        </w:rPr>
        <w:t>：</w:t>
      </w:r>
      <w:r>
        <w:rPr>
          <w:rFonts w:hint="eastAsia" w:ascii="仿宋" w:hAnsi="仿宋" w:eastAsia="仿宋" w:cs="仿宋"/>
        </w:rPr>
        <w:t>反映调控房地产市场运行、研究拟定城镇住房制度改革法规、对住房公积金和其他房改资金进行政策指导并监督使用等方面的支出。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十五、城乡社区支出(类)城乡社区规划与管理(款)城乡社区规划与管理(项)</w:t>
      </w:r>
      <w:r>
        <w:rPr>
          <w:rFonts w:ascii="仿宋" w:hAnsi="仿宋" w:cs="仿宋" w:eastAsia="仿宋"/>
          <w:b w:val="true"/>
        </w:rPr>
        <w:t>：</w:t>
      </w:r>
      <w:r>
        <w:rPr>
          <w:rFonts w:hint="eastAsia" w:ascii="仿宋" w:hAnsi="仿宋" w:eastAsia="仿宋" w:cs="仿宋"/>
        </w:rPr>
        <w:t>反映城乡社区、防灾减灾、历史名城规划制定与管理等方面的支出。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十六、城乡社区支出(类)城乡社区公共设施(款)小城镇基础设施建设(项)</w:t>
      </w:r>
      <w:r>
        <w:rPr>
          <w:rFonts w:ascii="仿宋" w:hAnsi="仿宋" w:cs="仿宋" w:eastAsia="仿宋"/>
          <w:b w:val="true"/>
        </w:rPr>
        <w:t>：</w:t>
      </w:r>
      <w:r>
        <w:rPr>
          <w:rFonts w:hint="eastAsia" w:ascii="仿宋" w:hAnsi="仿宋" w:eastAsia="仿宋" w:cs="仿宋"/>
        </w:rPr>
        <w:t>反映用于小城镇路、气、水、电等基础建设方面的支出。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十九、城乡社区支出(类)其他城乡社区支出(款)其他城乡社区支出(项)</w:t>
      </w:r>
      <w:r>
        <w:rPr>
          <w:rFonts w:ascii="仿宋" w:hAnsi="仿宋" w:cs="仿宋" w:eastAsia="仿宋"/>
          <w:b w:val="true"/>
        </w:rPr>
        <w:t>：</w:t>
      </w:r>
      <w:r>
        <w:rPr>
          <w:rFonts w:hint="eastAsia" w:ascii="仿宋" w:hAnsi="仿宋" w:eastAsia="仿宋" w:cs="仿宋"/>
        </w:rPr>
        <w:t>反映除上述项目以外其他用于城乡社区方面的支出。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二十、住房保障支出(类)保障性安居工程支出(款)公共租赁住房(项)</w:t>
      </w:r>
      <w:r>
        <w:rPr>
          <w:rFonts w:ascii="仿宋" w:hAnsi="仿宋" w:cs="仿宋" w:eastAsia="仿宋"/>
          <w:b w:val="true"/>
        </w:rPr>
        <w:t>：</w:t>
      </w:r>
      <w:r>
        <w:rPr>
          <w:rFonts w:hint="eastAsia" w:ascii="仿宋" w:hAnsi="仿宋" w:eastAsia="仿宋" w:cs="仿宋"/>
        </w:rPr>
        <w:t>反映用于新建、改建、购买、租赁、维护和管理公共租赁住房支出。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二十一、住房保障支出(类)保障性安居工程支出(款)保障性住房租金补贴(项)</w:t>
      </w:r>
      <w:r>
        <w:rPr>
          <w:rFonts w:ascii="仿宋" w:hAnsi="仿宋" w:cs="仿宋" w:eastAsia="仿宋"/>
          <w:b w:val="true"/>
        </w:rPr>
        <w:t>：</w:t>
      </w:r>
      <w:r>
        <w:rPr>
          <w:rFonts w:hint="eastAsia" w:ascii="仿宋" w:hAnsi="仿宋" w:eastAsia="仿宋" w:cs="仿宋"/>
        </w:rPr>
        <w:t>反映各级政府向低收入住房保障家庭发放的住房租赁补贴支出。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二十四、灾害防治及应急管理支出(类)地震事务(款)一般行政管理事务(项)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二十五、灾害防治及应急管理支出(类)地震事务(款)地震监测(项)</w:t>
      </w:r>
      <w:r>
        <w:rPr>
          <w:rFonts w:ascii="仿宋" w:hAnsi="仿宋" w:cs="仿宋" w:eastAsia="仿宋"/>
          <w:b w:val="true"/>
        </w:rPr>
        <w:t>：</w:t>
      </w:r>
      <w:r>
        <w:rPr>
          <w:rFonts w:hint="eastAsia" w:ascii="仿宋" w:hAnsi="仿宋" w:eastAsia="仿宋" w:cs="仿宋"/>
        </w:rPr>
        <w:t>反映地震和火山监测台站、台网等设施建设与运行维护，观测设备的购置、维护和技术升级，地震观测工作等方面的支出。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二十六、灾害防治及应急管理支出(类)地震事务(款)地震应急救援(项)</w:t>
      </w:r>
      <w:r>
        <w:rPr>
          <w:rFonts w:ascii="仿宋" w:hAnsi="仿宋" w:cs="仿宋" w:eastAsia="仿宋"/>
          <w:b w:val="true"/>
        </w:rPr>
        <w:t>：</w:t>
      </w:r>
      <w:r>
        <w:rPr>
          <w:rFonts w:hint="eastAsia" w:ascii="仿宋" w:hAnsi="仿宋" w:eastAsia="仿宋" w:cs="仿宋"/>
        </w:rPr>
        <w:t>反映地震应急救援方面的支出，包括地震应急预案编制、应急演练，应急设备购置和维护，地震现场应急工作，国内外地震灾害紧急救援，救援设备购置和维护、国家和地方紧急救援队的运转及国务院抗震救灾指挥系统以及地方各级抗震救灾指挥系统运行等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句容市建设部门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