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句容市人力资源和社会保障局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市人力资源和社会保障局负责贯彻落实党中央关于人力资源和社会保障工作的方针政策和省委、市委决策部署，在履行职责过程中坚持和加强党对人力资源和社会保障工作的集中统一领导。主要职责是：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（一）贯彻实施国家、省、镇江市关于人力资源和社会保障事业政策法规和发展规划，拟订全市人力资源和社会保障事业发展政策、规划，起草相关规范性文件并组织实施。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（二）拟订并组织实施人力资源市场发展规划和人力资源服务业发展、人力资源流动政策，促进人力资源合理流动、有效配置。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促进就业工作，拟订统筹城乡的就业发展规划和政策，完善公共就业创业服务体系，统筹建立面向城乡劳动者的职业技能培训制度，拟订就业援助制度，牵头拟订高校毕业生就业政策，负责高校毕业生离校后的就业指导和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统筹推进覆盖城乡的多层次社会保障体系。拟订并组织实施养老、失业、工伤等社会保险及其补充保险政策和标准。贯彻实施国家、省、镇江市养老保险统筹办法和养老、失业、工伤保险关系转续办法。组织拟订养老、失业、工伤等社会保险及其补充保险基金管理和监督办法，编制相关社会保险基金预决算草案。会同有关部门实施全民参保计划并建立全市统一的社会保险公共服务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（五）负责就业、失业和相关社会保险基金预测预警和信息引导，拟订应对预案，实施预防、调节和控制，保持就业形势稳定和相关社会保险基金总体收支平衡。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统筹拟订劳动人事争议调解仲裁办法和劳动关系政策，完善劳动关系协商协调机制，贯彻职工工作时间、休息休假和假期制度，贯彻消除非法使用童工政策和女工、未成年工特殊劳动保护政策。组织实施劳动保障监察，协调劳动者维权工作，依法查处重大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政府人才综合管理工作，组织实施重点人才工程和项目计划，牵头推进深化职称制度改革，贯彻专业技术人员管理、继续教育和博士后管理等政策，负责高层次专业技术人才选拔和培养工作，拟订、实施吸引留学人员来本市工作或定居政策。组织拟订技能人才培养、评价、使用和激励制度。贯彻职业资格制度，健全职业技能多元化评价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（八）会同有关部门指导事业单位人事制度改革，按照管理权限负责规范事业单位岗位设置、公开招聘、聘用合同等人事综合管理工作，拟订事业单位工作人员和机关工勤人员管理政策。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（九）根据授权开展有关表彰奖励工作。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（十）会同有关部门拟订事业单位人员工资收入分配政策，建立企事业单位人员工资决定、正常增长和支付保障机制。拟订企事业单位人员福利和离退休政策。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（十一）会同有关部门拟订农民工工作的综合性政策和规划，推动相关政策落实，协调解决重点难点问题，维护农民工合法权益。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职能转变。深入推进简政放权、放管结合、优化服务改革，进一步减少行政审批事项，规范和优化对外办理事项，加强事中事后监管，创新就业和社会保障等公共服务方式，加强信息共享，提高公共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政策法规科（行政审批科）、规划财务科（社会保险基金监管科）、就业促进科（失业保险科）、社会保险科、劳动关系科（农民工工作科）、专业技术和职业能力建设科、事业单位人事管理和工资福利科、组织人事科、市劳动监察大队、市劳动人事争议仲裁院、市职业技能培训中心、档案与信息化中心、职业能力鉴定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本单位下属单位包括:句容市社会保险基金管理中心、句容市劳动就业管理中心、句容市人才服务中心。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实施就业岗位扩容量“定心”工程。拓展市场促进就业功能，建立统一、规范、灵活的人力资源市场；拓宽高校毕业生就业渠道，统筹实施各类基层就业项目；扩大就业援助覆盖范围，开发一批大学生、护林员公益性岗位，帮助就业困难人员尽早就业；加大创业扶持资金投放力度，制定出台更加有力的农民创业扶持政策，计划合作银行由目前的3家扩大至6家，为创业者提供良好的创业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社会保障兜底线“暖心”工程。完善省一体化平台系统建设和业务经办，高效服务参保企业和群众；提升企业保险省级统筹制度运行水平，落实好企业养老保险省级统筹要求，确保完成省下达的各项指标任务；深入推进机关事业单位养老保险制度改革，兑现2021年中人待遇，平稳安置参保的编外人员；研究制定新的被征地农民社会保障政策，积极引导和鼓励被征地农民参保，全力做好“即征即保”；持续开展企业保险扩面征缴，重点聚焦超龄劳动者、实习生、非全日制用工作、多重劳动关系和新业态（外卖小哥）等群众体，持续提高社保参保缴费率；加强工伤保险待遇支付管理，推进工伤保险联网结算；健全风险防控体系和财务管理制度，维护好基金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实施激发人才增活力“舒心”工程。统筹推进专业技术人才、高技能人才和乡土人才队伍建设，深化人才培养、评价、激励、流动、使用等体制机制改革，不断提高人才服务能力水平。继续举办第八届“福地青年英才”创业大赛，推动并扶持大学生创业；拟举办首届海外人才创新创业大赛，全年拟重点扶持10个海外项目来句容创新创业；加大招才引智，搭建好人才供需对接平台，全年计划引进大专以上人才数4000人，其中本科以上2000人；加深产学研合作，落实企业工作服务站奖补政策；落实优惠政策，完善人才安居工程，让高层次人才能够引进来、留得住；加快推进句容技工学校挂牌，结合我市产业发展和就业需求，设置重点专业正式招生运行，努力搭建好本地技能人才培养摇篮；计划开展“企二代”培训班，全面提升新生代企业家的综合素质；积极开发就业见习基地数量和就业见习岗位，计划开发就业见习岗位数600个，组织就业见习400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实施劳动关系促和谐“安心”工程。做好拖欠农民工工资事项的协调处理，强化属地管理责任、住建、交通、水利等行业管理责任、企业主体责任责任落实；加强劳动关系协调发展，督促用人单位守法经营、依法用工；完善案前调解机制，对有较大影响的案件开辟绿色维权通道，争取用最短的时间维护劳动者的核心权益；汇聚人社、法院、总工会、司法局及工商联等力量，组成“五位一体”的劳动人事争议联合调处中心，构建全市和谐劳资关系；继续推行裁决书网上公布，坚持“重调慎裁”，提高劳动争议案件处理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实施优化环境提效能“贴心”工程。把优化营商环境建设摆在突出的位置，以“最多跑一次”改革为牵引，落实人社服务快办行动，深化简政放权，继续推进关联事项打包一体办、高频事项简便一网办、更多事项提速一窗办；深化惠企利民政策落实，打造惠企利民的政策环境、活力多元的创业环境、技能领军的发展环境、公平正义的法治环境，让兴业“顺心”更“安心”；深化系统行风建设，打造人社行风建设品牌，让群众真正享受“门好进、脸好看、事好办”的人社服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句容市人力资源和社会保障局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句容市人力资源和社会保障局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1,849.24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1,568.84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280.40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1,849.24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1,849.24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1,849.24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1,849.24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1,849.24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1,849.24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1,849.24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110110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句容市人力资源和社会保障局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1,849.24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1,849.24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1,849.24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1,849.24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1,589.94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综合业务管理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劳动保障监察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就业管理事务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劳动关系和维权</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劳动人事争议调解仲裁</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句容市人力资源和社会保障局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1,849.24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1,849.24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1,849.24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1,568.84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280.40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1,849.24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1,849.24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1,849.24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1,589.94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1,460.07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129.87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1,568.84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1,309.54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1,179.67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1,568.84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1,309.54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1,179.67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1,229.87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1,229.87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129.87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综合业务管理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劳动保障监察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就业管理事务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劳动关系和维权</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劳动人事争议调解仲裁</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句容市人力资源和社会保障局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1,589.94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1,460.07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1,395.10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1,395.10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1,849.24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1,589.94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1,460.07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1,179.67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1,309.54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1,179.67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综合业务管理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劳动保障监察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就业管理事务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劳动关系和维权</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劳动人事争议调解仲裁</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其他人力资源和社会保障管理事务支出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1,589.94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1,460.07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1,395.10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1,395.10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6.74</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129.87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句容市人力资源和社会保障局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句容市人力资源和社会保障局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事业单位奖励证书印制费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句容市人力资源和社会保障局2022年度收入、支出预算总计1,849.24万元，与上年相比收、支预算总计各增加216.86万元，增长13.28%。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（一）收入预算总计1,849.24万元。包括：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1．本年收入合计1,849.24万元。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（1）一般公共预算拨款收入1,849.24万元，与上年相比增加216.86万元，增长13.28%。主要原因是目标奖、住房补贴以及应休未休公休报酬预算增加。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（二）支出预算总计1,849.24万元。包括：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1．本年支出合计1,849.24万元。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1,568.84万元，主要用于支付人员经费、日常公用经费以及项目经费（如劳动执法经费、劳动仲裁办案经费、工伤鉴定费用等）。与上年相比增加172.1万元，增长12.32%。主要原因是目标奖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（2）住房保障支出（类）支出280.4万元，主要用于缴纳住房公积金及支付提租补贴。与上年相比增加44.76万元，增长19%。主要原因是住房公积金缴费基数增加及住房补贴预算增加。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句容市人力资源和社会保障局2022年收入预算合计1,849.24万元，包括本年收入1,849.24万元，上年结转结余0万元。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本年一般公共预算收入1,849.24万元，占100%；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句容市人力资源和社会保障局2022年支出预算合计1,849.24万元，其中：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基本支出1,589.94万元，占85.98%；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项目支出259.3万元，占14.02%；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句容市人力资源和社会保障局2022年度财政拨款收、支总预算1,849.24万元。与上年相比，财政拨款收、支总计各增加216.86万元，增长13.28%。主要原因是目标奖、住房补贴以及应休未休公休报酬预算增加。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句容市人力资源和社会保障局2022年财政拨款预算支出1,849.24万元，占本年支出合计的100%。与上年相比，财政拨款支出增加216.86万元，增长13.28%。主要原因是目标奖、住房补贴以及应休未休公休报酬预算增加。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人力资源和社会保障管理事务（款）行政运行（项）支出1,229.87万元，与上年相比增加365.54万元，增长42.29%。主要原因是一是目标奖、住房补贴以及应休未休公休报酬增加；二是原监察大队14个参公人员的人员经费及公用经费改用行政运行这个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2.人力资源和社会保障管理事务（款）一般行政管理事务（项）支出16.74万元，与上年相比减少27.93万元，减少62.53%。主要原因是取消窗口人员补贴。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3.人力资源和社会保障管理事务（款）综合业务管理（项）支出90万元，与上年相比减少10万元，减少10%。主要原因是档案管理费减少。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4.人力资源和社会保障管理事务（款）劳动保障监察（项）支出35万元，与上年相比减少220.18万元，减少86.28%。主要原因是原监察大队基本支出改用行政运行这个功能科目。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5.人力资源和社会保障管理事务（款）就业管理事务（项）支出5万元，与上年预算数相同。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6.人力资源和社会保障管理事务（款）信息化建设（项）支出25万元，与上年预算数相同。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7.人力资源和社会保障管理事务（款）劳动关系和维权（项）支出35万元，与上年相比增加5万元，增长16.67%。主要原因是工伤鉴定经费增加。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8.人力资源和社会保障管理事务（款）劳动人事争议调解仲裁（项）支出42.56万元，与上年预算数相同。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9.人力资源和社会保障管理事务（款）事业运行（项）支出79.67万元，与上年相比增加79.67万元（去年预算数为0万元，无法计算增减比率）。主要原因是事业人员基本支出功能科目统一改为该功能科目。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10.人力资源和社会保障管理事务（款）其他人力资源和社会保障管理事务支出（项）支出10万元，与上年相比减少20万元，减少66.67%。主要原因是机关干部遗属春节慰问改为政府大预算，上交上级支出项目取消。</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1.住房改革支出（款）住房公积金（项）支出104.46万元，与上年相比增加19.67万元，增长23.2%。主要原因是住房公积金缴费基数增加。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2.住房改革支出（款）提租补贴（项）支出175.94万元，与上年相比增加25.09万元，增长16.63%。主要原因是住房补贴预算增加。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句容市人力资源和社会保障局2022年度财政拨款基本支出预算1,589.94万元，其中：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1,460.07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（二）公用经费129.87万元。主要包括：办公费、培训费、公务接待费、工会经费、福利费、其他交通费用、其他商品和服务支出。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句容市人力资源和社会保障局2022年一般公共预算财政拨款支出预算1,849.24万元，与上年相比增加216.86万元，增长13.28%。主要原因是目标奖、住房补贴以及应休未休公休报酬预算增加。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句容市人力资源和社会保障局2022年度一般公共预算财政拨款基本支出预算1,589.94万元，其中：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1,460.07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（二）公用经费129.87万元。主要包括：办公费、培训费、公务接待费、工会经费、福利费、其他交通费用、其他商品和服务支出。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度一般公共预算拨款安排的“三公”经费预算支出中，因公出国（境）费支出0万元，占“三公”经费的0%；公务用车购置及运行维护费支出0万元，占“三公”经费的0%；公务接待费支出10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3．公务接待费预算支出10万元，比上年预算减少5万元，主要原因是减少接待人次，降低接待标准。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句容市人力资源和社会保障局2022年度一般公共预算拨款安排的会议费预算支出6.74万元，比上年预算减少5.77万元，主要原因是按照有关规定，减少会议次数、降低会议标准。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句容市人力资源和社会保障局2022年度一般公共预算拨款安排的培训费预算支出5万元，与上年预算数相同。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句容市人力资源和社会保障局2022年国有资本经营预算支出0万元。与上年预算数相同。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2022年本单位一般公共预算机关运行经费预算支出129.87万元。与上年相比增加5.71万元，增长4.6%。主要原因是调进2人。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2022年度政府采购支出预算总额10万元，其中：拟采购货物支出0万元、拟采购工程支出0万元、拟购买服务支出10万元。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2022年度，本单位整体支出纳入绩效目标管理，涉及四本预算资金1,849.24万元；本单位共14个项目纳入绩效目标管理，涉及四本预算资金合计259.3万元，占四本预算资金(基本支出除外)总额的比例为100%。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八、社会保障和就业支出(类)人力资源和社会保障管理事务(款)行政运行(项)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九、社会保障和就业支出(类)人力资源和社会保障管理事务(款)一般行政管理事务(项)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十、社会保障和就业支出(类)人力资源和社会保障管理事务(款)综合业务管理(项)</w:t>
      </w:r>
      <w:r>
        <w:rPr>
          <w:rFonts w:ascii="仿宋" w:hAnsi="仿宋" w:cs="仿宋" w:eastAsia="仿宋"/>
          <w:b w:val="true"/>
        </w:rPr>
        <w:t>：</w:t>
      </w:r>
      <w:r>
        <w:rPr>
          <w:rFonts w:hint="eastAsia" w:ascii="仿宋" w:hAnsi="仿宋" w:eastAsia="仿宋" w:cs="仿宋"/>
        </w:rPr>
        <w:t>反映人力资源和社会保障管理方面综合性管理事务支出。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十一、社会保障和就业支出(类)人力资源和社会保障管理事务(款)劳动保障监察(项)</w:t>
      </w:r>
      <w:r>
        <w:rPr>
          <w:rFonts w:ascii="仿宋" w:hAnsi="仿宋" w:cs="仿宋" w:eastAsia="仿宋"/>
          <w:b w:val="true"/>
        </w:rPr>
        <w:t>：</w:t>
      </w:r>
      <w:r>
        <w:rPr>
          <w:rFonts w:hint="eastAsia" w:ascii="仿宋" w:hAnsi="仿宋" w:eastAsia="仿宋" w:cs="仿宋"/>
        </w:rPr>
        <w:t>反映劳动保障监察事务支出。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十二、社会保障和就业支出(类)人力资源和社会保障管理事务(款)就业管理事务(项)</w:t>
      </w:r>
      <w:r>
        <w:rPr>
          <w:rFonts w:ascii="仿宋" w:hAnsi="仿宋" w:cs="仿宋" w:eastAsia="仿宋"/>
          <w:b w:val="true"/>
        </w:rPr>
        <w:t>：</w:t>
      </w:r>
      <w:r>
        <w:rPr>
          <w:rFonts w:hint="eastAsia" w:ascii="仿宋" w:hAnsi="仿宋" w:eastAsia="仿宋" w:cs="仿宋"/>
        </w:rPr>
        <w:t>反映就业和职业技能鉴定管理方面的支出。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十三、社会保障和就业支出(类)人力资源和社会保障管理事务(款)信息化建设(项)</w:t>
      </w:r>
      <w:r>
        <w:rPr>
          <w:rFonts w:ascii="仿宋" w:hAnsi="仿宋" w:cs="仿宋" w:eastAsia="仿宋"/>
          <w:b w:val="true"/>
        </w:rPr>
        <w:t>：</w:t>
      </w:r>
      <w:r>
        <w:rPr>
          <w:rFonts w:hint="eastAsia" w:ascii="仿宋" w:hAnsi="仿宋" w:eastAsia="仿宋" w:cs="仿宋"/>
        </w:rPr>
        <w:t>反映人力资源和社会保障部门用于信息化建设、运行维护和数据分析等方面的支出，如金保工程、社会保障卡建设和运行维护、人力资源市场信息化等支出。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十四、社会保障和就业支出(类)人力资源和社会保障管理事务(款)劳动关系和维权(项)</w:t>
      </w:r>
      <w:r>
        <w:rPr>
          <w:rFonts w:ascii="仿宋" w:hAnsi="仿宋" w:cs="仿宋" w:eastAsia="仿宋"/>
          <w:b w:val="true"/>
        </w:rPr>
        <w:t>：</w:t>
      </w:r>
      <w:r>
        <w:rPr>
          <w:rFonts w:hint="eastAsia" w:ascii="仿宋" w:hAnsi="仿宋" w:eastAsia="仿宋" w:cs="仿宋"/>
        </w:rPr>
        <w:t>反映劳动关系和维权事务支出。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十五、社会保障和就业支出(类)人力资源和社会保障管理事务(款)劳动人事争议调解仲裁(项)</w:t>
      </w:r>
      <w:r>
        <w:rPr>
          <w:rFonts w:ascii="仿宋" w:hAnsi="仿宋" w:cs="仿宋" w:eastAsia="仿宋"/>
          <w:b w:val="true"/>
        </w:rPr>
        <w:t>：</w:t>
      </w:r>
      <w:r>
        <w:rPr>
          <w:rFonts w:hint="eastAsia" w:ascii="仿宋" w:hAnsi="仿宋" w:eastAsia="仿宋" w:cs="仿宋"/>
        </w:rPr>
        <w:t>反映仲裁机构实体化建设、办案经费、调解仲裁能力建设等支出。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十六、社会保障和就业支出(类)人力资源和社会保障管理事务(款)事业运行(项)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十七、社会保障和就业支出(类)人力资源和社会保障管理事务(款)其他人力资源和社会保障管理事务支出(项)</w:t>
      </w:r>
      <w:r>
        <w:rPr>
          <w:rFonts w:ascii="仿宋" w:hAnsi="仿宋" w:cs="仿宋" w:eastAsia="仿宋"/>
          <w:b w:val="true"/>
        </w:rPr>
        <w:t>：</w:t>
      </w:r>
      <w:r>
        <w:rPr>
          <w:rFonts w:hint="eastAsia" w:ascii="仿宋" w:hAnsi="仿宋" w:eastAsia="仿宋" w:cs="仿宋"/>
        </w:rPr>
        <w:t>反映除上述项目以外其他用于人力资源和社会保障管理事务方面的支出。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句容市人力资源和社会保障局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