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2022年度句容市法院部门部门预算公开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句容市人民法院是国家审判机关，在地域管辖或指定集中管辖范围内依法独立行使审判权。其主要职责是：</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（一）依法审判法律规定由基层人民法院管辖的刑事、民事、行政等第一审案件。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（二）受理不服本院生效裁判的各类申诉和再审申请，对其中确有错误的，组织再审；审理上级法院发回重审、指令再审的各类案件；审理上级法院指定管辖的各类案件。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（三）受理和执行依法由本院管辖的各类执行案件。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（四）对全院法官和其他工作人员开展思想政治教育；负责法官学历教育和业务培训工作；按照权限管理法官和其他工作人员。</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（五）调查研究审判工作中的法律政策及疑难问题；提出解决问题的办法和意见；针对案件审理中发现的问题提出司法建议。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（六）抓好本院的监察工作。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（七）抓好本院的司法行政工作。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（八）在审判工作中宣传法制，教育公民自觉遵守宪法、法律。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（九）承办其他应由基层法院负责的工作。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(1)立案庭（诉讼服务中心）、(2)刑事审判庭、(3)民事审判第一庭、(4)民事审判第二庭、(5)行政审判庭、(6)少年及家事审判庭、(7)执行局（执行指挥中心）、(8)审判管理办公室（审判监督庭、研究室）、 (9)政治部、(10)综合办公室。设置句容市人民法院机关党委并加挂“督察室”牌子设置内部监督机构。本部门直属行政机构包括：司法警察大队。本部门派出机构包括：(1)后白人民法庭、(2)下蜀人民法院、(3)白兔人民法庭。</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本部门下属单位包括:句容市人民法院勤务保障中心，性质为全额事业编制的非独立核算单位。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句容市法院部门（本级）。</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坚持以习近平新时代中国特色社会主义思想为指导，深入贯彻落实党的十九届六中全会和省市党代会精神，锚定“深化高质量司法、建设现代化法院”目标，以开展“法治化营商环境创优活动”“审判质效巩固提升活动”“作风效能啄木鸟活动”“群体性矛盾联动化解活动”为抓手，忠诚履职尽责、勇于开拓创新，为奋力谱写“一福地四名城”现代化建设新篇章提供更加有力司法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立足高站位，以更鲜明立场坚持党的领导。始终把政治建设摆在首位，不断提高政治判断力、政治领悟力、政治执行力。用习近平法治思想统领法院工作，以政治忠诚和良好工作业绩践行“两个维护”，当好“两个确立”的坚定捍卫者、忠实践行者。认真贯彻《中国共产党政法工作条例》，压紧压实意识形态工作责任制，将党的领导优势更好地转化为司法治理成效。</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立足高质量，以更优服务保障发展加速度。聚焦句容现代化建设“一条主线”，把服务保障干产业、干交通、干美丽、干共同富裕“四个重点”贯穿法院工作始终。加强常态化疫情防控司法应对，围绕服务产业强市等重大战略实施，推动法治化营商环境持续优化。依法惩治各类刑事犯罪，常态化开展扫黑除恶斗争，让城乡更安宁、群众更安乐。依法平等保护各类市场主体合法权益，强化产权和企业家权益的司法保护。深化司法大数据“晴雨表”作用，为党委政府提供数据决策参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立足高水平，以更实举措践行司法为民。正确贯彻实施《民法典》，妥善审理各类民商事案件，强化裁判适用和普法宣传，保障社会公平正义和人民权益。深化一站式多元解纷和诉讼服务体系建设，提供更加高效便捷、普惠均等的司法服务。持续推进“无讼村居”创建和“法官进网格”活动，依托人民法庭职能发挥，更好服务乡村振兴和基层社会治理。加强执行工作现代化、规范化、数字化建设，推动切实解决执行难。坚持把社会主义核心价值观融入司法审判，维护人民群众“医行住养”合法权益，让司法既有力度，又有温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立足高效能，以更大力度深化改革创新。加强执法司法制约监督体系建设，完善与新型审判权力运行模式相适应的制约监督体系。推进法院审级职能定位改革工作精准落地落实。依法深化诉讼制度改革，推动办案质效持续向好。提高智慧法院建设水平，以智能化服务保障审判能力现代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立足高标准，以更严要求打造过硬队伍。巩固党史学习和教育整顿成果，确保队伍绝对忠诚、绝对纯洁、绝对可靠。严格执行中央八项规定精神、防止干预司法“三个规定”、法院系统“八条禁令”等铁规禁令，以零容忍态度严惩司法腐败。健全完善人才培育机制，不断提升新时代法院履职能力。更加自觉接受人大、政协、监察、检察和社会各界监督，凝聚推动工作持续向好的强大动力。</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句容市法院部门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句容市法院部门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5,973.77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5,293.97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679.80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5,973.77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5,973.77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5,973.77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5,973.77</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5,973.77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5,973.77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5,973.77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句容市法院部门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5,973.77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5,973.77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5,973.77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105105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句容市人民法院</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5,973.77</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5,973.77</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5,973.77</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5,973.77</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4,525.19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1,448.58</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5,293.97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3,845.39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1,448.58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法院</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5,293.97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3,845.39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1,448.58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3,725.89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3,725.89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1,208.58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1,208.58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2040504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案件审判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案件执行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“两庭”建设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2040550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258.55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258.55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421.25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421.25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句容市法院部门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5,973.77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5,973.77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5,973.77</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5,293.97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679.80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5,973.77</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5,973.77</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5,973.77</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4,525.19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4,168.65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356.54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1,448.58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5,293.97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3,845.39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3,488.85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1,448.58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法院</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5,293.97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3,845.39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3,488.85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1,448.58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3,725.89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3,725.89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3,369.35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356.54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1,208.58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1,208.58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2040504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案件审判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案件执行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“两庭”建设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2040550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119.50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679.80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258.55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421.25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句容市法院部门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4,525.19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4,168.65</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4,057.57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4,057.57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523.01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523.01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751.33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751.33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151.37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5,973.77</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4,525.19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4,168.65</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1,448.58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5,293.97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3,845.39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3,488.85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1,448.58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法院</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5,293.97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3,845.39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3,488.85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1,448.58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3,725.89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3,725.89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3,369.35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1,208.58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1,208.58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2040504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案件审判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案件执行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“两庭”建设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2040550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258.55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258.55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258.55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421.25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421.25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421.25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4,525.19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4,168.65</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4,057.57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4,057.57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523.01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523.01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1,036.01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101.16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83.96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258.55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751.33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751.33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356.54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151.37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30240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税金及附加费用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356.54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151.37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30240</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税金及附加费用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句容市法院部门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句容市人民法院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信息化建设项目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信息网络及软件购置更新</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容灾备份设备</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句容市人民法院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办案业务费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bl>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句容市法院部门2022年度收入、支出预算总计5,973.77万元，与上年相比收、支预算总计各增加530.35万元，增长9.74%。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（一）收入预算总计5,973.77万元。包括：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1．本年收入合计5,973.77万元。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（1）一般公共预算拨款收入5,973.77万元，与上年相比增加530.35万元，增长9.74%。主要原因是人员工资奖金增长。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（二）支出预算总计5,973.77万元。包括：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1．本年支出合计5,973.77万元。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（1）公共安全支出（类）支出5,293.97万元，主要用于人员经费、机构运转经费以及部门事业发展和专项任务支出。与上年相比增加456.89万元，增长9.45%。主要原因是人员工资奖金增长。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（2）住房保障支出（类）支出679.8万元，主要用于人员住房公积金支出以及住房租金补贴。与上年相比增加73.46万元，增长12.12%。主要原因是住房公积金和住房租金补贴基数调增。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句容市法院部门2022年收入预算合计5,973.77万元，包括本年收入5,973.77万元，上年结转结余0万元。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本年一般公共预算收入5,973.77万元，占100%；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句容市法院部门2022年支出预算合计5,973.77万元，其中：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基本支出4,525.19万元，占75.75%；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项目支出1,448.58万元，占24.25%；</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句容市法院部门2022年度财政拨款收、支总预算5,973.77万元。与上年相比，财政拨款收、支总计各增加530.35万元，增长9.74%。主要原因是人员工资奖金增长。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句容市法院部门2022年财政拨款预算支出5,973.77万元，占本年支出合计的100%。与上年相比，财政拨款支出增加530.35万元，增长9.74%。主要原因是人员工资奖金增长。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1.法院（款）行政运行（项）支出3,725.89万元，与上年相比增加441.46万元，增长13.44%。主要原因是人员工资奖金增长。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2.法院（款）一般行政管理事务（项）支出1,208.58万元，与上年相比增加47.68万元，增长4.11%。主要原因是政法专项编制司法改革绩效考核比上年增加。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3.法院（款）案件审判（项）支出80万元，与上年相比减少30万元，减少27.27%。主要原因是部分陪审员补助使用政法专项资金支付。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4.法院（款）案件执行（项）支出20万元，与上年预算数相同。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5.法院（款）“两庭”建设（项）支出140万元，与上年相比减少121.75万元，减少46.51%。主要原因是本年办公设备购置减少。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6.法院（款）事业运行（项）支出119.5万元，与上年相比增加119.5万元（去年预算数为0万元，无法计算增减比率）。主要原因是本院下属事业单位为非独立核算单位，以前事业人员工资奖金预算未单独列出。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1.住房改革支出（款）住房公积金（项）支出258.55万元，与上年相比增加27.95万元，增长12.12%。主要原因是人员住房公积金基数调增。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2.住房改革支出（款）提租补贴（项）支出421.25万元，与上年相比增加45.51万元，增长12.11%。主要原因是人员住房租金补贴基数调增。</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句容市法院部门2022年度财政拨款基本支出预算4,525.19万元，其中：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4,168.65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（二）公用经费356.54万元。主要包括：办公费、培训费、公务接待费、福利费、公务用车运行维护费、其他交通费用、税金及附加费用。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句容市法院部门2022年一般公共预算财政拨款支出预算5,973.77万元，与上年相比增加530.35万元，增长9.74%。主要原因是人员工资奖金增长。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句容市法院部门2022年度一般公共预算财政拨款基本支出预算4,525.19万元，其中：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4,168.65万元。主要包括：基本工资、津贴补贴、奖金、绩效工资、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（二）公用经费356.54万元。主要包括：办公费、培训费、公务接待费、福利费、公务用车运行维护费、其他交通费用、税金及附加费用。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度一般公共预算拨款安排的“三公”经费预算支出中，因公出国（境）费支出0万元，占“三公”经费的0%；公务用车购置及运行维护费支出38.4万元，占“三公”经费的65.75%；公务接待费支出20万元，占“三公”经费的34.25%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2．公务用车购置及运行维护费预算支出38.4万元。其中：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（2）公务用车运行维护费预算支出38.4万元，与上年预算数相同。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句容市法院部门2022年度一般公共预算拨款安排的培训费预算支出12万元，比上年预算增加6万元，主要原因是零星业务培训增加。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句容市法院部门2022年国有资本经营预算支出0万元。与上年预算数相同。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2022年本部门一般公共预算机关运行经费预算支出356.54万元。与上年相比减少6.13万元，减少1.69%。主要原因是截止2021年底本院实际在编在职人员减少。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2022年度政府采购支出预算总额118.4万元，其中：拟采购货物支出50万元、拟采购工程支出0万元、拟购买服务支出68.4万元。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12辆，其中，一般公务用车0辆、执法执勤用车12辆、特种专业技术用车0辆、业务用车0辆、其他用车0辆等。单价50万元（含）以上的通用设备10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2022年度，本部门整体支出纳入绩效目标管理，涉及四本预算资金5,973.77万元；本部门共11个项目纳入绩效目标管理，涉及四本预算资金合计1,448.58万元，占四本预算资金(基本支出除外)总额的比例为100%。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八、公共安全支出(类)法院(款)行政运行(项)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九、公共安全支出(类)法院(款)一般行政管理事务(项)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十、公共安全支出(类)法院(款)案件审判(项)</w:t>
      </w:r>
      <w:r>
        <w:rPr>
          <w:rFonts w:ascii="仿宋" w:hAnsi="仿宋" w:cs="仿宋" w:eastAsia="仿宋"/>
          <w:b w:val="true"/>
        </w:rPr>
        <w:t>：</w:t>
      </w:r>
      <w:r>
        <w:rPr>
          <w:rFonts w:hint="eastAsia" w:ascii="仿宋" w:hAnsi="仿宋" w:eastAsia="仿宋" w:cs="仿宋"/>
        </w:rPr>
        <w:t>反映人民法院对刑事、民事、行政、涉外等案件审判活动的支出。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十一、公共安全支出(类)法院(款)案件执行(项)</w:t>
      </w:r>
      <w:r>
        <w:rPr>
          <w:rFonts w:ascii="仿宋" w:hAnsi="仿宋" w:cs="仿宋" w:eastAsia="仿宋"/>
          <w:b w:val="true"/>
        </w:rPr>
        <w:t>：</w:t>
      </w:r>
      <w:r>
        <w:rPr>
          <w:rFonts w:hint="eastAsia" w:ascii="仿宋" w:hAnsi="仿宋" w:eastAsia="仿宋" w:cs="仿宋"/>
        </w:rPr>
        <w:t>反映人民法院对刑事、民事、行政、涉外等案件执行活动和对各种非诉执行活动的支出。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十二、公共安全支出(类)法院(款)“两庭”建设(项)</w:t>
      </w:r>
      <w:r>
        <w:rPr>
          <w:rFonts w:ascii="仿宋" w:hAnsi="仿宋" w:cs="仿宋" w:eastAsia="仿宋"/>
          <w:b w:val="true"/>
        </w:rPr>
        <w:t>：</w:t>
      </w:r>
      <w:r>
        <w:rPr>
          <w:rFonts w:hint="eastAsia" w:ascii="仿宋" w:hAnsi="仿宋" w:eastAsia="仿宋" w:cs="仿宋"/>
        </w:rPr>
        <w:t>反映人民法院审判用房、人民法庭用房、刑场建设维修和设备购置，以及审判庭安全监控设备购置及运行管理等支出。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十三、公共安全支出(类)法院(款)事业运行(项)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句容市法院部门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