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2026-001</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句容市人民医院医疗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句容市人民医院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一</w:t>
      </w:r>
      <w:r>
        <w:rPr>
          <w:rFonts w:hint="eastAsia"/>
          <w:b/>
          <w:color w:val="000000"/>
          <w:sz w:val="32"/>
        </w:rPr>
        <w:t>月</w:t>
      </w:r>
      <w:r>
        <w:rPr>
          <w:rFonts w:hint="eastAsia"/>
          <w:b/>
          <w:color w:val="000000"/>
          <w:sz w:val="32"/>
          <w:lang w:eastAsia="zh-CN"/>
        </w:rPr>
        <w:t>十七</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句容市人民医院等医疗机构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2026-001</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人民医院等医疗机构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3</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2026年01</w:t>
      </w:r>
      <w:r>
        <w:rPr>
          <w:rFonts w:hint="eastAsia" w:ascii="宋体" w:hAnsi="宋体"/>
          <w:color w:val="000000"/>
        </w:rPr>
        <w:t>月</w:t>
      </w:r>
      <w:r>
        <w:rPr>
          <w:rFonts w:hint="eastAsia" w:ascii="宋体" w:hAnsi="宋体"/>
          <w:color w:val="000000"/>
          <w:lang w:val="en-US" w:eastAsia="zh-CN"/>
        </w:rPr>
        <w:t>27</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01</w:t>
      </w:r>
      <w:r>
        <w:rPr>
          <w:rFonts w:ascii="宋体" w:hAnsi="宋体"/>
          <w:b/>
        </w:rPr>
        <w:t>月</w:t>
      </w:r>
      <w:r>
        <w:rPr>
          <w:rFonts w:hint="eastAsia" w:ascii="宋体" w:hAnsi="宋体"/>
          <w:b/>
          <w:lang w:val="en-US" w:eastAsia="zh-CN"/>
        </w:rPr>
        <w:t>28</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句容市人民医院：</w:t>
      </w:r>
      <w:r>
        <w:rPr>
          <w:rFonts w:hint="eastAsia" w:ascii="仿宋_GB2312" w:eastAsia="仿宋_GB2312"/>
          <w:spacing w:val="20"/>
          <w:sz w:val="24"/>
        </w:rPr>
        <w:t>0511-8</w:t>
      </w:r>
      <w:r>
        <w:rPr>
          <w:rFonts w:hint="eastAsia" w:ascii="仿宋_GB2312" w:eastAsia="仿宋_GB2312"/>
          <w:spacing w:val="20"/>
          <w:sz w:val="24"/>
          <w:lang w:val="en-US" w:eastAsia="zh-CN"/>
        </w:rPr>
        <w:t>0783245</w:t>
      </w:r>
      <w:r>
        <w:rPr>
          <w:rFonts w:hint="eastAsia" w:ascii="宋体" w:hAnsi="宋体" w:cs="宋体"/>
          <w:color w:val="000000"/>
          <w:sz w:val="24"/>
          <w:szCs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bookmarkStart w:id="0" w:name="_GoBack"/>
      <w:bookmarkEnd w:id="0"/>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句容市人民医院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20</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句容市人民医院等单位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01</w:t>
      </w:r>
      <w:r>
        <w:rPr>
          <w:b/>
        </w:rPr>
        <w:t>月</w:t>
      </w:r>
      <w:r>
        <w:rPr>
          <w:rFonts w:hint="eastAsia"/>
          <w:b/>
          <w:lang w:val="en-US" w:eastAsia="zh-CN"/>
        </w:rPr>
        <w:t>28</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提供2022年1月1日至今所投同品牌、同类型型号医院成交合同、中标通知书复印件，并加盖公章，每提供一套得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1</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0"/>
          <w:szCs w:val="30"/>
          <w:lang w:val="en-US" w:eastAsia="zh-CN"/>
        </w:rPr>
        <w:t>骨动力系统一套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预算35万元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02F82B7E">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00D2C6F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2405A378">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4DB8B15F">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29D571D7">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5B1A66F3">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583E254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674AA37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1、动力主机：</w:t>
      </w:r>
    </w:p>
    <w:p w14:paraId="00D7949A">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1.1彩色液晶屏显示；触摸屏控制；双马达接口；马达自动识别功能；术前可设定不同参数；实时显示马达钻速、转动方向</w:t>
      </w:r>
    </w:p>
    <w:p w14:paraId="38F66EBA">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1.2多语言选择，图形化操作界面，方便临床使用</w:t>
      </w:r>
    </w:p>
    <w:p w14:paraId="0DA4B767">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1.3可调节转速控制，满足不同入路需求</w:t>
      </w:r>
    </w:p>
    <w:p w14:paraId="43143B6E">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1.4集成安全保护型冲洗泵功能，马达停止后冲洗泵可自动停止</w:t>
      </w:r>
    </w:p>
    <w:p w14:paraId="55287E84">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1.5具备反转持续提示功能</w:t>
      </w:r>
    </w:p>
    <w:p w14:paraId="11540901">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1.6常用使用参数可储存</w:t>
      </w:r>
    </w:p>
    <w:p w14:paraId="75B91DD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1.7一键式恢复出厂设置</w:t>
      </w:r>
    </w:p>
    <w:p w14:paraId="270F8733">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2、脚踏开关：</w:t>
      </w:r>
    </w:p>
    <w:p w14:paraId="7FE0590A">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2.1单脚踏开关</w:t>
      </w:r>
    </w:p>
    <w:p w14:paraId="6E55E2A2">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2.2防水设计等级IPX8，可直接冲洗</w:t>
      </w:r>
    </w:p>
    <w:p w14:paraId="29523233">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2.3可控制冲洗泵开关</w:t>
      </w:r>
    </w:p>
    <w:p w14:paraId="02268957">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2.4可无级调节马达转速并控制马达转动方向</w:t>
      </w:r>
    </w:p>
    <w:p w14:paraId="291073CE">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3、主机－马达连接电缆：</w:t>
      </w:r>
    </w:p>
    <w:p w14:paraId="3F33C704">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3.1全不锈钢接口，长度4m</w:t>
      </w:r>
    </w:p>
    <w:p w14:paraId="3201FB7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3.2具备“开启/停止”的安全开关，可防止马达手柄误启动</w:t>
      </w:r>
    </w:p>
    <w:p w14:paraId="021976E1">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3.3允许使用碱性清洁剂清洁表面；可高温高压灭菌</w:t>
      </w:r>
    </w:p>
    <w:p w14:paraId="344224DA">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3.4一根电缆连接所有类型马达手柄，无需换线</w:t>
      </w:r>
    </w:p>
    <w:p w14:paraId="5CEB551E">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4、开颅钻马达：</w:t>
      </w:r>
    </w:p>
    <w:p w14:paraId="365D4E12">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4.1马达手柄一体式，采用马达前置设计</w:t>
      </w:r>
    </w:p>
    <w:p w14:paraId="3AF10CD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4.2最高转速≥1,200转/分钟，可实现12级速度调节</w:t>
      </w:r>
    </w:p>
    <w:p w14:paraId="0E24158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4.3可高温高压灭菌</w:t>
      </w:r>
    </w:p>
    <w:p w14:paraId="440B60BF">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5、开颅钻头：</w:t>
      </w:r>
    </w:p>
    <w:p w14:paraId="2A5B2D8E">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5.1安全自停式，原装钻头</w:t>
      </w:r>
    </w:p>
    <w:p w14:paraId="2BA3D515">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5.2不锈钢材质</w:t>
      </w:r>
    </w:p>
    <w:p w14:paraId="5425258C">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5.3钻头可拆分、可更换转头内芯</w:t>
      </w:r>
    </w:p>
    <w:p w14:paraId="727ACCE9">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5.3可重复性使用设计，可高温高压灭菌</w:t>
      </w:r>
    </w:p>
    <w:p w14:paraId="3298B95D">
      <w:pPr>
        <w:pStyle w:val="85"/>
        <w:spacing w:line="360" w:lineRule="auto"/>
        <w:jc w:val="left"/>
        <w:rPr>
          <w:rFonts w:hint="default"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6、马达：</w:t>
      </w:r>
    </w:p>
    <w:p w14:paraId="7FF3B49A">
      <w:pPr>
        <w:pStyle w:val="85"/>
        <w:spacing w:line="360" w:lineRule="auto"/>
        <w:jc w:val="left"/>
        <w:rPr>
          <w:rFonts w:hint="default"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6.1最高转速≥</w:t>
      </w:r>
      <w:r>
        <w:rPr>
          <w:rFonts w:hint="eastAsia" w:ascii="仿宋_GB2312" w:hAnsi="Times New Roman" w:eastAsia="仿宋_GB2312" w:cs="Times New Roman"/>
          <w:spacing w:val="20"/>
          <w:kern w:val="2"/>
          <w:sz w:val="24"/>
          <w:szCs w:val="24"/>
          <w:lang w:val="en-US" w:eastAsia="zh-CN" w:bidi="ar-SA"/>
        </w:rPr>
        <w:t>80</w:t>
      </w:r>
      <w:r>
        <w:rPr>
          <w:rFonts w:hint="default" w:ascii="仿宋_GB2312" w:hAnsi="Times New Roman" w:eastAsia="仿宋_GB2312" w:cs="Times New Roman"/>
          <w:spacing w:val="20"/>
          <w:kern w:val="2"/>
          <w:sz w:val="24"/>
          <w:szCs w:val="24"/>
          <w:lang w:val="en-US" w:eastAsia="zh-CN" w:bidi="ar-SA"/>
        </w:rPr>
        <w:t>,000转/分钟</w:t>
      </w:r>
    </w:p>
    <w:p w14:paraId="592551F6">
      <w:pPr>
        <w:pStyle w:val="85"/>
        <w:spacing w:line="360" w:lineRule="auto"/>
        <w:jc w:val="left"/>
        <w:rPr>
          <w:rFonts w:hint="default"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6.2马达前置式设计，马达位于成角结构前方</w:t>
      </w:r>
    </w:p>
    <w:p w14:paraId="4565A53D">
      <w:pPr>
        <w:pStyle w:val="85"/>
        <w:spacing w:line="360" w:lineRule="auto"/>
        <w:jc w:val="left"/>
        <w:rPr>
          <w:rFonts w:hint="default"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6.3开机自动识别并加载最适参数，扭力大、动力强劲</w:t>
      </w:r>
    </w:p>
    <w:p w14:paraId="74A80C9C">
      <w:pPr>
        <w:pStyle w:val="85"/>
        <w:spacing w:line="360" w:lineRule="auto"/>
        <w:jc w:val="left"/>
        <w:rPr>
          <w:rFonts w:hint="default"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铣刀马达：</w:t>
      </w:r>
    </w:p>
    <w:p w14:paraId="7E6EF7C6">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default" w:ascii="仿宋_GB2312" w:hAnsi="Times New Roman" w:eastAsia="仿宋_GB2312" w:cs="Times New Roman"/>
          <w:spacing w:val="20"/>
          <w:kern w:val="2"/>
          <w:sz w:val="24"/>
          <w:szCs w:val="24"/>
          <w:lang w:val="en-US" w:eastAsia="zh-CN" w:bidi="ar-SA"/>
        </w:rPr>
        <w:t>6.5装卸保护鞘无需工具，有双重锁定装置，保证使用安全</w:t>
      </w:r>
    </w:p>
    <w:p w14:paraId="102B2E70">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 xml:space="preserve">7、 </w:t>
      </w:r>
      <w:r>
        <w:rPr>
          <w:rFonts w:hint="default" w:ascii="仿宋_GB2312" w:hAnsi="Times New Roman" w:eastAsia="仿宋_GB2312" w:cs="Times New Roman"/>
          <w:spacing w:val="20"/>
          <w:kern w:val="2"/>
          <w:sz w:val="24"/>
          <w:szCs w:val="24"/>
          <w:lang w:val="en-US" w:eastAsia="zh-CN" w:bidi="ar-SA"/>
        </w:rPr>
        <w:t>铣刀、</w:t>
      </w:r>
      <w:r>
        <w:rPr>
          <w:rFonts w:hint="eastAsia" w:ascii="仿宋_GB2312" w:hAnsi="Times New Roman" w:eastAsia="仿宋_GB2312" w:cs="Times New Roman"/>
          <w:spacing w:val="20"/>
          <w:kern w:val="2"/>
          <w:sz w:val="24"/>
          <w:szCs w:val="24"/>
          <w:lang w:val="en-US" w:eastAsia="zh-CN" w:bidi="ar-SA"/>
        </w:rPr>
        <w:t>磨钻头：</w:t>
      </w:r>
    </w:p>
    <w:p w14:paraId="786B92BD">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7.1不锈钢材质，可选西瓜磨头、金刚砂磨头、粗糙金刚砂磨头、特粗糙金刚砂磨头、桶状磨头、锥形磨头等</w:t>
      </w:r>
    </w:p>
    <w:p w14:paraId="1B58DD82">
      <w:pPr>
        <w:pStyle w:val="85"/>
        <w:spacing w:line="360" w:lineRule="auto"/>
        <w:jc w:val="left"/>
        <w:rPr>
          <w:rFonts w:hint="eastAsia" w:ascii="仿宋_GB2312" w:hAnsi="Times New Roman" w:eastAsia="仿宋_GB2312" w:cs="Times New Roman"/>
          <w:spacing w:val="20"/>
          <w:kern w:val="2"/>
          <w:sz w:val="24"/>
          <w:szCs w:val="24"/>
          <w:lang w:val="en-US" w:eastAsia="zh-CN" w:bidi="ar-SA"/>
        </w:rPr>
      </w:pPr>
      <w:r>
        <w:rPr>
          <w:rFonts w:hint="eastAsia" w:ascii="仿宋_GB2312" w:hAnsi="Times New Roman" w:eastAsia="仿宋_GB2312" w:cs="Times New Roman"/>
          <w:spacing w:val="20"/>
          <w:kern w:val="2"/>
          <w:sz w:val="24"/>
          <w:szCs w:val="24"/>
          <w:lang w:val="en-US" w:eastAsia="zh-CN" w:bidi="ar-SA"/>
        </w:rPr>
        <w:t>7.2同时提供一次性及可重复使用耗材，复用耗材可高温高压灭菌</w:t>
      </w:r>
    </w:p>
    <w:p w14:paraId="5033B59F">
      <w:pPr>
        <w:widowControl/>
        <w:ind w:firstLine="0" w:firstLineChars="0"/>
        <w:jc w:val="left"/>
        <w:rPr>
          <w:rFonts w:hint="eastAsia" w:ascii="黑体" w:hAnsi="黑体" w:eastAsia="黑体" w:cs="黑体"/>
          <w:b/>
          <w:sz w:val="32"/>
          <w:szCs w:val="32"/>
        </w:rPr>
      </w:pPr>
    </w:p>
    <w:p w14:paraId="07D445AA">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sz w:val="30"/>
          <w:szCs w:val="30"/>
        </w:rPr>
        <w:t>全自动精子分析仪</w:t>
      </w:r>
      <w:r>
        <w:rPr>
          <w:rFonts w:hint="eastAsia" w:ascii="黑体" w:hAnsi="黑体" w:eastAsia="黑体" w:cs="黑体"/>
          <w:b/>
          <w:bCs/>
          <w:sz w:val="30"/>
          <w:szCs w:val="30"/>
          <w:lang w:val="en-US" w:eastAsia="zh-CN"/>
        </w:rPr>
        <w:t>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预算9.80万元</w:t>
      </w:r>
      <w:r>
        <w:rPr>
          <w:rFonts w:hint="eastAsia" w:ascii="黑体" w:hAnsi="黑体" w:eastAsia="黑体" w:cs="黑体"/>
          <w:b/>
          <w:bCs/>
          <w:sz w:val="32"/>
          <w:lang w:eastAsia="zh-CN"/>
        </w:rPr>
        <w:t>）</w:t>
      </w:r>
    </w:p>
    <w:p w14:paraId="5789E8B3">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627B61BE">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632C89F0">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6B50DD75">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5C5A61EC">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146A465D">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293E1AAA">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42015593">
      <w:pPr>
        <w:keepNext w:val="0"/>
        <w:keepLines w:val="0"/>
        <w:pageBreakBefore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05EDEF76">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1.仪器原理：镜检原理。利用电动显微镜及图像采集系统，采集精液标本原始图像，进行CASA分析；并保存原始图以备随时复查，符合循证医学原则</w:t>
      </w:r>
    </w:p>
    <w:p w14:paraId="0144096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2.仪器一体机内置触控屏，可以直接一键式触摸操作，简便、高效</w:t>
      </w:r>
    </w:p>
    <w:p w14:paraId="235369FA">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3.仪器设计及操作要完全符合WHO第五版要求，活力级别分为PR、NP、IM三个级别，还可同步报告体现40余项动态指标参数，并且参考值可更新。</w:t>
      </w:r>
    </w:p>
    <w:p w14:paraId="466526C6">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4.仪器显微镜载物台移动最小步距：X轴≤0.002mm, Y轴≤0.002mm，可使精子不漏检；内置电动显微镜有单独的医疗器械注册证和制造厂家授权书。</w:t>
      </w:r>
    </w:p>
    <w:p w14:paraId="7C75B471">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5.仪器自带一体化温控系统，保持精子最佳活性：超过38℃或低于36℃，设备可提示“异常”报警，并且“自动分析”按钮功能失效，机器停止工作</w:t>
      </w:r>
    </w:p>
    <w:p w14:paraId="17A811A9">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6. 实验过程标准化、规范化、自动化，减少人为操作误差。</w:t>
      </w:r>
    </w:p>
    <w:p w14:paraId="6C6759C4">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7.为确保实验结果的准确性、较好的重复性，仪器需要具备质控功能，配备标准浓度质控液进行质控。</w:t>
      </w:r>
    </w:p>
    <w:p w14:paraId="53AA801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8.报告项目及报告格式要根据科室的要求个性化设计，体现精子原始轨迹图、精子运动轨迹图、精子运动分级直方图等</w:t>
      </w:r>
    </w:p>
    <w:p w14:paraId="42334230">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9.仪器可以检测所有浓度（0-300百万/ml）的标本，且测量误差在±10%以内</w:t>
      </w:r>
    </w:p>
    <w:p w14:paraId="458B0BD5">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lang w:val="en-US" w:eastAsia="zh-CN"/>
        </w:rPr>
        <w:t>10.仪器内置大型数据库、具备多种数据查询方式和多种报告统计格式，可以连接LIS，实现数据无线存储</w:t>
      </w:r>
    </w:p>
    <w:p w14:paraId="3E02BCA1">
      <w:pPr>
        <w:widowControl/>
        <w:ind w:firstLine="0" w:firstLineChars="0"/>
        <w:jc w:val="left"/>
        <w:rPr>
          <w:rFonts w:hint="eastAsia" w:ascii="黑体" w:hAnsi="黑体" w:eastAsia="黑体" w:cs="黑体"/>
          <w:b/>
          <w:sz w:val="32"/>
          <w:szCs w:val="32"/>
        </w:rPr>
      </w:pPr>
    </w:p>
    <w:p w14:paraId="168726DE">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bCs/>
          <w:sz w:val="32"/>
          <w:szCs w:val="32"/>
        </w:rPr>
        <w:t>胰岛素泵</w:t>
      </w:r>
      <w:r>
        <w:rPr>
          <w:rFonts w:hint="eastAsia" w:ascii="黑体" w:hAnsi="黑体" w:eastAsia="黑体" w:cs="黑体"/>
          <w:b/>
          <w:bCs/>
          <w:sz w:val="32"/>
          <w:szCs w:val="32"/>
          <w:lang w:val="en-US" w:eastAsia="zh-CN"/>
        </w:rPr>
        <w:t>三台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预算15万元</w:t>
      </w:r>
      <w:r>
        <w:rPr>
          <w:rFonts w:hint="eastAsia" w:ascii="黑体" w:hAnsi="黑体" w:eastAsia="黑体" w:cs="黑体"/>
          <w:b/>
          <w:bCs/>
          <w:sz w:val="32"/>
          <w:lang w:eastAsia="zh-CN"/>
        </w:rPr>
        <w:t>）</w:t>
      </w:r>
    </w:p>
    <w:p w14:paraId="2B610702">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46F60150">
      <w:pPr>
        <w:spacing w:line="360" w:lineRule="auto"/>
        <w:rPr>
          <w:rFonts w:hint="eastAsia" w:ascii="仿宋_GB2312" w:hAnsi="仿宋_GB2312" w:eastAsia="仿宋_GB2312" w:cs="仿宋_GB2312"/>
          <w:kern w:val="0"/>
          <w:sz w:val="24"/>
        </w:rPr>
      </w:pPr>
      <w:r>
        <w:rPr>
          <w:rFonts w:hint="eastAsia" w:ascii="黑体" w:hAnsi="黑体" w:eastAsia="黑体" w:cs="黑体"/>
          <w:b/>
          <w:bCs w:val="0"/>
          <w:sz w:val="32"/>
          <w:szCs w:val="32"/>
          <w:lang w:val="en-US" w:eastAsia="zh-CN"/>
        </w:rPr>
        <w:t xml:space="preserve"> </w:t>
      </w: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0CBDCF2A">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21C30B35">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3107233A">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6A96C040">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7163980A">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4EDA1ED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2F73F55A">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1.操作界面：中文菜单，物理按键</w:t>
      </w:r>
    </w:p>
    <w:p w14:paraId="22FFB937">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2.基础率：分段≥48段,基础率可手动和自动分配，手动可个性化设置基础率；自动可智能分配基础率，设置范围 6～50U</w:t>
      </w:r>
    </w:p>
    <w:p w14:paraId="2792A98B">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3.基础率范围：0U/h~35U/h</w:t>
      </w:r>
    </w:p>
    <w:p w14:paraId="698F857C">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4.临时基础量设置方式：二种方式，数值和百分比；时长：5min-24h，剂量：0U~35U，增幅 0.05U/h或0.01U/h；百分比设置范围0%-200%，增幅10%。</w:t>
      </w:r>
    </w:p>
    <w:p w14:paraId="02246CE4">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5.药浓度选择：40U/ml和100 U/ml</w:t>
      </w:r>
    </w:p>
    <w:p w14:paraId="24D5C0E1">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 xml:space="preserve">6.餐前量预设：可预设三餐量 </w:t>
      </w:r>
    </w:p>
    <w:p w14:paraId="0801213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7.快捷功能：一键快捷回顾基础率和一键快捷输注餐前大剂量</w:t>
      </w:r>
    </w:p>
    <w:p w14:paraId="415640D7">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8.上次餐前量提示：每次执行餐前大剂量，需显示上次餐前工作时刻及输注的餐前量</w:t>
      </w:r>
    </w:p>
    <w:p w14:paraId="1FA19BA0">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9.常规餐前量设置：范围OU~88U，步长 0.05U或1U；</w:t>
      </w:r>
    </w:p>
    <w:p w14:paraId="02063928">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10.常规餐前输注间隔设置：可瞬时或分多次输注</w:t>
      </w:r>
    </w:p>
    <w:p w14:paraId="2935A0C0">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11.餐前量输注模式：方波、矩形波、三角波、柱形波、双波等</w:t>
      </w:r>
    </w:p>
    <w:p w14:paraId="04DD022E">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12.低药量报警提醒设置：OU~20U，步长1U</w:t>
      </w:r>
    </w:p>
    <w:p w14:paraId="748A24A1">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13.多种记录查询：日总量，餐前量，停输（定位）分别记录≥100次</w:t>
      </w:r>
    </w:p>
    <w:p w14:paraId="55E600AF">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14.多种报警功能：药量低、药尽、电量低、电量尽、阻塞等报警提示</w:t>
      </w:r>
    </w:p>
    <w:p w14:paraId="74ED897C">
      <w:pPr>
        <w:spacing w:line="360" w:lineRule="auto"/>
        <w:ind w:firstLine="560" w:firstLineChars="200"/>
        <w:rPr>
          <w:rFonts w:hint="default"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15.泵开启开关：可通过按键打开，菜单页面功能关闭胰岛素泵，关机无需取出电池</w:t>
      </w:r>
    </w:p>
    <w:p w14:paraId="250CF796">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16.安全限量：有，最大基础和最大餐前，日极限量等</w:t>
      </w:r>
    </w:p>
    <w:p w14:paraId="64337270">
      <w:pPr>
        <w:spacing w:line="360" w:lineRule="auto"/>
        <w:ind w:firstLine="560" w:firstLineChars="200"/>
        <w:rPr>
          <w:rFonts w:hint="eastAsia" w:ascii="仿宋_GB2312" w:hAnsi="Times New Roman" w:eastAsia="仿宋_GB2312" w:cs="Times New Roman"/>
          <w:spacing w:val="20"/>
          <w:sz w:val="24"/>
          <w:lang w:val="en-US" w:eastAsia="zh-CN"/>
        </w:rPr>
      </w:pPr>
      <w:r>
        <w:rPr>
          <w:rFonts w:hint="eastAsia" w:ascii="仿宋_GB2312" w:hAnsi="Times New Roman" w:eastAsia="仿宋_GB2312" w:cs="Times New Roman"/>
          <w:spacing w:val="20"/>
          <w:sz w:val="24"/>
          <w:lang w:val="en-US" w:eastAsia="zh-CN"/>
        </w:rPr>
        <w:t>17.可设置自动锁屏时间</w:t>
      </w:r>
    </w:p>
    <w:p w14:paraId="7BFA2EE1">
      <w:pPr>
        <w:widowControl/>
        <w:numPr>
          <w:ilvl w:val="0"/>
          <w:numId w:val="0"/>
        </w:numPr>
        <w:jc w:val="left"/>
        <w:rPr>
          <w:rFonts w:hint="eastAsia" w:ascii="宋体" w:hAnsi="宋体" w:cs="宋体"/>
          <w:b/>
          <w:sz w:val="24"/>
          <w:szCs w:val="24"/>
          <w:lang w:val="en-US" w:eastAsia="zh-CN"/>
        </w:rPr>
      </w:pPr>
      <w:r>
        <w:rPr>
          <w:rFonts w:hint="eastAsia" w:ascii="黑体" w:hAnsi="黑体" w:eastAsia="黑体" w:cs="黑体"/>
          <w:b/>
          <w:bCs w:val="0"/>
          <w:sz w:val="32"/>
          <w:szCs w:val="32"/>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2026-001</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2026-001</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2026-001</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2026-001</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2026-001</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F06767"/>
    <w:rsid w:val="035D069A"/>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75A0A6D"/>
    <w:rsid w:val="48AF15AB"/>
    <w:rsid w:val="496811F0"/>
    <w:rsid w:val="49E134D3"/>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1 Char Char Char"/>
    <w:basedOn w:val="1"/>
    <w:link w:val="38"/>
    <w:qFormat/>
    <w:uiPriority w:val="0"/>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 Char Char Char"/>
    <w:basedOn w:val="11"/>
    <w:link w:val="38"/>
    <w:qFormat/>
    <w:uiPriority w:val="0"/>
    <w:pPr>
      <w:adjustRightInd w:val="0"/>
      <w:snapToGrid w:val="0"/>
      <w:spacing w:line="360" w:lineRule="auto"/>
    </w:pPr>
    <w:rPr>
      <w:rFonts w:ascii="Tahoma" w:hAnsi="Tahoma"/>
      <w:sz w:val="24"/>
      <w:szCs w:val="24"/>
    </w:rPr>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32</Pages>
  <Words>4858</Words>
  <Characters>5209</Characters>
  <Lines>99</Lines>
  <Paragraphs>27</Paragraphs>
  <TotalTime>0</TotalTime>
  <ScaleCrop>false</ScaleCrop>
  <LinksUpToDate>false</LinksUpToDate>
  <CharactersWithSpaces>5620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2026-01-20T02:18:43Z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