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2025-016</w:t>
      </w:r>
    </w:p>
    <w:p w14:paraId="320799BC">
      <w:pPr>
        <w:pStyle w:val="14"/>
        <w:spacing w:line="240" w:lineRule="auto"/>
        <w:ind w:left="3519" w:leftChars="1064" w:hanging="1285" w:hangingChars="400"/>
        <w:rPr>
          <w:rFonts w:hint="eastAsia"/>
          <w:b/>
          <w:color w:val="000000"/>
          <w:sz w:val="32"/>
        </w:rPr>
      </w:pPr>
      <w:r>
        <w:rPr>
          <w:rFonts w:hint="eastAsia"/>
          <w:b/>
          <w:color w:val="000000"/>
          <w:sz w:val="32"/>
          <w:lang w:val="en-US" w:eastAsia="zh-CN"/>
        </w:rPr>
        <w:t>项</w:t>
      </w:r>
      <w:r>
        <w:rPr>
          <w:rFonts w:hint="eastAsia"/>
          <w:b/>
          <w:color w:val="000000"/>
          <w:sz w:val="32"/>
        </w:rPr>
        <w:t>目名称: 句容市</w:t>
      </w:r>
      <w:r>
        <w:rPr>
          <w:rFonts w:hint="eastAsia"/>
          <w:b/>
          <w:color w:val="000000"/>
          <w:sz w:val="32"/>
          <w:lang w:eastAsia="zh-CN"/>
        </w:rPr>
        <w:t>人民医院、郭庄中心卫生院医</w:t>
      </w:r>
      <w:bookmarkStart w:id="0" w:name="_GoBack"/>
      <w:bookmarkEnd w:id="0"/>
      <w:r>
        <w:rPr>
          <w:rFonts w:hint="eastAsia"/>
          <w:b/>
          <w:color w:val="000000"/>
          <w:sz w:val="32"/>
          <w:lang w:eastAsia="zh-CN"/>
        </w:rPr>
        <w:t>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b/>
          <w:color w:val="000000"/>
          <w:sz w:val="36"/>
        </w:rPr>
      </w:pPr>
      <w:r>
        <w:rPr>
          <w:rFonts w:hint="eastAsia"/>
          <w:b/>
          <w:color w:val="000000"/>
          <w:sz w:val="36"/>
        </w:rPr>
        <w:t>句容市</w:t>
      </w:r>
      <w:r>
        <w:rPr>
          <w:rFonts w:hint="eastAsia"/>
          <w:b/>
          <w:color w:val="000000"/>
          <w:sz w:val="36"/>
          <w:lang w:eastAsia="zh-CN"/>
        </w:rPr>
        <w:t>人民医院、郭庄中心卫生院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五</w:t>
      </w:r>
      <w:r>
        <w:rPr>
          <w:rFonts w:hint="eastAsia"/>
          <w:b/>
          <w:color w:val="000000"/>
          <w:sz w:val="32"/>
        </w:rPr>
        <w:t>年</w:t>
      </w:r>
      <w:r>
        <w:rPr>
          <w:rFonts w:hint="eastAsia"/>
          <w:b/>
          <w:color w:val="000000"/>
          <w:sz w:val="32"/>
          <w:lang w:eastAsia="zh-CN"/>
        </w:rPr>
        <w:t>十一</w:t>
      </w:r>
      <w:r>
        <w:rPr>
          <w:rFonts w:hint="eastAsia"/>
          <w:b/>
          <w:color w:val="000000"/>
          <w:sz w:val="32"/>
        </w:rPr>
        <w:t>月</w:t>
      </w:r>
      <w:r>
        <w:rPr>
          <w:rFonts w:hint="eastAsia"/>
          <w:b/>
          <w:color w:val="000000"/>
          <w:sz w:val="32"/>
          <w:lang w:eastAsia="zh-CN"/>
        </w:rPr>
        <w:t>十一</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句容市人民医院、郭庄中心卫生院等医疗机构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2025-016</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句容市</w:t>
      </w:r>
      <w:r>
        <w:rPr>
          <w:rFonts w:hint="eastAsia"/>
          <w:lang w:eastAsia="zh-CN"/>
        </w:rPr>
        <w:t>人民医院、郭庄中心卫生院</w:t>
      </w:r>
      <w:r>
        <w:rPr>
          <w:rFonts w:hint="eastAsia" w:ascii="宋体" w:hAnsi="宋体"/>
          <w:color w:val="000000"/>
          <w:lang w:eastAsia="zh-CN"/>
        </w:rPr>
        <w:t>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2</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2025年11</w:t>
      </w:r>
      <w:r>
        <w:rPr>
          <w:rFonts w:hint="eastAsia" w:ascii="宋体" w:hAnsi="宋体"/>
          <w:color w:val="000000"/>
        </w:rPr>
        <w:t>月</w:t>
      </w:r>
      <w:r>
        <w:rPr>
          <w:rFonts w:hint="eastAsia" w:ascii="宋体" w:hAnsi="宋体"/>
          <w:color w:val="000000"/>
          <w:lang w:val="en-US" w:eastAsia="zh-CN"/>
        </w:rPr>
        <w:t>18</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25</w:t>
      </w:r>
      <w:r>
        <w:rPr>
          <w:rFonts w:ascii="宋体" w:hAnsi="宋体"/>
          <w:b/>
        </w:rPr>
        <w:t>年</w:t>
      </w:r>
      <w:r>
        <w:rPr>
          <w:rFonts w:hint="eastAsia" w:ascii="宋体" w:hAnsi="宋体"/>
          <w:b/>
          <w:lang w:val="en-US" w:eastAsia="zh-CN"/>
        </w:rPr>
        <w:t>11</w:t>
      </w:r>
      <w:r>
        <w:rPr>
          <w:rFonts w:ascii="宋体" w:hAnsi="宋体"/>
          <w:b/>
        </w:rPr>
        <w:t>月</w:t>
      </w:r>
      <w:r>
        <w:rPr>
          <w:rFonts w:hint="eastAsia" w:ascii="宋体" w:hAnsi="宋体"/>
          <w:b/>
          <w:lang w:val="en-US" w:eastAsia="zh-CN"/>
        </w:rPr>
        <w:t>19</w:t>
      </w:r>
      <w:r>
        <w:rPr>
          <w:rFonts w:hint="eastAsia" w:ascii="宋体" w:hAnsi="宋体"/>
          <w:b/>
        </w:rPr>
        <w:t>日</w:t>
      </w:r>
      <w:r>
        <w:rPr>
          <w:rFonts w:hint="eastAsia" w:ascii="宋体" w:hAnsi="宋体"/>
          <w:b/>
          <w:lang w:val="en-US" w:eastAsia="zh-CN"/>
        </w:rPr>
        <w:t>14:30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16C81706">
      <w:pPr>
        <w:pStyle w:val="15"/>
        <w:numPr>
          <w:ilvl w:val="0"/>
          <w:numId w:val="0"/>
        </w:numPr>
        <w:ind w:left="480" w:leftChars="0"/>
        <w:rPr>
          <w:rFonts w:hint="eastAsia"/>
        </w:rPr>
      </w:pPr>
    </w:p>
    <w:p w14:paraId="5D8F3E23">
      <w:pPr>
        <w:ind w:firstLine="480" w:firstLineChars="200"/>
        <w:rPr>
          <w:rFonts w:hint="default" w:ascii="宋体" w:hAnsi="宋体" w:cs="宋体"/>
          <w:color w:val="000000"/>
          <w:sz w:val="24"/>
          <w:szCs w:val="24"/>
          <w:lang w:val="en-US" w:eastAsia="zh-CN"/>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句容市人民医院：</w:t>
      </w:r>
      <w:r>
        <w:rPr>
          <w:rFonts w:hint="eastAsia" w:ascii="宋体" w:hAnsi="宋体" w:cs="宋体"/>
          <w:color w:val="000000"/>
          <w:sz w:val="24"/>
          <w:szCs w:val="24"/>
          <w:lang w:val="en-US" w:eastAsia="zh-CN"/>
        </w:rPr>
        <w:t>0511-87262767</w:t>
      </w:r>
    </w:p>
    <w:p w14:paraId="2C5AF855">
      <w:pPr>
        <w:ind w:firstLine="1680" w:firstLineChars="700"/>
        <w:rPr>
          <w:rFonts w:hint="default" w:ascii="宋体" w:hAnsi="宋体" w:eastAsia="宋体" w:cs="宋体"/>
          <w:sz w:val="24"/>
          <w:szCs w:val="24"/>
          <w:lang w:val="en-US"/>
        </w:rPr>
      </w:pPr>
      <w:r>
        <w:rPr>
          <w:rFonts w:hint="eastAsia" w:ascii="宋体" w:hAnsi="宋体" w:cs="宋体"/>
          <w:color w:val="000000"/>
          <w:sz w:val="24"/>
          <w:szCs w:val="24"/>
          <w:lang w:eastAsia="zh-CN"/>
        </w:rPr>
        <w:t>郭庄中心卫生院：</w:t>
      </w:r>
      <w:r>
        <w:rPr>
          <w:rFonts w:hint="eastAsia" w:ascii="宋体" w:hAnsi="宋体" w:cs="宋体"/>
          <w:color w:val="000000"/>
          <w:sz w:val="24"/>
          <w:szCs w:val="24"/>
          <w:lang w:val="en-US" w:eastAsia="zh-CN"/>
        </w:rPr>
        <w:t xml:space="preserve">18262560105        </w:t>
      </w:r>
    </w:p>
    <w:p w14:paraId="2A6F4FE7">
      <w:pPr>
        <w:pStyle w:val="14"/>
        <w:tabs>
          <w:tab w:val="left" w:pos="0"/>
          <w:tab w:val="left" w:pos="840"/>
          <w:tab w:val="left" w:pos="955"/>
        </w:tabs>
        <w:spacing w:line="440" w:lineRule="exact"/>
        <w:rPr>
          <w:rFonts w:hint="eastAsia" w:ascii="宋体" w:hAnsi="宋体" w:eastAsia="宋体" w:cs="宋体"/>
          <w:color w:val="000000"/>
          <w:sz w:val="24"/>
          <w:szCs w:val="24"/>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4D8730A4">
      <w:pPr>
        <w:pStyle w:val="14"/>
        <w:tabs>
          <w:tab w:val="left" w:pos="0"/>
          <w:tab w:val="left" w:pos="840"/>
          <w:tab w:val="left" w:pos="955"/>
        </w:tabs>
        <w:spacing w:line="440" w:lineRule="exact"/>
        <w:ind w:firstLine="2870" w:firstLineChars="1196"/>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句容市</w:t>
      </w:r>
      <w:r>
        <w:rPr>
          <w:rFonts w:hint="eastAsia" w:ascii="宋体" w:hAnsi="宋体" w:cs="宋体"/>
          <w:color w:val="000000"/>
          <w:sz w:val="24"/>
          <w:szCs w:val="24"/>
          <w:lang w:eastAsia="zh-CN"/>
        </w:rPr>
        <w:t>人民医院、郭庄中心卫生院</w:t>
      </w:r>
    </w:p>
    <w:p w14:paraId="6FEAE93E">
      <w:pPr>
        <w:pStyle w:val="20"/>
        <w:ind w:left="1436" w:leftChars="684"/>
        <w:jc w:val="center"/>
        <w:rPr>
          <w:rFonts w:hint="default"/>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句容市人民医院、郭庄中心卫生院等单位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1.2本次谈判采取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2025</w:t>
      </w:r>
      <w:r>
        <w:rPr>
          <w:b/>
        </w:rPr>
        <w:t>年</w:t>
      </w:r>
      <w:r>
        <w:rPr>
          <w:rFonts w:hint="eastAsia"/>
          <w:b/>
          <w:lang w:val="en-US" w:eastAsia="zh-CN"/>
        </w:rPr>
        <w:t>11</w:t>
      </w:r>
      <w:r>
        <w:rPr>
          <w:b/>
        </w:rPr>
        <w:t>月</w:t>
      </w:r>
      <w:r>
        <w:rPr>
          <w:rFonts w:hint="eastAsia"/>
          <w:b/>
          <w:lang w:val="en-US" w:eastAsia="zh-CN"/>
        </w:rPr>
        <w:t>19</w:t>
      </w:r>
      <w:r>
        <w:rPr>
          <w:b/>
        </w:rPr>
        <w:t>日</w:t>
      </w:r>
      <w:r>
        <w:rPr>
          <w:rFonts w:hint="eastAsia"/>
          <w:b/>
          <w:lang w:val="en-US" w:eastAsia="zh-CN"/>
        </w:rPr>
        <w:t>14:15-14:30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16.3物有所值原则：通过第一轮的公开报价，激发供应商展开竞争，进一步优化方案，并使报价符合预期目标。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p>
    <w:p w14:paraId="242ED126">
      <w:pPr>
        <w:spacing w:line="500" w:lineRule="exact"/>
        <w:ind w:firstLine="480" w:firstLineChars="200"/>
        <w:rPr>
          <w:rFonts w:hint="eastAsia" w:ascii="宋体" w:hAnsi="宋体"/>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将严格按照《中华人民共和国政府采购法》及相关法律、法规及规章制度的规定行使权利。供应商给采购人造成损失的，采购人有索赔的权利，供应商应予以赔偿。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15"/>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15"/>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72F37DAF">
      <w:pPr>
        <w:pStyle w:val="15"/>
        <w:ind w:left="0" w:leftChars="0" w:firstLine="0" w:firstLineChars="0"/>
        <w:rPr>
          <w:rFonts w:hint="eastAsia" w:eastAsia="黑体"/>
          <w:b/>
          <w:color w:val="000000"/>
          <w:sz w:val="36"/>
        </w:rPr>
      </w:pPr>
    </w:p>
    <w:p w14:paraId="60DB88C4">
      <w:pPr>
        <w:rPr>
          <w:rFonts w:hint="eastAsia"/>
        </w:rPr>
      </w:pPr>
    </w:p>
    <w:p w14:paraId="3B4C7B47">
      <w:pPr>
        <w:rPr>
          <w:rFonts w:hint="eastAsia"/>
        </w:rPr>
      </w:pPr>
    </w:p>
    <w:p w14:paraId="41FC35F7">
      <w:pPr>
        <w:pStyle w:val="14"/>
        <w:spacing w:line="240" w:lineRule="auto"/>
        <w:ind w:left="0" w:leftChars="0" w:firstLine="0" w:firstLineChars="0"/>
        <w:jc w:val="center"/>
        <w:rPr>
          <w:rFonts w:hint="eastAsia" w:eastAsia="黑体"/>
          <w:b/>
          <w:color w:val="000000"/>
          <w:sz w:val="36"/>
        </w:rPr>
      </w:pPr>
    </w:p>
    <w:p w14:paraId="1AF7286C">
      <w:pPr>
        <w:pStyle w:val="14"/>
        <w:spacing w:line="240" w:lineRule="auto"/>
        <w:ind w:left="0" w:leftChars="0" w:firstLine="0" w:firstLineChars="0"/>
        <w:jc w:val="center"/>
        <w:rPr>
          <w:rFonts w:hint="eastAsia" w:eastAsia="黑体"/>
          <w:b/>
          <w:color w:val="000000"/>
          <w:sz w:val="36"/>
        </w:rPr>
      </w:pPr>
    </w:p>
    <w:p w14:paraId="6BAF0985">
      <w:pPr>
        <w:pStyle w:val="14"/>
        <w:spacing w:line="240" w:lineRule="auto"/>
        <w:ind w:left="0" w:leftChars="0" w:firstLine="0" w:firstLineChars="0"/>
        <w:jc w:val="center"/>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15"/>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sz w:val="30"/>
          <w:szCs w:val="30"/>
          <w:lang w:val="en-US" w:eastAsia="zh-CN"/>
        </w:rPr>
        <w:t>非接触式眼压计一台</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预算9.50万元</w:t>
      </w:r>
      <w:r>
        <w:rPr>
          <w:rFonts w:hint="eastAsia" w:ascii="黑体" w:hAnsi="黑体" w:eastAsia="黑体" w:cs="黑体"/>
          <w:b/>
          <w:bCs/>
          <w:sz w:val="32"/>
          <w:lang w:eastAsia="zh-CN"/>
        </w:rPr>
        <w:t>）</w:t>
      </w:r>
    </w:p>
    <w:p w14:paraId="0D9A8599">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547E3B43">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29E06293">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4ACA17CF">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52BEAD07">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7283BE4F">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（四）设备运行需要配套使用有相应耗材或试剂，必须提供镇江市医用耗材或试剂的中标证明材料（或镇江市药管办的备案审批手续）。</w:t>
      </w:r>
    </w:p>
    <w:p w14:paraId="49FC08BA">
      <w:pPr>
        <w:spacing w:line="360" w:lineRule="auto"/>
        <w:ind w:firstLine="560" w:firstLineChars="200"/>
        <w:rPr>
          <w:rFonts w:hint="eastAsia" w:ascii="仿宋_GB2312" w:eastAsia="仿宋_GB2312"/>
          <w:spacing w:val="20"/>
          <w:sz w:val="24"/>
        </w:rPr>
      </w:pPr>
      <w:r>
        <w:rPr>
          <w:rFonts w:hint="eastAsia" w:ascii="仿宋_GB2312" w:eastAsia="仿宋_GB2312"/>
          <w:spacing w:val="20"/>
          <w:sz w:val="24"/>
        </w:rPr>
        <w:t>（五）提供的原厂或总代理授权书中须特别注明设备保修时间。</w:t>
      </w:r>
    </w:p>
    <w:p w14:paraId="253C84CC">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lang w:eastAsia="zh-CN"/>
        </w:rPr>
        <w:t>（</w:t>
      </w:r>
      <w:r>
        <w:rPr>
          <w:rFonts w:hint="eastAsia" w:ascii="仿宋_GB2312" w:eastAsia="仿宋_GB2312"/>
          <w:spacing w:val="20"/>
          <w:sz w:val="24"/>
          <w:lang w:val="en-US" w:eastAsia="zh-CN"/>
        </w:rPr>
        <w:t>六</w:t>
      </w:r>
      <w:r>
        <w:rPr>
          <w:rFonts w:hint="eastAsia" w:ascii="仿宋_GB2312" w:eastAsia="仿宋_GB2312"/>
          <w:spacing w:val="20"/>
          <w:sz w:val="24"/>
          <w:lang w:eastAsia="zh-CN"/>
        </w:rPr>
        <w:t>）</w:t>
      </w:r>
      <w:r>
        <w:rPr>
          <w:rFonts w:hint="eastAsia" w:ascii="仿宋_GB2312" w:eastAsia="仿宋_GB2312"/>
          <w:spacing w:val="20"/>
          <w:sz w:val="24"/>
          <w:lang w:val="en-US" w:eastAsia="zh-CN"/>
        </w:rPr>
        <w:t>提供的设备生产日期必须在安装日期前一年内</w:t>
      </w:r>
    </w:p>
    <w:p w14:paraId="653FB967">
      <w:pPr>
        <w:keepNext w:val="0"/>
        <w:keepLines w:val="0"/>
        <w:pageBreakBefore w:val="0"/>
        <w:kinsoku/>
        <w:wordWrap/>
        <w:overflowPunct/>
        <w:topLinePunct w:val="0"/>
        <w:autoSpaceDE/>
        <w:autoSpaceDN/>
        <w:bidi w:val="0"/>
        <w:adjustRightInd/>
        <w:snapToGrid/>
        <w:spacing w:line="360" w:lineRule="auto"/>
        <w:ind w:left="840" w:hanging="840" w:hangingChars="3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、基本配置与特别要求：</w:t>
      </w:r>
      <w:r>
        <w:rPr>
          <w:rFonts w:hint="eastAsia" w:ascii="仿宋_GB2312" w:hAnsi="仿宋_GB2312" w:eastAsia="仿宋_GB2312" w:cs="仿宋_GB2312"/>
          <w:kern w:val="0"/>
          <w:sz w:val="24"/>
          <w:szCs w:val="24"/>
        </w:rPr>
        <w:t>　　　　　　　　　　　　　　</w:t>
      </w:r>
    </w:p>
    <w:p w14:paraId="292491A2">
      <w:pPr>
        <w:keepNext w:val="0"/>
        <w:keepLines w:val="0"/>
        <w:pageBreakBefore w:val="0"/>
        <w:widowControl/>
        <w:shd w:val="clear" w:color="auto" w:fill="FFFFFF"/>
        <w:tabs>
          <w:tab w:val="left" w:pos="5160"/>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（一）</w:t>
      </w:r>
      <w:r>
        <w:rPr>
          <w:rFonts w:hint="eastAsia" w:ascii="仿宋_GB2312" w:hAnsi="仿宋_GB2312" w:eastAsia="仿宋_GB2312" w:cs="仿宋_GB2312"/>
          <w:kern w:val="0"/>
          <w:sz w:val="24"/>
          <w:szCs w:val="24"/>
          <w:lang w:eastAsia="zh-CN"/>
        </w:rPr>
        <w:t>进口设备标准配置以及随机赠送的所有耗材</w:t>
      </w:r>
      <w:r>
        <w:rPr>
          <w:rFonts w:hint="eastAsia" w:ascii="仿宋_GB2312" w:hAnsi="仿宋_GB2312" w:eastAsia="仿宋_GB2312" w:cs="仿宋_GB2312"/>
          <w:kern w:val="0"/>
          <w:sz w:val="24"/>
          <w:szCs w:val="24"/>
        </w:rPr>
        <w:t>。</w:t>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ab/>
      </w:r>
    </w:p>
    <w:p w14:paraId="7A28CE2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（二）操作说明书(进口设备应同时具备英文操作说明书一本、中文操作说明书两本)、维修手册及维修电路图、光盘;</w:t>
      </w:r>
    </w:p>
    <w:p w14:paraId="12185E9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设备报价含设备到达其安装现场,并按国家规定能投入正常使用所产生的一切费用,</w:t>
      </w:r>
      <w:r>
        <w:rPr>
          <w:rFonts w:hint="eastAsia" w:ascii="仿宋_GB2312" w:hAnsi="仿宋_GB2312" w:eastAsia="仿宋_GB2312" w:cs="仿宋_GB2312"/>
          <w:b/>
          <w:bCs/>
          <w:spacing w:val="20"/>
          <w:sz w:val="24"/>
          <w:szCs w:val="24"/>
          <w:u w:val="single"/>
        </w:rPr>
        <w:t>提供近期内销售同类产品的真实有效合同</w:t>
      </w:r>
      <w:r>
        <w:rPr>
          <w:rFonts w:hint="eastAsia" w:ascii="仿宋_GB2312" w:hAnsi="仿宋_GB2312" w:eastAsia="仿宋_GB2312" w:cs="仿宋_GB2312"/>
          <w:spacing w:val="20"/>
          <w:sz w:val="24"/>
          <w:szCs w:val="24"/>
        </w:rPr>
        <w:t>。</w:t>
      </w:r>
    </w:p>
    <w:p w14:paraId="67ACBB1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三、主要技术参数与性能指标：</w:t>
      </w:r>
    </w:p>
    <w:p w14:paraId="2BE741DC">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类型：非接触型</w:t>
      </w:r>
    </w:p>
    <w:p w14:paraId="68E74192">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测量范围：1-60mmHg</w:t>
      </w:r>
    </w:p>
    <w:p w14:paraId="694C8E70">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具有自动眼球跟踪技术</w:t>
      </w:r>
    </w:p>
    <w:p w14:paraId="0C3AADA8">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工作距离：11mm</w:t>
      </w:r>
    </w:p>
    <w:p w14:paraId="16C99E5C">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左右眼切换：自动</w:t>
      </w:r>
    </w:p>
    <w:p w14:paraId="58C364F6">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测量模式：全自动/自动/手动</w:t>
      </w:r>
    </w:p>
    <w:p w14:paraId="73C69C56">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全自动模式：自动对焦、自动测量、自动打印智能一体化，可一键完成双眼检查，无需病人移动</w:t>
      </w:r>
    </w:p>
    <w:p w14:paraId="06B3C10E">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高眼压警告提示：有</w:t>
      </w:r>
    </w:p>
    <w:p w14:paraId="23622FF6">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出错视频提示：有</w:t>
      </w:r>
    </w:p>
    <w:p w14:paraId="6D4D6A35">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精确度：0.1mmHg</w:t>
      </w:r>
    </w:p>
    <w:p w14:paraId="43F26375">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固视系统:：具有内外固视灯</w:t>
      </w:r>
    </w:p>
    <w:p w14:paraId="3A03FC0A">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下巴托调节方式：电动调节</w:t>
      </w:r>
    </w:p>
    <w:p w14:paraId="552EB943">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安全系统：具有电子自动止动系统</w:t>
      </w:r>
    </w:p>
    <w:p w14:paraId="32E544E3">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移动范围：前后：≥40mm ；左右：≥90mm；上下：≥30mm</w:t>
      </w:r>
    </w:p>
    <w:p w14:paraId="06A4AA8F">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打印：热敏打印 自动切纸  纸宽58mm</w:t>
      </w:r>
    </w:p>
    <w:p w14:paraId="353CF03D">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数据接口：USB ；RS-232C ；LAN </w:t>
      </w:r>
    </w:p>
    <w:p w14:paraId="5B771A85">
      <w:pPr>
        <w:pStyle w:val="85"/>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显示器：≥5.7英寸（14.5cm）；彩色液晶屏；可倾斜</w:t>
      </w:r>
    </w:p>
    <w:p w14:paraId="03C79D99">
      <w:pPr>
        <w:widowControl/>
        <w:ind w:firstLine="0" w:firstLineChars="0"/>
        <w:jc w:val="left"/>
        <w:rPr>
          <w:rFonts w:hint="eastAsia" w:ascii="黑体" w:hAnsi="黑体" w:eastAsia="黑体" w:cs="黑体"/>
          <w:b/>
          <w:sz w:val="24"/>
          <w:szCs w:val="24"/>
          <w:lang w:eastAsia="zh-CN"/>
        </w:rPr>
      </w:pPr>
      <w:r>
        <w:rPr>
          <w:rFonts w:hint="eastAsia" w:ascii="黑体" w:hAnsi="黑体" w:eastAsia="黑体" w:cs="黑体"/>
          <w:b/>
          <w:bCs w:val="0"/>
          <w:sz w:val="28"/>
          <w:szCs w:val="28"/>
          <w:lang w:val="en-US" w:eastAsia="zh-CN"/>
        </w:rPr>
        <w:t xml:space="preserve"> </w:t>
      </w:r>
    </w:p>
    <w:p w14:paraId="75B7DE68">
      <w:pPr>
        <w:widowControl/>
        <w:ind w:firstLine="0" w:firstLineChars="0"/>
        <w:jc w:val="left"/>
        <w:rPr>
          <w:rFonts w:hint="eastAsia" w:ascii="黑体" w:hAnsi="黑体" w:eastAsia="黑体" w:cs="黑体"/>
          <w:b/>
          <w:sz w:val="24"/>
          <w:szCs w:val="24"/>
          <w:lang w:eastAsia="zh-CN"/>
        </w:rPr>
      </w:pPr>
    </w:p>
    <w:p w14:paraId="03D2D556">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二</w:t>
      </w:r>
      <w:r>
        <w:rPr>
          <w:rFonts w:hint="eastAsia" w:ascii="黑体" w:hAnsi="黑体" w:eastAsia="黑体" w:cs="黑体"/>
          <w:b/>
          <w:sz w:val="32"/>
          <w:szCs w:val="32"/>
        </w:rPr>
        <w:t>部分：</w:t>
      </w:r>
      <w:r>
        <w:rPr>
          <w:rFonts w:hint="eastAsia" w:ascii="黑体" w:hAnsi="黑体" w:eastAsia="黑体" w:cs="黑体"/>
          <w:b/>
          <w:bCs/>
          <w:sz w:val="32"/>
          <w:szCs w:val="32"/>
        </w:rPr>
        <w:t>肺功能振荡模块</w:t>
      </w:r>
      <w:r>
        <w:rPr>
          <w:rFonts w:hint="eastAsia" w:ascii="黑体" w:hAnsi="黑体" w:eastAsia="黑体" w:cs="黑体"/>
          <w:b/>
          <w:bCs/>
          <w:sz w:val="32"/>
          <w:szCs w:val="32"/>
          <w:lang w:val="en-US" w:eastAsia="zh-CN"/>
        </w:rPr>
        <w:t>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预算25.00万元</w:t>
      </w:r>
      <w:r>
        <w:rPr>
          <w:rFonts w:hint="eastAsia" w:ascii="黑体" w:hAnsi="黑体" w:eastAsia="黑体" w:cs="黑体"/>
          <w:b/>
          <w:bCs/>
          <w:sz w:val="32"/>
          <w:lang w:eastAsia="zh-CN"/>
        </w:rPr>
        <w:t>）</w:t>
      </w:r>
    </w:p>
    <w:p w14:paraId="1E6E5F42">
      <w:pPr>
        <w:widowControl/>
        <w:ind w:firstLine="0" w:firstLineChars="0"/>
        <w:jc w:val="left"/>
        <w:rPr>
          <w:rFonts w:hint="eastAsia" w:ascii="仿宋" w:hAnsi="仿宋" w:eastAsia="仿宋" w:cs="仿宋"/>
          <w:b/>
          <w:szCs w:val="21"/>
          <w:lang w:val="en-US" w:eastAsia="zh-CN"/>
        </w:rPr>
      </w:pPr>
      <w:r>
        <w:rPr>
          <w:rFonts w:hint="eastAsia" w:ascii="黑体" w:hAnsi="黑体" w:eastAsia="黑体" w:cs="黑体"/>
          <w:b/>
          <w:bCs w:val="0"/>
          <w:sz w:val="32"/>
          <w:szCs w:val="32"/>
          <w:lang w:val="en-US" w:eastAsia="zh-CN"/>
        </w:rPr>
        <w:t>采购人：句容市人民医院</w:t>
      </w:r>
    </w:p>
    <w:p w14:paraId="6A8137E9">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6F5F8B36">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776AE2FF">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00460133">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330DD227">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（四）设备运行需要配套使用有相应耗材或试剂，必须提供镇江市医用耗材或试剂的中标证明材料（或镇江市药管办的备案审批手续）。</w:t>
      </w:r>
    </w:p>
    <w:p w14:paraId="3DDB858A">
      <w:pPr>
        <w:spacing w:line="360" w:lineRule="auto"/>
        <w:ind w:firstLine="560" w:firstLineChars="200"/>
        <w:rPr>
          <w:rFonts w:hint="eastAsia" w:ascii="仿宋_GB2312" w:eastAsia="仿宋_GB2312"/>
          <w:spacing w:val="20"/>
          <w:sz w:val="24"/>
        </w:rPr>
      </w:pPr>
      <w:r>
        <w:rPr>
          <w:rFonts w:hint="eastAsia" w:ascii="仿宋_GB2312" w:eastAsia="仿宋_GB2312"/>
          <w:spacing w:val="20"/>
          <w:sz w:val="24"/>
        </w:rPr>
        <w:t>（五）提供的原厂或总代理授权书中须特别注明设备保修时间。</w:t>
      </w:r>
    </w:p>
    <w:p w14:paraId="0832E14A">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lang w:eastAsia="zh-CN"/>
        </w:rPr>
        <w:t>（</w:t>
      </w:r>
      <w:r>
        <w:rPr>
          <w:rFonts w:hint="eastAsia" w:ascii="仿宋_GB2312" w:eastAsia="仿宋_GB2312"/>
          <w:spacing w:val="20"/>
          <w:sz w:val="24"/>
          <w:lang w:val="en-US" w:eastAsia="zh-CN"/>
        </w:rPr>
        <w:t>六</w:t>
      </w:r>
      <w:r>
        <w:rPr>
          <w:rFonts w:hint="eastAsia" w:ascii="仿宋_GB2312" w:eastAsia="仿宋_GB2312"/>
          <w:spacing w:val="20"/>
          <w:sz w:val="24"/>
          <w:lang w:eastAsia="zh-CN"/>
        </w:rPr>
        <w:t>）</w:t>
      </w:r>
      <w:r>
        <w:rPr>
          <w:rFonts w:hint="eastAsia" w:ascii="仿宋_GB2312" w:eastAsia="仿宋_GB2312"/>
          <w:spacing w:val="20"/>
          <w:sz w:val="24"/>
          <w:lang w:val="en-US" w:eastAsia="zh-CN"/>
        </w:rPr>
        <w:t>提供的设备生产日期必须在安装日期前一年内</w:t>
      </w:r>
    </w:p>
    <w:p w14:paraId="16E18856">
      <w:pPr>
        <w:keepNext w:val="0"/>
        <w:keepLines w:val="0"/>
        <w:pageBreakBefore w:val="0"/>
        <w:kinsoku/>
        <w:wordWrap/>
        <w:overflowPunct/>
        <w:topLinePunct w:val="0"/>
        <w:autoSpaceDE/>
        <w:autoSpaceDN/>
        <w:bidi w:val="0"/>
        <w:adjustRightInd/>
        <w:snapToGrid/>
        <w:spacing w:line="360" w:lineRule="auto"/>
        <w:ind w:left="840" w:hanging="840" w:hangingChars="3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、基本配置与特别要求：</w:t>
      </w:r>
      <w:r>
        <w:rPr>
          <w:rFonts w:hint="eastAsia" w:ascii="仿宋_GB2312" w:hAnsi="仿宋_GB2312" w:eastAsia="仿宋_GB2312" w:cs="仿宋_GB2312"/>
          <w:kern w:val="0"/>
          <w:sz w:val="24"/>
          <w:szCs w:val="24"/>
        </w:rPr>
        <w:t>　　　　　　　　　　　　　　</w:t>
      </w:r>
    </w:p>
    <w:p w14:paraId="3E9FFA27">
      <w:pPr>
        <w:keepNext w:val="0"/>
        <w:keepLines w:val="0"/>
        <w:pageBreakBefore w:val="0"/>
        <w:widowControl/>
        <w:shd w:val="clear" w:color="auto" w:fill="FFFFFF"/>
        <w:tabs>
          <w:tab w:val="left" w:pos="5160"/>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（一）</w:t>
      </w:r>
      <w:r>
        <w:rPr>
          <w:rFonts w:hint="eastAsia" w:ascii="仿宋_GB2312" w:hAnsi="仿宋_GB2312" w:eastAsia="仿宋_GB2312" w:cs="仿宋_GB2312"/>
          <w:kern w:val="0"/>
          <w:sz w:val="24"/>
          <w:szCs w:val="24"/>
          <w:lang w:eastAsia="zh-CN"/>
        </w:rPr>
        <w:t>进口设备标准配置以及随机赠送的所有耗材</w:t>
      </w:r>
      <w:r>
        <w:rPr>
          <w:rFonts w:hint="eastAsia" w:ascii="仿宋_GB2312" w:hAnsi="仿宋_GB2312" w:eastAsia="仿宋_GB2312" w:cs="仿宋_GB2312"/>
          <w:kern w:val="0"/>
          <w:sz w:val="24"/>
          <w:szCs w:val="24"/>
        </w:rPr>
        <w:t>。</w:t>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ab/>
      </w:r>
    </w:p>
    <w:p w14:paraId="2D71851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（二）操作说明书(进口设备应同时具备英文操作说明书一本、中文操作说明书两本)、维修手册及维修电路图、光盘;</w:t>
      </w:r>
    </w:p>
    <w:p w14:paraId="6CCFE31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设备报价含设备到达其安装现场,并按国家规定能投入正常使用所产生的一切费用,</w:t>
      </w:r>
      <w:r>
        <w:rPr>
          <w:rFonts w:hint="eastAsia" w:ascii="仿宋_GB2312" w:hAnsi="仿宋_GB2312" w:eastAsia="仿宋_GB2312" w:cs="仿宋_GB2312"/>
          <w:b/>
          <w:bCs/>
          <w:spacing w:val="20"/>
          <w:sz w:val="24"/>
          <w:szCs w:val="24"/>
          <w:u w:val="single"/>
        </w:rPr>
        <w:t>提供近期内销售同类产品的真实有效合同</w:t>
      </w:r>
      <w:r>
        <w:rPr>
          <w:rFonts w:hint="eastAsia" w:ascii="仿宋_GB2312" w:hAnsi="仿宋_GB2312" w:eastAsia="仿宋_GB2312" w:cs="仿宋_GB2312"/>
          <w:spacing w:val="20"/>
          <w:sz w:val="24"/>
          <w:szCs w:val="24"/>
        </w:rPr>
        <w:t>。</w:t>
      </w:r>
    </w:p>
    <w:p w14:paraId="3DB4C38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三、主要技术参数与性能指标：</w:t>
      </w:r>
    </w:p>
    <w:p w14:paraId="227B7D7F">
      <w:pPr>
        <w:pStyle w:val="85"/>
        <w:numPr>
          <w:ilvl w:val="0"/>
          <w:numId w:val="10"/>
        </w:numPr>
        <w:ind w:left="425" w:leftChars="0" w:hanging="425"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连续频率脉冲振荡法（IOS）肺功能测定功能：</w:t>
      </w:r>
    </w:p>
    <w:p w14:paraId="2D06C6D2">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总气道阻力R5；中心气道阻力Rz；周边气道阻力Rp；</w:t>
      </w:r>
    </w:p>
    <w:p w14:paraId="596FE37C">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Intrabreath阻力的容积依赖性和流速的依赖性分析；</w:t>
      </w:r>
    </w:p>
    <w:p w14:paraId="0E35CF02">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结构参数图；频谱分析图；阻抗容积图（Z-V图）；频谱微分均值图；</w:t>
      </w:r>
    </w:p>
    <w:p w14:paraId="6D50B88E">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顺应性包括肺顺应性（Cl）、气管顺应性（Cb）和胸廓顺应性（Cw）等；</w:t>
      </w:r>
    </w:p>
    <w:p w14:paraId="51D8EDDC">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IOS强迫振荡法气道阻力测定为独立的模块，测气道阻力的同时可进行肺通气功能检查，包括：慢肺活量、用力肺活量、流速容量环、每分最大通气量等；</w:t>
      </w:r>
    </w:p>
    <w:p w14:paraId="12BDFDF4">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呼吸总阻抗Zrs，振荡频率为0到35Hz连续频率的阻抗，即R5、R10、R25、R35等，不同振荡频率时的电抗X，如X10、X25、X35等。</w:t>
      </w:r>
    </w:p>
    <w:p w14:paraId="360B757E">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振荡发生器：脉冲间隔0.1-6秒，脉冲时长45毫秒，频率范围0-100赫兹，相对阻力0.2KPA/L/S</w:t>
      </w:r>
    </w:p>
    <w:p w14:paraId="0D94C4F3">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共振频率Fres分析，反映粘性阻力的非常敏感的指标；</w:t>
      </w:r>
    </w:p>
    <w:p w14:paraId="476CD4E7">
      <w:pPr>
        <w:pStyle w:val="85"/>
        <w:numPr>
          <w:ilvl w:val="0"/>
          <w:numId w:val="10"/>
        </w:numPr>
        <w:ind w:left="425" w:leftChars="0" w:hanging="425"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流速传感器：</w:t>
      </w:r>
    </w:p>
    <w:p w14:paraId="721814F9">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阻力：&lt;0.05Kpa/L/S，测量范围：0－20L/S，分辨率：10ML/S，测量误差：&lt;2%</w:t>
      </w:r>
    </w:p>
    <w:p w14:paraId="1B626EC8">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单个流速传感器正常使用寿命五年以上</w:t>
      </w:r>
    </w:p>
    <w:p w14:paraId="0587F45E">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流速传感器能直接拆卸浸泡清洗消毒，全面符合中国肺功能检查指南质控要求</w:t>
      </w:r>
    </w:p>
    <w:p w14:paraId="446B121C">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流速传感器具备三流速线性容积定标功能，具备3升定标桶，全面符合中国肺功能检查指南质控要求</w:t>
      </w:r>
    </w:p>
    <w:p w14:paraId="11CDA3B4">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数字积分双向铂合金筛网压差式（非Lilly型压差式）流速传感器,带电加热系统，具有避免水汽结露以及消毒灭菌作用</w:t>
      </w:r>
    </w:p>
    <w:p w14:paraId="47448EA6">
      <w:pPr>
        <w:pStyle w:val="85"/>
        <w:numPr>
          <w:ilvl w:val="1"/>
          <w:numId w:val="10"/>
        </w:numPr>
        <w:ind w:left="850" w:leftChars="0" w:hanging="453" w:firstLine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手柄式结构，压力差传感器直接安装在手柄部位，筛网传感器和手柄间的连接采用硬连接结构，无任何外在的管路，以提高传感器的频响</w:t>
      </w:r>
    </w:p>
    <w:p w14:paraId="7A988531">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三</w:t>
      </w:r>
      <w:r>
        <w:rPr>
          <w:rFonts w:hint="eastAsia" w:ascii="黑体" w:hAnsi="黑体" w:eastAsia="黑体" w:cs="黑体"/>
          <w:b/>
          <w:sz w:val="32"/>
          <w:szCs w:val="32"/>
        </w:rPr>
        <w:t>部分：</w:t>
      </w:r>
      <w:r>
        <w:rPr>
          <w:rFonts w:hint="eastAsia" w:ascii="黑体" w:hAnsi="黑体" w:eastAsia="黑体" w:cs="黑体"/>
          <w:b/>
          <w:bCs/>
          <w:sz w:val="32"/>
          <w:szCs w:val="32"/>
        </w:rPr>
        <w:t>新生儿黄疸治疗仪</w:t>
      </w:r>
      <w:r>
        <w:rPr>
          <w:rFonts w:hint="eastAsia" w:ascii="黑体" w:hAnsi="黑体" w:eastAsia="黑体" w:cs="黑体"/>
          <w:b/>
          <w:bCs/>
          <w:sz w:val="32"/>
          <w:szCs w:val="32"/>
          <w:lang w:val="en-US" w:eastAsia="zh-CN"/>
        </w:rPr>
        <w:t>两台</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预算6.00万元</w:t>
      </w:r>
      <w:r>
        <w:rPr>
          <w:rFonts w:hint="eastAsia" w:ascii="黑体" w:hAnsi="黑体" w:eastAsia="黑体" w:cs="黑体"/>
          <w:b/>
          <w:bCs/>
          <w:sz w:val="32"/>
          <w:lang w:eastAsia="zh-CN"/>
        </w:rPr>
        <w:t>）</w:t>
      </w:r>
    </w:p>
    <w:p w14:paraId="0AFC2BFD">
      <w:pPr>
        <w:widowControl/>
        <w:ind w:firstLine="0" w:firstLineChars="0"/>
        <w:jc w:val="left"/>
        <w:rPr>
          <w:rFonts w:hint="eastAsia" w:ascii="仿宋" w:hAnsi="仿宋" w:eastAsia="仿宋" w:cs="仿宋"/>
          <w:b/>
          <w:szCs w:val="21"/>
          <w:lang w:val="en-US" w:eastAsia="zh-CN"/>
        </w:rPr>
      </w:pPr>
      <w:r>
        <w:rPr>
          <w:rFonts w:hint="eastAsia" w:ascii="黑体" w:hAnsi="黑体" w:eastAsia="黑体" w:cs="黑体"/>
          <w:b/>
          <w:bCs w:val="0"/>
          <w:sz w:val="32"/>
          <w:szCs w:val="32"/>
          <w:lang w:val="en-US" w:eastAsia="zh-CN"/>
        </w:rPr>
        <w:t>采购人：句容市人民医院</w:t>
      </w:r>
    </w:p>
    <w:p w14:paraId="6F01FD46">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1173A452">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447338DA">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716752A6">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3D0018F9">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（四）设备运行需要配套使用有相应耗材或试剂，必须提供镇江市医用耗材或试剂的中标证明材料（或镇江市药管办的备案审批手续）。</w:t>
      </w:r>
    </w:p>
    <w:p w14:paraId="487677AF">
      <w:pPr>
        <w:spacing w:line="360" w:lineRule="auto"/>
        <w:ind w:firstLine="560" w:firstLineChars="200"/>
        <w:rPr>
          <w:rFonts w:hint="eastAsia" w:ascii="仿宋_GB2312" w:eastAsia="仿宋_GB2312"/>
          <w:spacing w:val="20"/>
          <w:sz w:val="24"/>
        </w:rPr>
      </w:pPr>
      <w:r>
        <w:rPr>
          <w:rFonts w:hint="eastAsia" w:ascii="仿宋_GB2312" w:eastAsia="仿宋_GB2312"/>
          <w:spacing w:val="20"/>
          <w:sz w:val="24"/>
        </w:rPr>
        <w:t>（五）提供的原厂或总代理授权书中须特别注明设备保修时间。</w:t>
      </w:r>
    </w:p>
    <w:p w14:paraId="4922750D">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lang w:eastAsia="zh-CN"/>
        </w:rPr>
        <w:t>（</w:t>
      </w:r>
      <w:r>
        <w:rPr>
          <w:rFonts w:hint="eastAsia" w:ascii="仿宋_GB2312" w:eastAsia="仿宋_GB2312"/>
          <w:spacing w:val="20"/>
          <w:sz w:val="24"/>
          <w:lang w:val="en-US" w:eastAsia="zh-CN"/>
        </w:rPr>
        <w:t>六</w:t>
      </w:r>
      <w:r>
        <w:rPr>
          <w:rFonts w:hint="eastAsia" w:ascii="仿宋_GB2312" w:eastAsia="仿宋_GB2312"/>
          <w:spacing w:val="20"/>
          <w:sz w:val="24"/>
          <w:lang w:eastAsia="zh-CN"/>
        </w:rPr>
        <w:t>）</w:t>
      </w:r>
      <w:r>
        <w:rPr>
          <w:rFonts w:hint="eastAsia" w:ascii="仿宋_GB2312" w:eastAsia="仿宋_GB2312"/>
          <w:spacing w:val="20"/>
          <w:sz w:val="24"/>
          <w:lang w:val="en-US" w:eastAsia="zh-CN"/>
        </w:rPr>
        <w:t>提供的设备生产日期必须在安装日期前一年内</w:t>
      </w:r>
    </w:p>
    <w:p w14:paraId="6380D39E">
      <w:pPr>
        <w:keepNext w:val="0"/>
        <w:keepLines w:val="0"/>
        <w:pageBreakBefore w:val="0"/>
        <w:kinsoku/>
        <w:wordWrap/>
        <w:overflowPunct/>
        <w:topLinePunct w:val="0"/>
        <w:autoSpaceDE/>
        <w:autoSpaceDN/>
        <w:bidi w:val="0"/>
        <w:adjustRightInd/>
        <w:snapToGrid/>
        <w:spacing w:line="360" w:lineRule="auto"/>
        <w:ind w:left="840" w:hanging="840" w:hangingChars="35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、基本配置与特别要求：</w:t>
      </w:r>
      <w:r>
        <w:rPr>
          <w:rFonts w:hint="eastAsia" w:ascii="仿宋_GB2312" w:hAnsi="仿宋_GB2312" w:eastAsia="仿宋_GB2312" w:cs="仿宋_GB2312"/>
          <w:kern w:val="0"/>
          <w:sz w:val="24"/>
          <w:szCs w:val="24"/>
        </w:rPr>
        <w:t>　　　　　　　　　　　　　　</w:t>
      </w:r>
    </w:p>
    <w:p w14:paraId="324D8D53">
      <w:pPr>
        <w:keepNext w:val="0"/>
        <w:keepLines w:val="0"/>
        <w:pageBreakBefore w:val="0"/>
        <w:widowControl/>
        <w:shd w:val="clear" w:color="auto" w:fill="FFFFFF"/>
        <w:tabs>
          <w:tab w:val="left" w:pos="5160"/>
        </w:tabs>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（一）</w:t>
      </w:r>
      <w:r>
        <w:rPr>
          <w:rFonts w:hint="eastAsia" w:ascii="仿宋_GB2312" w:hAnsi="仿宋_GB2312" w:eastAsia="仿宋_GB2312" w:cs="仿宋_GB2312"/>
          <w:kern w:val="0"/>
          <w:sz w:val="24"/>
          <w:szCs w:val="24"/>
          <w:lang w:eastAsia="zh-CN"/>
        </w:rPr>
        <w:t>进口设备标准配置以及随机赠送的所有耗材</w:t>
      </w:r>
      <w:r>
        <w:rPr>
          <w:rFonts w:hint="eastAsia" w:ascii="仿宋_GB2312" w:hAnsi="仿宋_GB2312" w:eastAsia="仿宋_GB2312" w:cs="仿宋_GB2312"/>
          <w:kern w:val="0"/>
          <w:sz w:val="24"/>
          <w:szCs w:val="24"/>
        </w:rPr>
        <w:t>。</w:t>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ab/>
      </w:r>
    </w:p>
    <w:p w14:paraId="5ECFB19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（二）操作说明书(进口设备应同时具备英文操作说明书一本、中文操作说明书两本)、维修手册及维修电路图、光盘;</w:t>
      </w:r>
    </w:p>
    <w:p w14:paraId="701104F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设备报价含设备到达其安装现场,并按国家规定能投入正常使用所产生的一切费用,</w:t>
      </w:r>
      <w:r>
        <w:rPr>
          <w:rFonts w:hint="eastAsia" w:ascii="仿宋_GB2312" w:hAnsi="仿宋_GB2312" w:eastAsia="仿宋_GB2312" w:cs="仿宋_GB2312"/>
          <w:b/>
          <w:bCs/>
          <w:spacing w:val="20"/>
          <w:sz w:val="24"/>
          <w:szCs w:val="24"/>
          <w:u w:val="single"/>
        </w:rPr>
        <w:t>提供近期内销售同类产品的真实有效合同</w:t>
      </w:r>
      <w:r>
        <w:rPr>
          <w:rFonts w:hint="eastAsia" w:ascii="仿宋_GB2312" w:hAnsi="仿宋_GB2312" w:eastAsia="仿宋_GB2312" w:cs="仿宋_GB2312"/>
          <w:spacing w:val="20"/>
          <w:sz w:val="24"/>
          <w:szCs w:val="24"/>
        </w:rPr>
        <w:t>。</w:t>
      </w:r>
    </w:p>
    <w:p w14:paraId="39EFE9F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三、主要技术参数与性能指标：</w:t>
      </w:r>
    </w:p>
    <w:p w14:paraId="5422100A">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光照有效面积:40cmx30cm</w:t>
      </w:r>
    </w:p>
    <w:p w14:paraId="5A05D491">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蓝光输出强度调节范围:0~100%</w:t>
      </w:r>
    </w:p>
    <w:p w14:paraId="633A4A5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3、有效表面内的胆红素总辐照度最大值:5.0mW/c㎡</w:t>
      </w:r>
    </w:p>
    <w:p w14:paraId="56E567EF">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4、有效表面内的总辐照度:&gt;4.5mW/c㎡</w:t>
      </w:r>
    </w:p>
    <w:p w14:paraId="564D159D">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5、胆红素总辐照度平均值:&gt;3.0mW/c㎡</w:t>
      </w:r>
    </w:p>
    <w:p w14:paraId="09A29BE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6、有效表面内的胆红素总辐照度均匀性:&gt;0.4</w:t>
      </w:r>
    </w:p>
    <w:p w14:paraId="0FECF9D4">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7、工作噪声:&lt;</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dB(A)</w:t>
      </w:r>
    </w:p>
    <w:p w14:paraId="74750073">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8、辐照灯箱具有平移功能，辐照角度0~60°倾斜可调</w:t>
      </w:r>
    </w:p>
    <w:p w14:paraId="153A820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9、光源为LED,使用期限&gt;50000小时</w:t>
      </w:r>
    </w:p>
    <w:p w14:paraId="231D904C">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10、工作总计时显示范围:0~99999.9小时</w:t>
      </w:r>
    </w:p>
    <w:p w14:paraId="7B6D62B7">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11、4.3英寸彩色液晶触摸屏，分辨率:480*272</w:t>
      </w:r>
    </w:p>
    <w:p w14:paraId="6E9B246D">
      <w:pPr>
        <w:spacing w:line="360" w:lineRule="auto"/>
        <w:ind w:left="480" w:hanging="643" w:hangingChars="200"/>
        <w:rPr>
          <w:rFonts w:hint="eastAsia" w:ascii="黑体" w:hAnsi="黑体" w:eastAsia="黑体" w:cs="黑体"/>
          <w:b/>
          <w:sz w:val="32"/>
          <w:szCs w:val="32"/>
        </w:rPr>
      </w:pPr>
    </w:p>
    <w:p w14:paraId="29A24BD6">
      <w:pPr>
        <w:spacing w:line="360" w:lineRule="auto"/>
        <w:ind w:left="480" w:hanging="643" w:hangingChars="200"/>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四</w:t>
      </w:r>
      <w:r>
        <w:rPr>
          <w:rFonts w:hint="eastAsia" w:ascii="黑体" w:hAnsi="黑体" w:eastAsia="黑体" w:cs="黑体"/>
          <w:b/>
          <w:sz w:val="32"/>
          <w:szCs w:val="32"/>
        </w:rPr>
        <w:t>部分：</w:t>
      </w:r>
      <w:r>
        <w:rPr>
          <w:rFonts w:hint="eastAsia" w:ascii="黑体" w:hAnsi="黑体" w:eastAsia="黑体" w:cs="黑体"/>
          <w:b/>
          <w:bCs w:val="0"/>
          <w:sz w:val="32"/>
          <w:szCs w:val="32"/>
        </w:rPr>
        <w:t>血压脉搏测量装置</w:t>
      </w:r>
      <w:r>
        <w:rPr>
          <w:rFonts w:hint="eastAsia" w:ascii="黑体" w:hAnsi="黑体" w:eastAsia="黑体" w:cs="黑体"/>
          <w:b/>
          <w:bCs w:val="0"/>
          <w:sz w:val="32"/>
          <w:szCs w:val="32"/>
          <w:lang w:eastAsia="zh-CN"/>
        </w:rPr>
        <w:t>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预算11.00万元</w:t>
      </w:r>
      <w:r>
        <w:rPr>
          <w:rFonts w:hint="eastAsia" w:ascii="黑体" w:hAnsi="黑体" w:eastAsia="黑体" w:cs="黑体"/>
          <w:b/>
          <w:bCs/>
          <w:sz w:val="32"/>
          <w:lang w:eastAsia="zh-CN"/>
        </w:rPr>
        <w:t>）</w:t>
      </w:r>
    </w:p>
    <w:p w14:paraId="1454B830">
      <w:pPr>
        <w:widowControl/>
        <w:ind w:firstLine="0" w:firstLineChars="0"/>
        <w:jc w:val="left"/>
        <w:rPr>
          <w:rFonts w:hint="eastAsia" w:ascii="仿宋" w:hAnsi="仿宋" w:eastAsia="仿宋" w:cs="仿宋"/>
          <w:b/>
          <w:szCs w:val="21"/>
          <w:lang w:val="en-US" w:eastAsia="zh-CN"/>
        </w:rPr>
      </w:pPr>
      <w:r>
        <w:rPr>
          <w:rFonts w:hint="eastAsia" w:ascii="黑体" w:hAnsi="黑体" w:eastAsia="黑体" w:cs="黑体"/>
          <w:b/>
          <w:bCs w:val="0"/>
          <w:sz w:val="32"/>
          <w:szCs w:val="32"/>
          <w:lang w:val="en-US" w:eastAsia="zh-CN"/>
        </w:rPr>
        <w:t>采购人：句容市郭庄中心卫生院</w:t>
      </w:r>
    </w:p>
    <w:p w14:paraId="60C5EC28">
      <w:pPr>
        <w:widowControl/>
        <w:numPr>
          <w:ilvl w:val="0"/>
          <w:numId w:val="0"/>
        </w:numPr>
        <w:jc w:val="left"/>
        <w:rPr>
          <w:rFonts w:hint="eastAsia" w:ascii="宋体" w:hAnsi="宋体" w:cs="宋体"/>
          <w:b/>
          <w:sz w:val="28"/>
          <w:szCs w:val="28"/>
          <w:lang w:val="en-US" w:eastAsia="zh-CN"/>
        </w:rPr>
      </w:pPr>
      <w:r>
        <w:rPr>
          <w:rFonts w:hint="eastAsia" w:ascii="宋体" w:hAnsi="宋体" w:cs="宋体"/>
          <w:b/>
          <w:sz w:val="28"/>
          <w:szCs w:val="28"/>
          <w:lang w:val="en-US" w:eastAsia="zh-CN"/>
        </w:rPr>
        <w:t>技术参数及要求：</w:t>
      </w:r>
    </w:p>
    <w:p w14:paraId="072CF66E">
      <w:pPr>
        <w:spacing w:line="360" w:lineRule="auto"/>
        <w:ind w:left="480" w:hanging="480" w:hangingChars="200"/>
        <w:rPr>
          <w:rFonts w:ascii="宋体" w:hAnsi="宋体"/>
          <w:sz w:val="24"/>
        </w:rPr>
      </w:pPr>
      <w:r>
        <w:rPr>
          <w:rFonts w:hint="eastAsia" w:ascii="宋体" w:hAnsi="宋体"/>
          <w:sz w:val="24"/>
        </w:rPr>
        <w:t>一、</w:t>
      </w:r>
      <w:r>
        <w:rPr>
          <w:rFonts w:hint="eastAsia" w:ascii="宋体" w:hAnsi="宋体"/>
          <w:b/>
          <w:bCs/>
          <w:sz w:val="24"/>
        </w:rPr>
        <w:t xml:space="preserve"> 适用范围：</w:t>
      </w:r>
      <w:r>
        <w:rPr>
          <w:rFonts w:hint="eastAsia" w:ascii="宋体" w:hAnsi="宋体"/>
          <w:sz w:val="24"/>
        </w:rPr>
        <w:t>用于对患者外周动脉血管病变无创检测，临床用于分析心肌功　 　 　 　 能，动脉弹性及下肢血管的血流障碍程度。分析时间：不超过五分钟、</w:t>
      </w:r>
      <w:r>
        <w:rPr>
          <w:rFonts w:ascii="宋体" w:hAnsi="宋体"/>
          <w:sz w:val="24"/>
        </w:rPr>
        <w:t>18</w:t>
      </w:r>
      <w:r>
        <w:rPr>
          <w:rFonts w:hint="eastAsia" w:ascii="宋体" w:hAnsi="宋体"/>
          <w:sz w:val="24"/>
        </w:rPr>
        <w:t>个参数全面分析动脉血管功能。</w:t>
      </w:r>
    </w:p>
    <w:p w14:paraId="0ACD1303">
      <w:pPr>
        <w:spacing w:line="360" w:lineRule="auto"/>
        <w:rPr>
          <w:rFonts w:ascii="宋体" w:hAnsi="宋体"/>
          <w:b/>
          <w:bCs/>
          <w:sz w:val="24"/>
        </w:rPr>
      </w:pPr>
      <w:r>
        <w:rPr>
          <w:rFonts w:hint="eastAsia" w:ascii="宋体" w:hAnsi="宋体"/>
          <w:b/>
          <w:bCs/>
          <w:sz w:val="24"/>
        </w:rPr>
        <w:t>二、技术（技术参数和功能）要求及配置：</w:t>
      </w:r>
    </w:p>
    <w:p w14:paraId="65405E06">
      <w:pPr>
        <w:spacing w:line="360" w:lineRule="auto"/>
        <w:rPr>
          <w:rFonts w:ascii="宋体" w:hAnsi="宋体"/>
          <w:b w:val="0"/>
          <w:bCs/>
          <w:sz w:val="24"/>
        </w:rPr>
      </w:pPr>
      <w:r>
        <w:rPr>
          <w:rFonts w:hint="eastAsia" w:ascii="宋体" w:hAnsi="宋体" w:cs="宋体"/>
          <w:b w:val="0"/>
          <w:bCs/>
          <w:sz w:val="24"/>
        </w:rPr>
        <w:t>2.1</w:t>
      </w:r>
      <w:r>
        <w:rPr>
          <w:rFonts w:hint="eastAsia" w:ascii="宋体" w:hAnsi="宋体"/>
          <w:b w:val="0"/>
          <w:bCs/>
          <w:sz w:val="24"/>
        </w:rPr>
        <w:t>技术参数</w:t>
      </w:r>
    </w:p>
    <w:p w14:paraId="4E1B1B9B">
      <w:pPr>
        <w:spacing w:line="360" w:lineRule="auto"/>
        <w:ind w:left="600" w:hanging="600" w:hangingChars="250"/>
        <w:rPr>
          <w:rFonts w:ascii="宋体" w:hAnsi="宋体" w:cs="宋体"/>
          <w:b w:val="0"/>
          <w:bCs/>
          <w:sz w:val="24"/>
        </w:rPr>
      </w:pPr>
      <w:r>
        <w:rPr>
          <w:rFonts w:hint="eastAsia" w:ascii="宋体" w:hAnsi="宋体" w:eastAsia="宋体" w:cs="宋体"/>
          <w:b w:val="0"/>
          <w:bCs w:val="0"/>
          <w:sz w:val="24"/>
          <w:lang w:val="en-US" w:eastAsia="zh-CN"/>
        </w:rPr>
        <w:t>▲</w:t>
      </w:r>
      <w:r>
        <w:rPr>
          <w:rFonts w:hint="eastAsia" w:ascii="宋体" w:hAnsi="宋体" w:cs="宋体"/>
          <w:b w:val="0"/>
          <w:bCs/>
          <w:sz w:val="24"/>
        </w:rPr>
        <w:t>2.1.1可检测ABI(踝臂指数)：</w:t>
      </w:r>
      <w:r>
        <w:rPr>
          <w:rFonts w:hint="eastAsia" w:ascii="宋体" w:hAnsi="宋体"/>
          <w:b w:val="0"/>
          <w:bCs/>
          <w:sz w:val="24"/>
        </w:rPr>
        <w:t>反映上、下肢血管堵塞情况。</w:t>
      </w:r>
      <w:r>
        <w:rPr>
          <w:rFonts w:hint="eastAsia" w:ascii="宋体" w:hAnsi="宋体" w:cs="宋体"/>
          <w:b w:val="0"/>
          <w:bCs/>
          <w:sz w:val="24"/>
        </w:rPr>
        <w:t>可检测</w:t>
      </w:r>
      <w:r>
        <w:rPr>
          <w:rFonts w:hint="eastAsia" w:ascii="宋体" w:hAnsi="宋体"/>
          <w:b w:val="0"/>
          <w:bCs/>
          <w:sz w:val="24"/>
        </w:rPr>
        <w:t>TBI（趾臂指数，用于糖尿病坏疽检测）。专用心脏病分析STI图表。</w:t>
      </w:r>
      <w:r>
        <w:rPr>
          <w:rFonts w:hint="eastAsia" w:ascii="宋体" w:hAnsi="宋体" w:cs="宋体"/>
          <w:b w:val="0"/>
          <w:bCs/>
          <w:sz w:val="24"/>
        </w:rPr>
        <w:t>可检测BAPWV（肱踝脉搏波传导速度），可选配四肢PWV压力传感器探头，可定点测量四肢PWV。</w:t>
      </w:r>
      <w:r>
        <w:rPr>
          <w:rFonts w:hint="eastAsia" w:ascii="宋体" w:hAnsi="宋体"/>
          <w:b w:val="0"/>
          <w:bCs/>
          <w:sz w:val="24"/>
        </w:rPr>
        <w:t>测量颈动脉、股动脉、桡动脉及趾动脉间的</w:t>
      </w:r>
      <w:r>
        <w:rPr>
          <w:rFonts w:ascii="宋体" w:hAnsi="宋体"/>
          <w:b w:val="0"/>
          <w:bCs/>
          <w:sz w:val="24"/>
        </w:rPr>
        <w:t>PWV</w:t>
      </w:r>
      <w:r>
        <w:rPr>
          <w:rFonts w:hint="eastAsia" w:ascii="宋体" w:hAnsi="宋体"/>
          <w:b w:val="0"/>
          <w:bCs/>
          <w:sz w:val="24"/>
        </w:rPr>
        <w:t>，定量分析大动脉弹性</w:t>
      </w:r>
      <w:r>
        <w:rPr>
          <w:rFonts w:hint="eastAsia" w:ascii="宋体" w:hAnsi="宋体"/>
          <w:b w:val="0"/>
          <w:bCs/>
          <w:sz w:val="24"/>
          <w:lang w:eastAsia="zh-CN"/>
        </w:rPr>
        <w:t>。</w:t>
      </w:r>
    </w:p>
    <w:p w14:paraId="59D62933">
      <w:pPr>
        <w:spacing w:line="360" w:lineRule="auto"/>
        <w:rPr>
          <w:rFonts w:ascii="宋体" w:hAnsi="宋体"/>
          <w:sz w:val="24"/>
        </w:rPr>
      </w:pPr>
      <w:r>
        <w:rPr>
          <w:rFonts w:hint="eastAsia" w:ascii="宋体" w:hAnsi="宋体" w:cs="宋体"/>
          <w:sz w:val="24"/>
        </w:rPr>
        <w:t>2.1.2</w:t>
      </w:r>
      <w:r>
        <w:rPr>
          <w:rFonts w:hint="eastAsia" w:ascii="宋体" w:hAnsi="宋体"/>
          <w:sz w:val="24"/>
        </w:rPr>
        <w:t>其他检测参数：</w:t>
      </w:r>
    </w:p>
    <w:p w14:paraId="4AE8D9D3">
      <w:pPr>
        <w:spacing w:line="360" w:lineRule="auto"/>
        <w:ind w:firstLine="480" w:firstLineChars="200"/>
        <w:rPr>
          <w:rFonts w:ascii="宋体" w:hAnsi="宋体"/>
          <w:sz w:val="24"/>
        </w:rPr>
      </w:pPr>
      <w:r>
        <w:rPr>
          <w:rFonts w:hint="eastAsia" w:ascii="宋体" w:hAnsi="宋体"/>
          <w:sz w:val="24"/>
        </w:rPr>
        <w:t>haPWV（心踝脉搏波传导速度）   ET/PEP（射血指数）</w:t>
      </w:r>
    </w:p>
    <w:p w14:paraId="5381BF9F">
      <w:pPr>
        <w:spacing w:line="360" w:lineRule="auto"/>
        <w:ind w:firstLine="480" w:firstLineChars="200"/>
        <w:rPr>
          <w:rFonts w:ascii="宋体" w:hAnsi="宋体"/>
          <w:sz w:val="24"/>
        </w:rPr>
      </w:pPr>
      <w:r>
        <w:rPr>
          <w:rFonts w:hint="eastAsia" w:ascii="宋体" w:hAnsi="宋体"/>
          <w:sz w:val="24"/>
        </w:rPr>
        <w:t>hbPWV（心臂脉搏波传导速度）   ECG（心电波形）</w:t>
      </w:r>
    </w:p>
    <w:p w14:paraId="33414BB4">
      <w:pPr>
        <w:spacing w:line="360" w:lineRule="auto"/>
        <w:ind w:firstLine="480" w:firstLineChars="200"/>
        <w:rPr>
          <w:rFonts w:ascii="宋体" w:hAnsi="宋体"/>
          <w:sz w:val="24"/>
        </w:rPr>
      </w:pPr>
      <w:r>
        <w:rPr>
          <w:rFonts w:hint="eastAsia" w:ascii="宋体" w:hAnsi="宋体"/>
          <w:sz w:val="24"/>
        </w:rPr>
        <w:t>STI（收缩时间间隔）            UT（脉波上行时间）</w:t>
      </w:r>
    </w:p>
    <w:p w14:paraId="3FCB2C0F">
      <w:pPr>
        <w:spacing w:line="360" w:lineRule="auto"/>
        <w:ind w:firstLine="480" w:firstLineChars="200"/>
        <w:rPr>
          <w:rFonts w:ascii="宋体" w:hAnsi="宋体"/>
          <w:sz w:val="24"/>
        </w:rPr>
      </w:pPr>
      <w:r>
        <w:rPr>
          <w:rFonts w:hint="eastAsia" w:ascii="宋体" w:hAnsi="宋体"/>
          <w:sz w:val="24"/>
        </w:rPr>
        <w:t>HR（心率）                     MAP％（平均动脉压力）</w:t>
      </w:r>
    </w:p>
    <w:p w14:paraId="42DBFF68">
      <w:pPr>
        <w:spacing w:line="360" w:lineRule="auto"/>
        <w:ind w:firstLine="360" w:firstLineChars="150"/>
        <w:rPr>
          <w:rFonts w:ascii="宋体" w:hAnsi="宋体"/>
          <w:sz w:val="24"/>
        </w:rPr>
      </w:pPr>
      <w:r>
        <w:rPr>
          <w:rFonts w:hint="eastAsia" w:ascii="宋体" w:hAnsi="宋体"/>
          <w:sz w:val="24"/>
        </w:rPr>
        <w:t xml:space="preserve">PEP（射血前期）                DIA（舒张压）（四肢） </w:t>
      </w:r>
    </w:p>
    <w:p w14:paraId="76A17291">
      <w:pPr>
        <w:spacing w:line="360" w:lineRule="auto"/>
        <w:ind w:firstLine="360" w:firstLineChars="150"/>
        <w:rPr>
          <w:rFonts w:ascii="宋体" w:hAnsi="宋体"/>
          <w:sz w:val="24"/>
        </w:rPr>
      </w:pPr>
      <w:r>
        <w:rPr>
          <w:rFonts w:hint="eastAsia" w:ascii="宋体" w:hAnsi="宋体"/>
          <w:sz w:val="24"/>
        </w:rPr>
        <w:t>PCG（心音波形）                SYS（收缩压）（四肢）</w:t>
      </w:r>
    </w:p>
    <w:p w14:paraId="583F2A3E">
      <w:pPr>
        <w:spacing w:line="360" w:lineRule="auto"/>
        <w:ind w:firstLine="360" w:firstLineChars="150"/>
        <w:rPr>
          <w:rFonts w:ascii="宋体" w:hAnsi="宋体"/>
          <w:sz w:val="24"/>
        </w:rPr>
      </w:pPr>
      <w:r>
        <w:rPr>
          <w:rFonts w:hint="eastAsia" w:ascii="宋体" w:hAnsi="宋体"/>
          <w:sz w:val="24"/>
        </w:rPr>
        <w:t>PVR（脉搏体积记录）            PP（脉压差）（四肢）</w:t>
      </w:r>
    </w:p>
    <w:p w14:paraId="1EF94421">
      <w:pPr>
        <w:spacing w:line="360" w:lineRule="auto"/>
        <w:ind w:firstLine="360" w:firstLineChars="150"/>
        <w:rPr>
          <w:rFonts w:ascii="宋体" w:hAnsi="宋体"/>
          <w:bCs/>
          <w:sz w:val="24"/>
        </w:rPr>
      </w:pPr>
      <w:r>
        <w:rPr>
          <w:rFonts w:hint="eastAsia" w:ascii="宋体" w:hAnsi="宋体"/>
          <w:sz w:val="24"/>
        </w:rPr>
        <w:t xml:space="preserve">ET（射血时间）                 </w:t>
      </w:r>
      <w:r>
        <w:rPr>
          <w:rFonts w:hint="eastAsia" w:ascii="宋体" w:hAnsi="宋体"/>
          <w:bCs/>
          <w:sz w:val="24"/>
        </w:rPr>
        <w:t>AI(反射波增强指数)</w:t>
      </w:r>
    </w:p>
    <w:p w14:paraId="6ECCE299">
      <w:pPr>
        <w:spacing w:line="360" w:lineRule="auto"/>
        <w:ind w:firstLine="360" w:firstLineChars="150"/>
        <w:rPr>
          <w:rFonts w:ascii="宋体" w:hAnsi="宋体"/>
          <w:b/>
          <w:sz w:val="24"/>
        </w:rPr>
      </w:pPr>
      <w:r>
        <w:rPr>
          <w:rFonts w:hint="eastAsia" w:ascii="宋体" w:hAnsi="宋体"/>
          <w:sz w:val="24"/>
        </w:rPr>
        <w:t xml:space="preserve">BMI（体格指数）                </w:t>
      </w:r>
    </w:p>
    <w:p w14:paraId="3C6ABA29">
      <w:pPr>
        <w:spacing w:line="360" w:lineRule="auto"/>
        <w:rPr>
          <w:rFonts w:ascii="宋体" w:hAnsi="宋体"/>
          <w:b w:val="0"/>
          <w:bCs w:val="0"/>
          <w:sz w:val="24"/>
        </w:rPr>
      </w:pPr>
      <w:r>
        <w:rPr>
          <w:rFonts w:hint="eastAsia" w:ascii="宋体" w:hAnsi="宋体" w:cs="宋体"/>
          <w:b w:val="0"/>
          <w:bCs w:val="0"/>
          <w:sz w:val="24"/>
        </w:rPr>
        <w:t>2.1.3PVR测定方法：空气容积脉搏法</w:t>
      </w:r>
    </w:p>
    <w:p w14:paraId="0FE1DC79">
      <w:pPr>
        <w:spacing w:line="360" w:lineRule="auto"/>
        <w:rPr>
          <w:rFonts w:ascii="宋体" w:hAnsi="宋体"/>
          <w:b w:val="0"/>
          <w:bCs w:val="0"/>
          <w:sz w:val="24"/>
        </w:rPr>
      </w:pPr>
      <w:r>
        <w:rPr>
          <w:rFonts w:hint="eastAsia" w:ascii="宋体" w:hAnsi="宋体" w:cs="宋体"/>
          <w:b w:val="0"/>
          <w:bCs w:val="0"/>
          <w:sz w:val="24"/>
        </w:rPr>
        <w:t>2.1.</w:t>
      </w:r>
      <w:r>
        <w:rPr>
          <w:rFonts w:hint="eastAsia" w:ascii="宋体" w:hAnsi="宋体" w:cs="宋体"/>
          <w:b w:val="0"/>
          <w:bCs w:val="0"/>
          <w:sz w:val="24"/>
          <w:lang w:val="en-US" w:eastAsia="zh-CN"/>
        </w:rPr>
        <w:t>4</w:t>
      </w:r>
      <w:r>
        <w:rPr>
          <w:rFonts w:hint="eastAsia" w:ascii="宋体" w:hAnsi="宋体"/>
          <w:b w:val="0"/>
          <w:bCs w:val="0"/>
          <w:sz w:val="24"/>
        </w:rPr>
        <w:t>动脉无创测定原理：示波法</w:t>
      </w:r>
    </w:p>
    <w:p w14:paraId="77541B04">
      <w:pPr>
        <w:spacing w:line="360" w:lineRule="auto"/>
        <w:rPr>
          <w:rFonts w:ascii="宋体" w:hAnsi="宋体"/>
          <w:b/>
          <w:sz w:val="24"/>
        </w:rPr>
      </w:pPr>
      <w:r>
        <w:rPr>
          <w:rFonts w:hint="eastAsia" w:ascii="宋体" w:hAnsi="宋体" w:cs="宋体"/>
          <w:sz w:val="24"/>
        </w:rPr>
        <w:t>2.1.</w:t>
      </w:r>
      <w:r>
        <w:rPr>
          <w:rFonts w:hint="eastAsia" w:ascii="宋体" w:hAnsi="宋体" w:cs="宋体"/>
          <w:sz w:val="24"/>
          <w:lang w:val="en-US" w:eastAsia="zh-CN"/>
        </w:rPr>
        <w:t>5</w:t>
      </w:r>
      <w:r>
        <w:rPr>
          <w:rFonts w:hint="eastAsia" w:ascii="宋体" w:hAnsi="宋体" w:cs="宋体"/>
          <w:sz w:val="24"/>
        </w:rPr>
        <w:t>加压方式：气泵自动加压方式</w:t>
      </w:r>
    </w:p>
    <w:p w14:paraId="72CF7466">
      <w:pPr>
        <w:spacing w:line="360" w:lineRule="auto"/>
        <w:rPr>
          <w:rFonts w:ascii="宋体" w:hAnsi="宋体"/>
          <w:b/>
          <w:sz w:val="24"/>
        </w:rPr>
      </w:pPr>
      <w:r>
        <w:rPr>
          <w:rFonts w:hint="eastAsia" w:ascii="宋体" w:hAnsi="宋体" w:cs="宋体"/>
          <w:sz w:val="24"/>
        </w:rPr>
        <w:t>2.1.</w:t>
      </w:r>
      <w:r>
        <w:rPr>
          <w:rFonts w:hint="eastAsia" w:ascii="宋体" w:hAnsi="宋体" w:cs="宋体"/>
          <w:sz w:val="24"/>
          <w:lang w:val="en-US" w:eastAsia="zh-CN"/>
        </w:rPr>
        <w:t>6</w:t>
      </w:r>
      <w:r>
        <w:rPr>
          <w:rFonts w:hint="eastAsia" w:ascii="宋体" w:hAnsi="宋体"/>
          <w:bCs/>
          <w:sz w:val="24"/>
        </w:rPr>
        <w:t>排气方法：具有断电后，自动放气功能</w:t>
      </w:r>
    </w:p>
    <w:p w14:paraId="192DB3B0">
      <w:pPr>
        <w:spacing w:line="360" w:lineRule="auto"/>
        <w:ind w:left="600" w:hanging="600" w:hangingChars="250"/>
        <w:rPr>
          <w:rFonts w:ascii="宋体" w:hAnsi="宋体" w:cs="宋体"/>
          <w:b w:val="0"/>
          <w:bCs w:val="0"/>
          <w:sz w:val="24"/>
        </w:rPr>
      </w:pPr>
      <w:r>
        <w:rPr>
          <w:rFonts w:hint="eastAsia" w:ascii="宋体" w:hAnsi="宋体" w:eastAsia="宋体" w:cs="宋体"/>
          <w:b w:val="0"/>
          <w:bCs w:val="0"/>
          <w:sz w:val="24"/>
          <w:lang w:val="en-US" w:eastAsia="zh-CN"/>
        </w:rPr>
        <w:t>▲</w:t>
      </w:r>
      <w:r>
        <w:rPr>
          <w:rFonts w:hint="eastAsia" w:ascii="宋体" w:hAnsi="宋体" w:cs="宋体"/>
          <w:b w:val="0"/>
          <w:bCs w:val="0"/>
          <w:sz w:val="24"/>
        </w:rPr>
        <w:t>2.1.</w:t>
      </w:r>
      <w:r>
        <w:rPr>
          <w:rFonts w:hint="eastAsia" w:ascii="宋体" w:hAnsi="宋体" w:cs="宋体"/>
          <w:b w:val="0"/>
          <w:bCs w:val="0"/>
          <w:sz w:val="24"/>
          <w:lang w:val="en-US" w:eastAsia="zh-CN"/>
        </w:rPr>
        <w:t>7</w:t>
      </w:r>
      <w:r>
        <w:rPr>
          <w:rFonts w:hint="eastAsia" w:ascii="宋体" w:hAnsi="宋体" w:cs="宋体"/>
          <w:b w:val="0"/>
          <w:bCs w:val="0"/>
          <w:sz w:val="24"/>
        </w:rPr>
        <w:t>四肢血压在同一心动周期内同步测量，</w:t>
      </w:r>
      <w:r>
        <w:rPr>
          <w:rFonts w:hint="eastAsia" w:ascii="宋体" w:hAnsi="宋体"/>
          <w:b w:val="0"/>
          <w:bCs w:val="0"/>
          <w:sz w:val="24"/>
        </w:rPr>
        <w:t>支持四肢同步测量和四肢异步测量两种模式，具备两次冲压模式、更准确，首次冲压过保护功能，增益选择功能。</w:t>
      </w:r>
    </w:p>
    <w:p w14:paraId="7B7E2AF0">
      <w:pPr>
        <w:spacing w:line="360" w:lineRule="auto"/>
        <w:ind w:firstLine="600" w:firstLineChars="250"/>
        <w:rPr>
          <w:rFonts w:ascii="宋体" w:hAnsi="宋体"/>
          <w:b/>
          <w:sz w:val="24"/>
        </w:rPr>
      </w:pPr>
      <w:r>
        <w:rPr>
          <w:rFonts w:hint="eastAsia" w:ascii="宋体" w:hAnsi="宋体" w:cs="宋体"/>
          <w:sz w:val="24"/>
        </w:rPr>
        <w:t>压力测量范围：0～300mmHg</w:t>
      </w:r>
      <w:r>
        <w:rPr>
          <w:rFonts w:hint="eastAsia" w:ascii="宋体" w:hAnsi="宋体" w:cs="宋体"/>
          <w:sz w:val="24"/>
          <w:lang w:eastAsia="zh-CN"/>
        </w:rPr>
        <w:t>；</w:t>
      </w:r>
      <w:r>
        <w:rPr>
          <w:rFonts w:hint="eastAsia" w:ascii="宋体" w:hAnsi="宋体" w:cs="宋体"/>
          <w:sz w:val="24"/>
        </w:rPr>
        <w:t>精度：</w:t>
      </w:r>
      <w:r>
        <w:rPr>
          <w:rFonts w:hint="eastAsia" w:ascii="宋体" w:hAnsi="宋体"/>
          <w:sz w:val="24"/>
        </w:rPr>
        <w:t>±4</w:t>
      </w:r>
      <w:r>
        <w:rPr>
          <w:rFonts w:hint="eastAsia" w:ascii="宋体" w:hAnsi="宋体" w:cs="宋体"/>
          <w:sz w:val="24"/>
        </w:rPr>
        <w:t xml:space="preserve"> mmHg</w:t>
      </w:r>
    </w:p>
    <w:p w14:paraId="4A3666AC">
      <w:pPr>
        <w:spacing w:line="360" w:lineRule="auto"/>
        <w:rPr>
          <w:rFonts w:ascii="宋体" w:hAnsi="宋体"/>
          <w:b/>
          <w:color w:val="000000" w:themeColor="text1"/>
          <w:sz w:val="24"/>
        </w:rPr>
      </w:pPr>
      <w:r>
        <w:rPr>
          <w:rFonts w:hint="eastAsia" w:ascii="宋体" w:hAnsi="宋体" w:cs="宋体"/>
          <w:color w:val="000000" w:themeColor="text1"/>
          <w:sz w:val="24"/>
        </w:rPr>
        <w:t>2.1.9</w:t>
      </w:r>
      <w:r>
        <w:rPr>
          <w:rFonts w:hint="eastAsia" w:ascii="宋体" w:hAnsi="宋体" w:cs="宋体"/>
          <w:bCs/>
          <w:color w:val="000000" w:themeColor="text1"/>
          <w:kern w:val="0"/>
          <w:sz w:val="24"/>
        </w:rPr>
        <w:t>安全装置：可自行设定最高控制压力，</w:t>
      </w:r>
      <w:r>
        <w:rPr>
          <w:rFonts w:hint="eastAsia" w:ascii="宋体" w:hAnsi="宋体" w:cs="宋体"/>
          <w:bCs/>
          <w:color w:val="000000" w:themeColor="text1"/>
          <w:kern w:val="0"/>
          <w:sz w:val="24"/>
          <w:lang w:eastAsia="zh-CN"/>
        </w:rPr>
        <w:t>过压保护不大于</w:t>
      </w:r>
      <w:r>
        <w:rPr>
          <w:rFonts w:hint="eastAsia" w:ascii="宋体" w:hAnsi="宋体" w:cs="宋体"/>
          <w:bCs/>
          <w:color w:val="000000" w:themeColor="text1"/>
          <w:kern w:val="0"/>
          <w:sz w:val="24"/>
          <w:lang w:val="en-US" w:eastAsia="zh-CN"/>
        </w:rPr>
        <w:t>300</w:t>
      </w:r>
      <w:r>
        <w:rPr>
          <w:rFonts w:hint="eastAsia" w:ascii="宋体" w:hAnsi="宋体" w:cs="宋体"/>
          <w:bCs/>
          <w:color w:val="000000" w:themeColor="text1"/>
          <w:kern w:val="0"/>
          <w:sz w:val="24"/>
        </w:rPr>
        <w:t>mmHg</w:t>
      </w:r>
    </w:p>
    <w:p w14:paraId="71FBFE4D">
      <w:pPr>
        <w:spacing w:line="360" w:lineRule="auto"/>
        <w:rPr>
          <w:rFonts w:ascii="宋体" w:hAnsi="宋体"/>
          <w:b/>
          <w:sz w:val="24"/>
        </w:rPr>
      </w:pPr>
      <w:r>
        <w:rPr>
          <w:rFonts w:hint="eastAsia" w:ascii="宋体" w:hAnsi="宋体" w:cs="宋体"/>
          <w:sz w:val="24"/>
        </w:rPr>
        <w:t>2.1.10</w:t>
      </w:r>
      <w:r>
        <w:rPr>
          <w:rFonts w:hint="eastAsia" w:ascii="宋体" w:hAnsi="宋体"/>
          <w:sz w:val="24"/>
        </w:rPr>
        <w:t>心率：监测范围：30次/分～2</w:t>
      </w:r>
      <w:r>
        <w:rPr>
          <w:rFonts w:hint="eastAsia" w:ascii="宋体" w:hAnsi="宋体"/>
          <w:sz w:val="24"/>
          <w:lang w:val="en-US" w:eastAsia="zh-CN"/>
        </w:rPr>
        <w:t>00</w:t>
      </w:r>
      <w:r>
        <w:rPr>
          <w:rFonts w:hint="eastAsia" w:ascii="宋体" w:hAnsi="宋体"/>
          <w:sz w:val="24"/>
        </w:rPr>
        <w:t>次/分；±3次/分；</w:t>
      </w:r>
    </w:p>
    <w:p w14:paraId="2365826C">
      <w:pPr>
        <w:spacing w:line="360" w:lineRule="auto"/>
        <w:ind w:left="480" w:hanging="480" w:hangingChars="200"/>
        <w:rPr>
          <w:rFonts w:hint="eastAsia" w:ascii="宋体" w:hAnsi="宋体"/>
          <w:sz w:val="24"/>
          <w:lang w:eastAsia="zh-CN"/>
        </w:rPr>
      </w:pPr>
      <w:r>
        <w:rPr>
          <w:rFonts w:hint="eastAsia" w:ascii="宋体" w:hAnsi="宋体" w:cs="宋体"/>
          <w:sz w:val="24"/>
        </w:rPr>
        <w:t>2.1.11</w:t>
      </w:r>
      <w:r>
        <w:rPr>
          <w:rFonts w:hint="eastAsia" w:ascii="宋体" w:hAnsi="宋体"/>
          <w:sz w:val="24"/>
        </w:rPr>
        <w:t>心音：频率范围：43Hz～</w:t>
      </w:r>
      <w:r>
        <w:rPr>
          <w:rFonts w:hint="eastAsia" w:ascii="宋体" w:hAnsi="宋体"/>
          <w:sz w:val="24"/>
          <w:lang w:val="en-US" w:eastAsia="zh-CN"/>
        </w:rPr>
        <w:t>2</w:t>
      </w:r>
      <w:r>
        <w:rPr>
          <w:rFonts w:hint="eastAsia" w:ascii="宋体" w:hAnsi="宋体"/>
          <w:sz w:val="24"/>
        </w:rPr>
        <w:t>00Hz</w:t>
      </w:r>
      <w:r>
        <w:rPr>
          <w:rFonts w:hint="eastAsia" w:ascii="宋体" w:hAnsi="宋体"/>
          <w:sz w:val="24"/>
          <w:lang w:eastAsia="zh-CN"/>
        </w:rPr>
        <w:t>；心电信号：</w:t>
      </w:r>
      <w:r>
        <w:rPr>
          <w:rFonts w:hint="eastAsia" w:ascii="宋体" w:hAnsi="宋体"/>
          <w:sz w:val="24"/>
          <w:lang w:val="en-US" w:eastAsia="zh-CN"/>
        </w:rPr>
        <w:t>0.5</w:t>
      </w:r>
      <w:r>
        <w:rPr>
          <w:rFonts w:hint="eastAsia" w:ascii="宋体" w:hAnsi="宋体"/>
          <w:sz w:val="24"/>
        </w:rPr>
        <w:t>Hz～</w:t>
      </w:r>
      <w:r>
        <w:rPr>
          <w:rFonts w:hint="eastAsia" w:ascii="宋体" w:hAnsi="宋体"/>
          <w:sz w:val="24"/>
          <w:lang w:val="en-US" w:eastAsia="zh-CN"/>
        </w:rPr>
        <w:t>4</w:t>
      </w:r>
      <w:r>
        <w:rPr>
          <w:rFonts w:hint="eastAsia" w:ascii="宋体" w:hAnsi="宋体"/>
          <w:sz w:val="24"/>
        </w:rPr>
        <w:t>0Hz</w:t>
      </w:r>
      <w:r>
        <w:rPr>
          <w:rFonts w:hint="eastAsia" w:ascii="宋体" w:hAnsi="宋体"/>
          <w:sz w:val="24"/>
          <w:lang w:eastAsia="zh-CN"/>
        </w:rPr>
        <w:t>；</w:t>
      </w:r>
    </w:p>
    <w:p w14:paraId="736035BC">
      <w:pPr>
        <w:spacing w:line="360" w:lineRule="auto"/>
        <w:ind w:left="479" w:leftChars="228" w:firstLine="1200" w:firstLineChars="500"/>
        <w:rPr>
          <w:rFonts w:hint="eastAsia" w:ascii="宋体" w:hAnsi="宋体"/>
          <w:sz w:val="24"/>
        </w:rPr>
      </w:pPr>
      <w:r>
        <w:rPr>
          <w:rFonts w:hint="eastAsia" w:ascii="宋体" w:hAnsi="宋体"/>
          <w:sz w:val="24"/>
          <w:lang w:eastAsia="zh-CN"/>
        </w:rPr>
        <w:t>脉搏信号：</w:t>
      </w:r>
      <w:r>
        <w:rPr>
          <w:rFonts w:hint="eastAsia" w:ascii="宋体" w:hAnsi="宋体"/>
          <w:sz w:val="24"/>
          <w:lang w:val="en-US" w:eastAsia="zh-CN"/>
        </w:rPr>
        <w:t>4.5</w:t>
      </w:r>
      <w:r>
        <w:rPr>
          <w:rFonts w:hint="eastAsia" w:ascii="宋体" w:hAnsi="宋体"/>
          <w:sz w:val="24"/>
        </w:rPr>
        <w:t>Hz～</w:t>
      </w:r>
      <w:r>
        <w:rPr>
          <w:rFonts w:hint="eastAsia" w:ascii="宋体" w:hAnsi="宋体"/>
          <w:sz w:val="24"/>
          <w:lang w:val="en-US" w:eastAsia="zh-CN"/>
        </w:rPr>
        <w:t>17</w:t>
      </w:r>
      <w:r>
        <w:rPr>
          <w:rFonts w:hint="eastAsia" w:ascii="宋体" w:hAnsi="宋体"/>
          <w:sz w:val="24"/>
        </w:rPr>
        <w:t>Hz</w:t>
      </w:r>
    </w:p>
    <w:p w14:paraId="47452A88">
      <w:pPr>
        <w:spacing w:line="360" w:lineRule="auto"/>
        <w:rPr>
          <w:rFonts w:ascii="宋体" w:hAnsi="宋体" w:cs="宋体"/>
          <w:b w:val="0"/>
          <w:bCs w:val="0"/>
          <w:sz w:val="24"/>
        </w:rPr>
      </w:pPr>
      <w:r>
        <w:rPr>
          <w:rFonts w:hint="eastAsia" w:ascii="宋体" w:hAnsi="宋体" w:cs="宋体"/>
          <w:b w:val="0"/>
          <w:bCs w:val="0"/>
          <w:sz w:val="24"/>
        </w:rPr>
        <w:t>2.1.12存储方式：超大硬盘存储（病历＞50000）</w:t>
      </w:r>
    </w:p>
    <w:p w14:paraId="74AD0CB7">
      <w:pPr>
        <w:spacing w:line="360" w:lineRule="auto"/>
        <w:ind w:left="960" w:hanging="960" w:hangingChars="400"/>
        <w:rPr>
          <w:rFonts w:hint="eastAsia" w:ascii="宋体" w:hAnsi="宋体"/>
          <w:b w:val="0"/>
          <w:bCs w:val="0"/>
          <w:sz w:val="24"/>
        </w:rPr>
      </w:pPr>
      <w:r>
        <w:rPr>
          <w:rFonts w:hint="eastAsia" w:ascii="宋体" w:hAnsi="宋体" w:cs="宋体"/>
          <w:b w:val="0"/>
          <w:bCs w:val="0"/>
          <w:sz w:val="24"/>
        </w:rPr>
        <w:t>2.1.13</w:t>
      </w:r>
      <w:r>
        <w:rPr>
          <w:rFonts w:hint="eastAsia" w:ascii="宋体" w:hAnsi="宋体"/>
          <w:b w:val="0"/>
          <w:bCs w:val="0"/>
          <w:sz w:val="24"/>
        </w:rPr>
        <w:t>临床数据统计：ABI统计，PWV统计，STI统计，各种表格对比，进行分阶段数据统计，方便医生进行学术研究，并对患者亚健康阶段性跟踪和健康指导。</w:t>
      </w:r>
    </w:p>
    <w:p w14:paraId="4CDA4B51">
      <w:pPr>
        <w:spacing w:line="360" w:lineRule="auto"/>
        <w:rPr>
          <w:rFonts w:hint="eastAsia" w:ascii="宋体" w:hAnsi="宋体"/>
          <w:bCs/>
          <w:color w:val="auto"/>
          <w:sz w:val="24"/>
          <w:highlight w:val="none"/>
        </w:rPr>
      </w:pPr>
      <w:r>
        <w:rPr>
          <w:rFonts w:hint="eastAsia" w:ascii="宋体" w:hAnsi="宋体" w:cs="宋体"/>
          <w:b w:val="0"/>
          <w:bCs w:val="0"/>
          <w:sz w:val="24"/>
          <w:szCs w:val="24"/>
          <w:lang w:val="en-US" w:eastAsia="zh-CN"/>
        </w:rPr>
        <w:t>2.1.14</w:t>
      </w:r>
      <w:r>
        <w:rPr>
          <w:rFonts w:hint="eastAsia" w:ascii="宋体" w:hAnsi="宋体"/>
          <w:bCs/>
          <w:color w:val="auto"/>
          <w:sz w:val="24"/>
          <w:highlight w:val="none"/>
        </w:rPr>
        <w:t>能够和医院正在使用的慢病筛防系统免费对接，自动上传数据</w:t>
      </w:r>
    </w:p>
    <w:p w14:paraId="7D5C887B">
      <w:pPr>
        <w:spacing w:line="360" w:lineRule="auto"/>
        <w:ind w:left="960" w:hanging="960" w:hangingChars="400"/>
        <w:rPr>
          <w:rFonts w:ascii="宋体" w:hAnsi="宋体" w:cs="宋体"/>
          <w:b w:val="0"/>
          <w:bCs w:val="0"/>
          <w:sz w:val="24"/>
        </w:rPr>
      </w:pPr>
      <w:r>
        <w:rPr>
          <w:rFonts w:hint="eastAsia" w:ascii="宋体" w:hAnsi="宋体"/>
          <w:b w:val="0"/>
          <w:bCs w:val="0"/>
          <w:sz w:val="24"/>
          <w:lang w:val="en-US" w:eastAsia="zh-CN"/>
        </w:rPr>
        <w:t>2.1.15可实现</w:t>
      </w:r>
      <w:r>
        <w:rPr>
          <w:rFonts w:hint="eastAsia" w:ascii="宋体" w:hAnsi="宋体"/>
          <w:b w:val="0"/>
          <w:bCs w:val="0"/>
          <w:sz w:val="24"/>
          <w:lang w:eastAsia="zh-CN"/>
        </w:rPr>
        <w:t>与</w:t>
      </w:r>
      <w:r>
        <w:rPr>
          <w:rFonts w:hint="eastAsia" w:ascii="宋体" w:hAnsi="宋体"/>
          <w:b w:val="0"/>
          <w:bCs w:val="0"/>
          <w:sz w:val="24"/>
        </w:rPr>
        <w:t>医院信息管理系统无缝对接。</w:t>
      </w:r>
    </w:p>
    <w:p w14:paraId="58A222F3">
      <w:pPr>
        <w:spacing w:line="360" w:lineRule="auto"/>
        <w:rPr>
          <w:rFonts w:ascii="宋体" w:hAnsi="宋体" w:cs="宋体"/>
          <w:b w:val="0"/>
          <w:bCs w:val="0"/>
          <w:sz w:val="24"/>
        </w:rPr>
      </w:pPr>
      <w:r>
        <w:rPr>
          <w:rFonts w:hint="eastAsia" w:ascii="宋体" w:hAnsi="宋体" w:cs="宋体"/>
          <w:b w:val="0"/>
          <w:bCs w:val="0"/>
          <w:sz w:val="24"/>
        </w:rPr>
        <w:t>2.1.1</w:t>
      </w:r>
      <w:r>
        <w:rPr>
          <w:rFonts w:hint="eastAsia" w:ascii="宋体" w:hAnsi="宋体" w:cs="宋体"/>
          <w:b w:val="0"/>
          <w:bCs w:val="0"/>
          <w:sz w:val="24"/>
          <w:lang w:val="en-US" w:eastAsia="zh-CN"/>
        </w:rPr>
        <w:t>6</w:t>
      </w:r>
      <w:r>
        <w:rPr>
          <w:rFonts w:hint="eastAsia" w:ascii="宋体" w:hAnsi="宋体" w:cs="宋体"/>
          <w:b w:val="0"/>
          <w:bCs w:val="0"/>
          <w:sz w:val="24"/>
        </w:rPr>
        <w:t>自动或手动出报告评估，辅助医生下诊断报告</w:t>
      </w:r>
    </w:p>
    <w:p w14:paraId="48946494">
      <w:pPr>
        <w:spacing w:line="360" w:lineRule="auto"/>
        <w:rPr>
          <w:rFonts w:ascii="宋体" w:hAnsi="宋体" w:cs="宋体"/>
          <w:b w:val="0"/>
          <w:bCs w:val="0"/>
          <w:sz w:val="24"/>
        </w:rPr>
      </w:pPr>
      <w:r>
        <w:rPr>
          <w:rFonts w:hint="eastAsia" w:ascii="宋体" w:hAnsi="宋体" w:cs="宋体"/>
          <w:b w:val="0"/>
          <w:bCs w:val="0"/>
          <w:sz w:val="24"/>
        </w:rPr>
        <w:t>2.1.1</w:t>
      </w:r>
      <w:r>
        <w:rPr>
          <w:rFonts w:hint="eastAsia" w:ascii="宋体" w:hAnsi="宋体" w:cs="宋体"/>
          <w:b w:val="0"/>
          <w:bCs w:val="0"/>
          <w:sz w:val="24"/>
          <w:lang w:val="en-US" w:eastAsia="zh-CN"/>
        </w:rPr>
        <w:t>7</w:t>
      </w:r>
      <w:r>
        <w:rPr>
          <w:rFonts w:hint="eastAsia" w:ascii="宋体" w:hAnsi="宋体" w:cs="宋体"/>
          <w:b w:val="0"/>
          <w:bCs w:val="0"/>
          <w:sz w:val="24"/>
        </w:rPr>
        <w:t xml:space="preserve"> 彩色报告多种模式选择</w:t>
      </w:r>
    </w:p>
    <w:p w14:paraId="0FBA71AD">
      <w:pPr>
        <w:spacing w:line="360" w:lineRule="auto"/>
        <w:rPr>
          <w:rFonts w:ascii="宋体" w:hAnsi="宋体" w:cs="宋体"/>
          <w:b w:val="0"/>
          <w:bCs w:val="0"/>
          <w:sz w:val="24"/>
        </w:rPr>
      </w:pPr>
      <w:r>
        <w:rPr>
          <w:rFonts w:hint="eastAsia" w:ascii="宋体" w:hAnsi="宋体" w:cs="宋体"/>
          <w:b w:val="0"/>
          <w:bCs w:val="0"/>
          <w:sz w:val="24"/>
        </w:rPr>
        <w:t>2.1.1</w:t>
      </w:r>
      <w:r>
        <w:rPr>
          <w:rFonts w:hint="eastAsia" w:ascii="宋体" w:hAnsi="宋体" w:cs="宋体"/>
          <w:b w:val="0"/>
          <w:bCs w:val="0"/>
          <w:sz w:val="24"/>
          <w:lang w:val="en-US" w:eastAsia="zh-CN"/>
        </w:rPr>
        <w:t>8</w:t>
      </w:r>
      <w:r>
        <w:rPr>
          <w:rFonts w:hint="eastAsia" w:ascii="宋体" w:hAnsi="宋体" w:cs="宋体"/>
          <w:b w:val="0"/>
          <w:bCs w:val="0"/>
          <w:sz w:val="24"/>
        </w:rPr>
        <w:t>可</w:t>
      </w:r>
      <w:r>
        <w:rPr>
          <w:rFonts w:hint="eastAsia" w:ascii="宋体" w:hAnsi="宋体" w:cs="宋体"/>
          <w:b w:val="0"/>
          <w:bCs w:val="0"/>
          <w:sz w:val="24"/>
          <w:lang w:eastAsia="zh-CN"/>
        </w:rPr>
        <w:t>选，</w:t>
      </w:r>
      <w:r>
        <w:rPr>
          <w:rFonts w:hint="eastAsia" w:ascii="宋体" w:hAnsi="宋体" w:cs="宋体"/>
          <w:b w:val="0"/>
          <w:bCs w:val="0"/>
          <w:sz w:val="24"/>
        </w:rPr>
        <w:t>同时对两位患者进行检查。</w:t>
      </w:r>
    </w:p>
    <w:p w14:paraId="0BE674E2">
      <w:pPr>
        <w:spacing w:line="360" w:lineRule="auto"/>
        <w:ind w:left="1080" w:right="72" w:hanging="1080" w:hangingChars="450"/>
        <w:rPr>
          <w:rFonts w:hint="eastAsia" w:ascii="宋体" w:hAnsi="宋体" w:cs="宋体"/>
          <w:b w:val="0"/>
          <w:bCs w:val="0"/>
          <w:sz w:val="24"/>
        </w:rPr>
      </w:pPr>
      <w:r>
        <w:rPr>
          <w:rFonts w:hint="eastAsia" w:ascii="宋体" w:hAnsi="宋体" w:cs="宋体"/>
          <w:b w:val="0"/>
          <w:bCs w:val="0"/>
          <w:sz w:val="24"/>
        </w:rPr>
        <w:t>2.1.1</w:t>
      </w:r>
      <w:r>
        <w:rPr>
          <w:rFonts w:hint="eastAsia" w:ascii="宋体" w:hAnsi="宋体" w:cs="宋体"/>
          <w:b w:val="0"/>
          <w:bCs w:val="0"/>
          <w:sz w:val="24"/>
          <w:lang w:val="en-US" w:eastAsia="zh-CN"/>
        </w:rPr>
        <w:t>9</w:t>
      </w:r>
      <w:r>
        <w:rPr>
          <w:rFonts w:hint="eastAsia" w:ascii="宋体" w:hAnsi="宋体" w:cs="宋体"/>
          <w:b w:val="0"/>
          <w:bCs w:val="0"/>
          <w:sz w:val="24"/>
        </w:rPr>
        <w:t>大屏幕19寸液晶显示操作界面，独立操作，一体式台车</w:t>
      </w:r>
      <w:r>
        <w:rPr>
          <w:rFonts w:hint="eastAsia" w:ascii="宋体" w:hAnsi="宋体" w:cs="宋体"/>
          <w:b w:val="0"/>
          <w:bCs w:val="0"/>
          <w:sz w:val="24"/>
          <w:lang w:val="en-US" w:eastAsia="zh-CN"/>
        </w:rPr>
        <w:t xml:space="preserve"> </w:t>
      </w:r>
      <w:r>
        <w:rPr>
          <w:rFonts w:hint="eastAsia" w:ascii="宋体" w:hAnsi="宋体" w:cs="宋体"/>
          <w:b w:val="0"/>
          <w:bCs w:val="0"/>
          <w:sz w:val="24"/>
        </w:rPr>
        <w:t>。</w:t>
      </w:r>
    </w:p>
    <w:p w14:paraId="4593C307">
      <w:pPr>
        <w:spacing w:line="360" w:lineRule="auto"/>
        <w:ind w:left="480" w:hanging="643" w:hangingChars="200"/>
        <w:rPr>
          <w:rFonts w:hint="eastAsia" w:ascii="黑体" w:hAnsi="黑体" w:eastAsia="黑体" w:cs="黑体"/>
          <w:b/>
          <w:sz w:val="32"/>
          <w:szCs w:val="32"/>
        </w:rPr>
      </w:pPr>
    </w:p>
    <w:p w14:paraId="6C48412E">
      <w:pPr>
        <w:spacing w:line="360" w:lineRule="auto"/>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五</w:t>
      </w:r>
      <w:r>
        <w:rPr>
          <w:rFonts w:hint="eastAsia" w:ascii="黑体" w:hAnsi="黑体" w:eastAsia="黑体" w:cs="黑体"/>
          <w:b/>
          <w:sz w:val="32"/>
          <w:szCs w:val="32"/>
        </w:rPr>
        <w:t>部分：</w:t>
      </w:r>
      <w:r>
        <w:rPr>
          <w:rFonts w:hint="eastAsia" w:ascii="黑体" w:hAnsi="黑体" w:eastAsia="黑体" w:cs="黑体"/>
          <w:b/>
          <w:bCs w:val="0"/>
          <w:sz w:val="32"/>
          <w:szCs w:val="32"/>
          <w:lang w:val="en-US" w:eastAsia="zh-CN"/>
        </w:rPr>
        <w:t>动态血压检测仪二台</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预算4.00万元</w:t>
      </w:r>
      <w:r>
        <w:rPr>
          <w:rFonts w:hint="eastAsia" w:ascii="黑体" w:hAnsi="黑体" w:eastAsia="黑体" w:cs="黑体"/>
          <w:b/>
          <w:bCs/>
          <w:sz w:val="32"/>
          <w:lang w:eastAsia="zh-CN"/>
        </w:rPr>
        <w:t>）</w:t>
      </w:r>
    </w:p>
    <w:p w14:paraId="4CD09BAF">
      <w:pPr>
        <w:widowControl/>
        <w:ind w:firstLine="0" w:firstLineChars="0"/>
        <w:jc w:val="left"/>
        <w:rPr>
          <w:rFonts w:hint="eastAsia" w:ascii="仿宋" w:hAnsi="仿宋" w:eastAsia="仿宋" w:cs="仿宋"/>
          <w:b/>
          <w:szCs w:val="21"/>
          <w:lang w:val="en-US" w:eastAsia="zh-CN"/>
        </w:rPr>
      </w:pPr>
      <w:r>
        <w:rPr>
          <w:rFonts w:hint="eastAsia" w:ascii="黑体" w:hAnsi="黑体" w:eastAsia="黑体" w:cs="黑体"/>
          <w:b/>
          <w:bCs w:val="0"/>
          <w:sz w:val="32"/>
          <w:szCs w:val="32"/>
          <w:lang w:val="en-US" w:eastAsia="zh-CN"/>
        </w:rPr>
        <w:t>采购人：句容市郭庄中心卫生院</w:t>
      </w:r>
    </w:p>
    <w:p w14:paraId="192736E2">
      <w:pPr>
        <w:widowControl/>
        <w:numPr>
          <w:ilvl w:val="0"/>
          <w:numId w:val="0"/>
        </w:numPr>
        <w:jc w:val="left"/>
        <w:rPr>
          <w:rFonts w:hint="eastAsia" w:ascii="宋体" w:hAnsi="宋体" w:cs="宋体"/>
          <w:b/>
          <w:sz w:val="28"/>
          <w:szCs w:val="28"/>
          <w:lang w:val="en-US" w:eastAsia="zh-CN"/>
        </w:rPr>
      </w:pPr>
      <w:r>
        <w:rPr>
          <w:rFonts w:hint="eastAsia" w:ascii="宋体" w:hAnsi="宋体" w:cs="宋体"/>
          <w:b/>
          <w:sz w:val="28"/>
          <w:szCs w:val="28"/>
          <w:lang w:val="en-US" w:eastAsia="zh-CN"/>
        </w:rPr>
        <w:t>技术参数及要求：</w:t>
      </w:r>
    </w:p>
    <w:p w14:paraId="5EEFC5AB">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eastAsia="zh-CN"/>
        </w:rPr>
        <w:t>（</w:t>
      </w:r>
      <w:r>
        <w:rPr>
          <w:rFonts w:hint="eastAsia" w:ascii="宋体" w:hAnsi="宋体"/>
          <w:b w:val="0"/>
          <w:bCs/>
          <w:kern w:val="0"/>
          <w:szCs w:val="20"/>
          <w:lang w:val="en-US" w:eastAsia="zh-CN"/>
        </w:rPr>
        <w:t>1</w:t>
      </w:r>
      <w:r>
        <w:rPr>
          <w:rFonts w:hint="eastAsia" w:ascii="宋体" w:hAnsi="宋体"/>
          <w:b w:val="0"/>
          <w:bCs/>
          <w:kern w:val="0"/>
          <w:szCs w:val="20"/>
          <w:lang w:eastAsia="zh-CN"/>
        </w:rPr>
        <w:t>）</w:t>
      </w:r>
      <w:r>
        <w:rPr>
          <w:rFonts w:hint="eastAsia" w:ascii="宋体" w:hAnsi="宋体"/>
          <w:b w:val="0"/>
          <w:bCs/>
          <w:kern w:val="0"/>
          <w:szCs w:val="20"/>
        </w:rPr>
        <w:t>采集盒性能：</w:t>
      </w:r>
    </w:p>
    <w:p w14:paraId="777D6E94">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1</w:t>
      </w:r>
      <w:r>
        <w:rPr>
          <w:rFonts w:hint="eastAsia" w:ascii="宋体" w:hAnsi="宋体"/>
          <w:b w:val="0"/>
          <w:bCs/>
          <w:kern w:val="0"/>
          <w:szCs w:val="20"/>
          <w:lang w:val="en-US" w:eastAsia="zh-CN"/>
        </w:rPr>
        <w:t>.</w:t>
      </w:r>
      <w:r>
        <w:rPr>
          <w:rFonts w:hint="eastAsia" w:ascii="宋体" w:hAnsi="宋体"/>
          <w:b w:val="0"/>
          <w:bCs/>
          <w:kern w:val="0"/>
          <w:szCs w:val="20"/>
        </w:rPr>
        <w:t>全玻璃面板，体积小，重量≤160g,方便受检者佩戴</w:t>
      </w:r>
    </w:p>
    <w:p w14:paraId="63CE9123">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2.OLED彩色屏幕显示，能够清晰显示时间、电池电量、血压测量结果</w:t>
      </w:r>
    </w:p>
    <w:p w14:paraId="5E2265AD">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3.扇形设计的袖带和手臂的贴合，保证患者佩戴舒适性；袖带延长管连接处采用自锁结构，能够快速连接、更换袖带</w:t>
      </w:r>
    </w:p>
    <w:p w14:paraId="5430FDDD">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4.灵活的数据传输方式，支持type C的方式进行数据传输、读取</w:t>
      </w:r>
    </w:p>
    <w:p w14:paraId="7DEE1251">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5.防水等级：支持IP22防水等级</w:t>
      </w:r>
    </w:p>
    <w:p w14:paraId="1D575348">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6.供电要求：直流电源，2节AA电池供电</w:t>
      </w:r>
    </w:p>
    <w:p w14:paraId="37427D2C">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7.支持事件记录功能，结合事件记录对血压数据进行分析</w:t>
      </w:r>
    </w:p>
    <w:p w14:paraId="3BBDF228">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8.支持体位记录功能，能够辅助临床判断患者血压测量时的体位情况</w:t>
      </w:r>
    </w:p>
    <w:p w14:paraId="3AAD9D3E">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1.</w:t>
      </w:r>
      <w:r>
        <w:rPr>
          <w:rFonts w:hint="eastAsia" w:ascii="宋体" w:hAnsi="宋体"/>
          <w:b w:val="0"/>
          <w:bCs/>
          <w:kern w:val="0"/>
          <w:szCs w:val="20"/>
        </w:rPr>
        <w:t>9.数据存储器：闪存储存，至少可存储300组数据</w:t>
      </w:r>
    </w:p>
    <w:p w14:paraId="4A26D6F4">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eastAsia="zh-CN"/>
        </w:rPr>
        <w:t>（</w:t>
      </w:r>
      <w:r>
        <w:rPr>
          <w:rFonts w:hint="eastAsia" w:ascii="宋体" w:hAnsi="宋体"/>
          <w:b w:val="0"/>
          <w:bCs/>
          <w:kern w:val="0"/>
          <w:szCs w:val="20"/>
          <w:lang w:val="en-US" w:eastAsia="zh-CN"/>
        </w:rPr>
        <w:t>2</w:t>
      </w:r>
      <w:r>
        <w:rPr>
          <w:rFonts w:hint="eastAsia" w:ascii="宋体" w:hAnsi="宋体"/>
          <w:b w:val="0"/>
          <w:bCs/>
          <w:kern w:val="0"/>
          <w:szCs w:val="20"/>
          <w:lang w:eastAsia="zh-CN"/>
        </w:rPr>
        <w:t>）</w:t>
      </w:r>
      <w:r>
        <w:rPr>
          <w:rFonts w:hint="eastAsia" w:ascii="宋体" w:hAnsi="宋体"/>
          <w:b w:val="0"/>
          <w:bCs/>
          <w:kern w:val="0"/>
          <w:szCs w:val="20"/>
        </w:rPr>
        <w:t>测量参数性能</w:t>
      </w:r>
    </w:p>
    <w:p w14:paraId="20CEE7D3">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1.测量方法：示波法</w:t>
      </w:r>
    </w:p>
    <w:p w14:paraId="2F044DBC">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2.量程：0mmHg~300mmHg,精度：±3 mmHg(±0.4kPa)</w:t>
      </w:r>
    </w:p>
    <w:p w14:paraId="31B02207">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3.压力测量范围：10mmHg~290mmHg,最大平均误差：±5mmHg(0.67kPa),最大标准偏差：8mmHg(1.07kPa)</w:t>
      </w:r>
    </w:p>
    <w:p w14:paraId="5DD20DDF">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4.脉率测量范围：40 bpm~240 bpm</w:t>
      </w:r>
    </w:p>
    <w:p w14:paraId="36AE1E9A">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5.过压保护：当血压测量压力值超过297mmHg±3mmHg时，开启过压保护</w:t>
      </w:r>
    </w:p>
    <w:p w14:paraId="450471A7">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6.监测时长：24小时</w:t>
      </w:r>
    </w:p>
    <w:p w14:paraId="1D36C0FB">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7.监测间隔：5分钟、10分钟、15分钟、20分钟、30分钟、45分钟、60分钟、90分钟、120分钟</w:t>
      </w:r>
    </w:p>
    <w:p w14:paraId="7602CE0A">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2.</w:t>
      </w:r>
      <w:r>
        <w:rPr>
          <w:rFonts w:hint="eastAsia" w:ascii="宋体" w:hAnsi="宋体"/>
          <w:b w:val="0"/>
          <w:bCs/>
          <w:kern w:val="0"/>
          <w:szCs w:val="20"/>
        </w:rPr>
        <w:t>8.安全系统：最大充气气压为300mmHg,最大测量时常为120s</w:t>
      </w:r>
    </w:p>
    <w:p w14:paraId="761A404F">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eastAsia="zh-CN"/>
        </w:rPr>
        <w:t>（</w:t>
      </w:r>
      <w:r>
        <w:rPr>
          <w:rFonts w:hint="eastAsia" w:ascii="宋体" w:hAnsi="宋体"/>
          <w:b w:val="0"/>
          <w:bCs/>
          <w:kern w:val="0"/>
          <w:szCs w:val="20"/>
          <w:lang w:val="en-US" w:eastAsia="zh-CN"/>
        </w:rPr>
        <w:t>3</w:t>
      </w:r>
      <w:r>
        <w:rPr>
          <w:rFonts w:hint="eastAsia" w:ascii="宋体" w:hAnsi="宋体"/>
          <w:b w:val="0"/>
          <w:bCs/>
          <w:kern w:val="0"/>
          <w:szCs w:val="20"/>
          <w:lang w:eastAsia="zh-CN"/>
        </w:rPr>
        <w:t>）</w:t>
      </w:r>
      <w:r>
        <w:rPr>
          <w:rFonts w:hint="eastAsia" w:ascii="宋体" w:hAnsi="宋体"/>
          <w:b w:val="0"/>
          <w:bCs/>
          <w:kern w:val="0"/>
          <w:szCs w:val="20"/>
        </w:rPr>
        <w:t>分析软件</w:t>
      </w:r>
    </w:p>
    <w:p w14:paraId="0D0C805C">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3.</w:t>
      </w:r>
      <w:r>
        <w:rPr>
          <w:rFonts w:hint="eastAsia" w:ascii="宋体" w:hAnsi="宋体"/>
          <w:b w:val="0"/>
          <w:bCs/>
          <w:kern w:val="0"/>
          <w:szCs w:val="20"/>
        </w:rPr>
        <w:t>1.具有智能检索功能，支持对病例进行快速查找</w:t>
      </w:r>
    </w:p>
    <w:p w14:paraId="04560F77">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3.</w:t>
      </w:r>
      <w:r>
        <w:rPr>
          <w:rFonts w:hint="eastAsia" w:ascii="宋体" w:hAnsi="宋体"/>
          <w:b w:val="0"/>
          <w:bCs/>
          <w:kern w:val="0"/>
          <w:szCs w:val="20"/>
        </w:rPr>
        <w:t>2.可自动删除已读取数据，防止病人数据混淆</w:t>
      </w:r>
    </w:p>
    <w:p w14:paraId="78A84F8D">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3.</w:t>
      </w:r>
      <w:r>
        <w:rPr>
          <w:rFonts w:hint="eastAsia" w:ascii="宋体" w:hAnsi="宋体"/>
          <w:b w:val="0"/>
          <w:bCs/>
          <w:kern w:val="0"/>
          <w:szCs w:val="20"/>
        </w:rPr>
        <w:t>3.具有数据表、统计表、直方图、饼图、昼夜节律图等分析工具，能够更加直观的分析数据</w:t>
      </w:r>
    </w:p>
    <w:p w14:paraId="7C77F9A9">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3.</w:t>
      </w:r>
      <w:r>
        <w:rPr>
          <w:rFonts w:hint="eastAsia" w:ascii="宋体" w:hAnsi="宋体"/>
          <w:b w:val="0"/>
          <w:bCs/>
          <w:kern w:val="0"/>
          <w:szCs w:val="20"/>
        </w:rPr>
        <w:t>4.相关图分析：可查看收缩压和舒张压相关性，查看全部和部分相关图，数据范围可支持总体、白天、夜间</w:t>
      </w:r>
    </w:p>
    <w:p w14:paraId="6B58DC78">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3.</w:t>
      </w:r>
      <w:r>
        <w:rPr>
          <w:rFonts w:hint="eastAsia" w:ascii="宋体" w:hAnsi="宋体"/>
          <w:b w:val="0"/>
          <w:bCs/>
          <w:kern w:val="0"/>
          <w:szCs w:val="20"/>
        </w:rPr>
        <w:t>5.提供病人信息、管理列表、报告内容自定义配置，灵活的配置满足多样化的需求</w:t>
      </w:r>
    </w:p>
    <w:p w14:paraId="57E1F654">
      <w:pPr>
        <w:adjustRightInd w:val="0"/>
        <w:spacing w:line="380" w:lineRule="exact"/>
        <w:ind w:right="-153" w:firstLine="420" w:firstLineChars="200"/>
        <w:rPr>
          <w:rFonts w:hint="eastAsia" w:ascii="宋体" w:hAnsi="宋体"/>
          <w:b w:val="0"/>
          <w:bCs/>
          <w:kern w:val="0"/>
          <w:szCs w:val="20"/>
        </w:rPr>
      </w:pPr>
      <w:r>
        <w:rPr>
          <w:rFonts w:hint="eastAsia" w:ascii="宋体" w:hAnsi="宋体"/>
          <w:b w:val="0"/>
          <w:bCs/>
          <w:kern w:val="0"/>
          <w:szCs w:val="20"/>
          <w:lang w:val="en-US" w:eastAsia="zh-CN"/>
        </w:rPr>
        <w:t>3.</w:t>
      </w:r>
      <w:r>
        <w:rPr>
          <w:rFonts w:hint="eastAsia" w:ascii="宋体" w:hAnsi="宋体"/>
          <w:b w:val="0"/>
          <w:bCs/>
          <w:kern w:val="0"/>
          <w:szCs w:val="20"/>
        </w:rPr>
        <w:t>6.数据管理和报告打印：用户可以编辑、存储、打印病人的血压、数据表、直方图、饼图、昼夜节律图等信息</w:t>
      </w:r>
    </w:p>
    <w:p w14:paraId="05BE6855">
      <w:pPr>
        <w:spacing w:line="360" w:lineRule="auto"/>
        <w:ind w:firstLine="420" w:firstLineChars="200"/>
        <w:rPr>
          <w:rFonts w:hint="eastAsia" w:ascii="宋体" w:hAnsi="宋体"/>
          <w:bCs/>
          <w:color w:val="auto"/>
          <w:sz w:val="24"/>
          <w:highlight w:val="none"/>
        </w:rPr>
      </w:pPr>
      <w:r>
        <w:rPr>
          <w:rFonts w:hint="eastAsia" w:ascii="宋体" w:hAnsi="宋体"/>
          <w:b w:val="0"/>
          <w:bCs/>
          <w:kern w:val="0"/>
          <w:szCs w:val="20"/>
          <w:lang w:val="en-US" w:eastAsia="zh-CN"/>
        </w:rPr>
        <w:t>3.7</w:t>
      </w:r>
      <w:r>
        <w:rPr>
          <w:rFonts w:hint="eastAsia" w:ascii="宋体" w:hAnsi="宋体"/>
          <w:bCs/>
          <w:color w:val="auto"/>
          <w:sz w:val="24"/>
          <w:highlight w:val="none"/>
        </w:rPr>
        <w:t>能够和医院正在使用的慢病筛防系统免费对接，自动上传数据</w:t>
      </w:r>
    </w:p>
    <w:p w14:paraId="7BFA2EE1">
      <w:pPr>
        <w:widowControl/>
        <w:numPr>
          <w:ilvl w:val="0"/>
          <w:numId w:val="0"/>
        </w:numPr>
        <w:jc w:val="left"/>
        <w:rPr>
          <w:rFonts w:hint="eastAsia" w:ascii="宋体" w:hAnsi="宋体" w:cs="宋体"/>
          <w:b/>
          <w:sz w:val="24"/>
          <w:szCs w:val="24"/>
          <w:lang w:val="en-US" w:eastAsia="zh-CN"/>
        </w:rPr>
      </w:pP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注：本采购文件如涉及到品牌、型号等仅供参考使用，参加谈判设备只要参数及要求等于或大于即可。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16177E5B">
      <w:pPr>
        <w:jc w:val="left"/>
        <w:rPr>
          <w:rFonts w:hint="eastAsia" w:eastAsia="黑体"/>
          <w:b/>
          <w:color w:val="000000"/>
          <w:sz w:val="36"/>
        </w:rPr>
      </w:pPr>
    </w:p>
    <w:p w14:paraId="0E0307F9">
      <w:pPr>
        <w:jc w:val="left"/>
        <w:rPr>
          <w:rFonts w:hint="eastAsia" w:eastAsia="黑体"/>
          <w:b/>
          <w:color w:val="000000"/>
          <w:sz w:val="36"/>
        </w:rPr>
      </w:pPr>
    </w:p>
    <w:p w14:paraId="2B65AC6B">
      <w:pPr>
        <w:jc w:val="left"/>
        <w:rPr>
          <w:rFonts w:hint="eastAsia" w:eastAsia="黑体"/>
          <w:b/>
          <w:color w:val="000000"/>
          <w:sz w:val="36"/>
        </w:rPr>
      </w:pPr>
    </w:p>
    <w:p w14:paraId="6C91ABC6">
      <w:pPr>
        <w:jc w:val="left"/>
        <w:rPr>
          <w:rFonts w:hint="eastAsia" w:eastAsia="黑体"/>
          <w:b/>
          <w:color w:val="000000"/>
          <w:sz w:val="36"/>
        </w:rPr>
      </w:pPr>
    </w:p>
    <w:p w14:paraId="135247F9">
      <w:pPr>
        <w:jc w:val="left"/>
        <w:rPr>
          <w:rFonts w:hint="eastAsia" w:eastAsia="黑体"/>
          <w:b/>
          <w:color w:val="000000"/>
          <w:sz w:val="36"/>
        </w:rPr>
      </w:pPr>
    </w:p>
    <w:p w14:paraId="396A7682">
      <w:pPr>
        <w:ind w:firstLine="2891" w:firstLineChars="800"/>
        <w:jc w:val="left"/>
        <w:rPr>
          <w:rFonts w:hint="eastAsia" w:eastAsia="黑体"/>
          <w:b/>
          <w:color w:val="000000"/>
          <w:sz w:val="36"/>
          <w:lang w:eastAsia="zh-CN"/>
        </w:rPr>
      </w:pPr>
      <w:r>
        <w:rPr>
          <w:rFonts w:hint="eastAsia" w:eastAsia="黑体"/>
          <w:b/>
          <w:color w:val="000000"/>
          <w:sz w:val="36"/>
        </w:rPr>
        <w:t>第四章 合同格式</w:t>
      </w:r>
    </w:p>
    <w:p w14:paraId="35449333">
      <w:pPr>
        <w:pStyle w:val="49"/>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2025-016</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2025-016</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2025-016</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6"/>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rPr>
              <w:t>招标编号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2"/>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2025-016</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2025-016</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45088913">
      <w:pPr>
        <w:jc w:val="center"/>
        <w:rPr>
          <w:rFonts w:hint="eastAsia" w:eastAsia="黑体"/>
          <w:b/>
          <w:bCs/>
          <w:sz w:val="52"/>
        </w:rPr>
      </w:pPr>
    </w:p>
    <w:p w14:paraId="6A56033C">
      <w:pPr>
        <w:jc w:val="center"/>
        <w:rPr>
          <w:rFonts w:hint="eastAsia" w:eastAsia="黑体"/>
          <w:b/>
          <w:bCs/>
        </w:rPr>
      </w:pPr>
      <w:r>
        <w:rPr>
          <w:rFonts w:hint="eastAsia" w:eastAsia="黑体"/>
          <w:b/>
          <w:bCs/>
          <w:sz w:val="52"/>
        </w:rPr>
        <w:t>廉政公约</w:t>
      </w:r>
    </w:p>
    <w:p w14:paraId="5796C843">
      <w:pPr>
        <w:ind w:firstLine="472" w:firstLineChars="225"/>
        <w:jc w:val="center"/>
        <w:rPr>
          <w:rFonts w:hint="eastAsia" w:eastAsia="仿宋_GB2312"/>
        </w:rPr>
      </w:pPr>
    </w:p>
    <w:p w14:paraId="6099DEE2">
      <w:pPr>
        <w:ind w:firstLine="720" w:firstLineChars="225"/>
        <w:rPr>
          <w:rFonts w:hint="eastAsia" w:eastAsia="仿宋_GB2312"/>
          <w:sz w:val="32"/>
        </w:rPr>
      </w:pPr>
      <w:r>
        <w:rPr>
          <w:rFonts w:hint="eastAsia" w:eastAsia="仿宋_GB2312"/>
          <w:sz w:val="32"/>
        </w:rPr>
        <w:t>为维护 “公开、公平、公正、诚信”的采购工作原则，维护采购活动“阳光下的交易”行为的严肃性，时刻牢记廉洁自律、奉公守法的原则立场，切实维护采购各方的合法权益，特制定本公约希共同遵守。</w:t>
      </w:r>
    </w:p>
    <w:p w14:paraId="4812EB1F">
      <w:pPr>
        <w:ind w:firstLine="720" w:firstLineChars="225"/>
        <w:rPr>
          <w:rFonts w:hint="eastAsia" w:eastAsia="仿宋_GB2312"/>
          <w:sz w:val="32"/>
        </w:rPr>
      </w:pPr>
      <w:r>
        <w:rPr>
          <w:rFonts w:hint="eastAsia" w:eastAsia="仿宋_GB2312"/>
          <w:sz w:val="32"/>
        </w:rPr>
        <w:t>一、不得与招标单位、采购单位、其他投标人进行串通谋取中标；</w:t>
      </w:r>
    </w:p>
    <w:p w14:paraId="01518EC1">
      <w:pPr>
        <w:pStyle w:val="14"/>
        <w:ind w:left="0" w:leftChars="0" w:firstLine="750" w:firstLineChars="250"/>
        <w:rPr>
          <w:rFonts w:hint="eastAsia" w:ascii="仿宋" w:hAnsi="仿宋" w:eastAsia="仿宋"/>
          <w:sz w:val="30"/>
          <w:szCs w:val="30"/>
        </w:rPr>
      </w:pPr>
      <w:r>
        <w:rPr>
          <w:rFonts w:hint="eastAsia" w:ascii="仿宋" w:hAnsi="仿宋" w:eastAsia="仿宋"/>
          <w:sz w:val="30"/>
          <w:szCs w:val="30"/>
        </w:rPr>
        <w:t>二、不得采取不正当手段诋毁、排挤其他投标人，坚决杜绝一切不正当竞争行为；</w:t>
      </w:r>
    </w:p>
    <w:p w14:paraId="7B567B38">
      <w:pPr>
        <w:ind w:firstLine="720" w:firstLineChars="225"/>
        <w:rPr>
          <w:rFonts w:hint="eastAsia" w:eastAsia="仿宋_GB2312"/>
          <w:sz w:val="32"/>
        </w:rPr>
      </w:pPr>
      <w:r>
        <w:rPr>
          <w:rFonts w:hint="eastAsia" w:eastAsia="仿宋_GB2312"/>
          <w:sz w:val="32"/>
        </w:rPr>
        <w:t>三、不得拒绝有关部门依法实施的监督检查；不得提供虚假情况；不得恶意投诉；</w:t>
      </w:r>
    </w:p>
    <w:p w14:paraId="323CA7D3">
      <w:pPr>
        <w:ind w:firstLine="720" w:firstLineChars="225"/>
        <w:rPr>
          <w:rFonts w:hint="eastAsia" w:eastAsia="仿宋_GB2312"/>
          <w:sz w:val="32"/>
        </w:rPr>
      </w:pPr>
      <w:r>
        <w:rPr>
          <w:rFonts w:hint="eastAsia" w:eastAsia="仿宋_GB2312"/>
          <w:sz w:val="32"/>
        </w:rPr>
        <w:t>四、不得在</w:t>
      </w:r>
      <w:r>
        <w:rPr>
          <w:rFonts w:hint="eastAsia" w:eastAsia="仿宋_GB2312"/>
          <w:sz w:val="32"/>
          <w:lang w:eastAsia="zh-CN"/>
        </w:rPr>
        <w:t>谈判</w:t>
      </w:r>
      <w:r>
        <w:rPr>
          <w:rFonts w:hint="eastAsia" w:eastAsia="仿宋_GB2312"/>
          <w:sz w:val="32"/>
        </w:rPr>
        <w:t>过程中与采购单位进行协商谈判、不按招标文件和投标文件订立合同，或者与采购人另行订立背离合同实质性内容的协议；</w:t>
      </w:r>
    </w:p>
    <w:p w14:paraId="4ADD5500">
      <w:pPr>
        <w:ind w:firstLine="720" w:firstLineChars="225"/>
        <w:rPr>
          <w:rFonts w:hint="eastAsia" w:eastAsia="仿宋_GB2312"/>
          <w:sz w:val="32"/>
        </w:rPr>
      </w:pPr>
      <w:r>
        <w:rPr>
          <w:rFonts w:hint="eastAsia" w:eastAsia="仿宋_GB2312"/>
          <w:sz w:val="32"/>
        </w:rPr>
        <w:t>五、不得向采购单位行贿或者提供其他不正当利益；不得接受有关单位和个人的现金、有价证券和支付凭证；不得收受可能影响公正执行公务的礼品馈赠；</w:t>
      </w:r>
    </w:p>
    <w:p w14:paraId="7C5340D7">
      <w:pPr>
        <w:ind w:firstLine="720" w:firstLineChars="225"/>
        <w:rPr>
          <w:rFonts w:hint="eastAsia" w:eastAsia="仿宋_GB2312"/>
          <w:sz w:val="32"/>
        </w:rPr>
      </w:pPr>
      <w:r>
        <w:rPr>
          <w:rFonts w:hint="eastAsia" w:eastAsia="仿宋_GB2312"/>
          <w:sz w:val="32"/>
        </w:rPr>
        <w:t xml:space="preserve">六、不得以利益关系为诱饵进行吃、拿、卡、要；鼓励对招标采购工作人员不廉洁的行为进行监督投诉； </w:t>
      </w:r>
    </w:p>
    <w:p w14:paraId="0E0AA0F6">
      <w:pPr>
        <w:ind w:firstLine="720" w:firstLineChars="225"/>
        <w:rPr>
          <w:rFonts w:hint="eastAsia" w:eastAsia="仿宋_GB2312"/>
          <w:sz w:val="32"/>
        </w:rPr>
      </w:pPr>
      <w:r>
        <w:rPr>
          <w:rFonts w:hint="eastAsia" w:eastAsia="仿宋_GB2312"/>
          <w:sz w:val="32"/>
        </w:rPr>
        <w:t>七、不得泄露任何可能影响公平竞争的有关招投标情况；不得干预、影响开评标过程及结果；</w:t>
      </w:r>
    </w:p>
    <w:p w14:paraId="25B154E5">
      <w:pPr>
        <w:ind w:firstLine="720" w:firstLineChars="225"/>
        <w:rPr>
          <w:rFonts w:hint="eastAsia" w:eastAsia="仿宋_GB2312"/>
          <w:sz w:val="32"/>
        </w:rPr>
      </w:pPr>
      <w:r>
        <w:rPr>
          <w:rFonts w:hint="eastAsia" w:eastAsia="仿宋_GB2312"/>
          <w:sz w:val="32"/>
        </w:rPr>
        <w:t xml:space="preserve">八、不得滥用职权，玩忽职守，徇私舞弊；认真遵守职业职业道德和行业规范； </w:t>
      </w:r>
    </w:p>
    <w:p w14:paraId="066A10D8">
      <w:pPr>
        <w:pStyle w:val="14"/>
        <w:ind w:left="210" w:leftChars="100" w:firstLine="470"/>
        <w:rPr>
          <w:rFonts w:hint="eastAsia"/>
        </w:rPr>
      </w:pPr>
      <w:r>
        <w:rPr>
          <w:rFonts w:hint="eastAsia"/>
        </w:rPr>
        <w:t>对涉及投标单位有上述情形之一者，除依照政府采购法中规定的中标、成交无效外，投标单位还将被处以采购金额千分之五以上千分之十以下的罚款，列入不良记录名单，在一至三年内禁止参加句容市医疗设备采购活动，有违法所得的，并处没收违法所得，情节严重的，由工商行政管理机关吊销营业执照；构成犯罪的，依法追究刑事责任。</w:t>
      </w:r>
    </w:p>
    <w:p w14:paraId="569F29D2">
      <w:pPr>
        <w:pStyle w:val="14"/>
        <w:ind w:left="1747" w:firstLine="470"/>
        <w:rPr>
          <w:rFonts w:hint="eastAsia"/>
        </w:rPr>
      </w:pPr>
      <w:r>
        <w:rPr>
          <w:rFonts w:hint="eastAsia"/>
        </w:rPr>
        <w:t>本公约签章后即视为对以上陈述无疑义，并完全响应。</w:t>
      </w:r>
    </w:p>
    <w:p w14:paraId="626E6444">
      <w:pPr>
        <w:ind w:firstLine="720" w:firstLineChars="225"/>
        <w:rPr>
          <w:rFonts w:hint="eastAsia" w:eastAsia="仿宋_GB2312"/>
          <w:sz w:val="32"/>
        </w:rPr>
      </w:pPr>
    </w:p>
    <w:p w14:paraId="18221762">
      <w:pPr>
        <w:tabs>
          <w:tab w:val="left" w:pos="4500"/>
        </w:tabs>
        <w:ind w:right="2904" w:rightChars="1383" w:firstLine="2339" w:firstLineChars="731"/>
        <w:jc w:val="right"/>
        <w:rPr>
          <w:rFonts w:hint="eastAsia" w:eastAsia="仿宋_GB2312"/>
          <w:sz w:val="32"/>
        </w:rPr>
      </w:pPr>
      <w:r>
        <w:rPr>
          <w:rFonts w:hint="eastAsia" w:eastAsia="仿宋_GB2312"/>
          <w:sz w:val="32"/>
        </w:rPr>
        <w:t>投标单位（盖章）</w:t>
      </w:r>
    </w:p>
    <w:p w14:paraId="710C001C">
      <w:pPr>
        <w:tabs>
          <w:tab w:val="left" w:pos="4500"/>
        </w:tabs>
        <w:ind w:right="2904" w:rightChars="1383" w:firstLine="720" w:firstLineChars="225"/>
        <w:jc w:val="right"/>
        <w:rPr>
          <w:rFonts w:hint="eastAsia" w:eastAsia="仿宋_GB2312"/>
          <w:sz w:val="32"/>
        </w:rPr>
      </w:pPr>
    </w:p>
    <w:p w14:paraId="4D06E861">
      <w:pPr>
        <w:tabs>
          <w:tab w:val="left" w:pos="4500"/>
        </w:tabs>
        <w:ind w:right="2904" w:rightChars="1383" w:firstLine="720" w:firstLineChars="225"/>
        <w:jc w:val="right"/>
        <w:rPr>
          <w:rFonts w:hint="eastAsia" w:eastAsia="仿宋_GB2312"/>
          <w:sz w:val="32"/>
        </w:rPr>
      </w:pPr>
    </w:p>
    <w:p w14:paraId="64B79473">
      <w:pPr>
        <w:ind w:firstLine="720" w:firstLineChars="225"/>
        <w:rPr>
          <w:rFonts w:hint="eastAsia" w:eastAsia="仿宋_GB2312"/>
          <w:sz w:val="32"/>
        </w:rPr>
      </w:pPr>
    </w:p>
    <w:p w14:paraId="7CCFE3A0">
      <w:pPr>
        <w:ind w:firstLine="720" w:firstLineChars="225"/>
        <w:rPr>
          <w:rFonts w:hint="eastAsia" w:eastAsia="仿宋_GB2312"/>
          <w:sz w:val="32"/>
        </w:rPr>
      </w:pPr>
    </w:p>
    <w:p w14:paraId="1FA90F7D">
      <w:pPr>
        <w:spacing w:line="240" w:lineRule="atLeast"/>
        <w:ind w:firstLine="4137" w:firstLineChars="1293"/>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二</w:t>
      </w: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14:paraId="4430F309">
      <w:pPr>
        <w:spacing w:line="240" w:lineRule="atLeast"/>
        <w:ind w:firstLine="4137" w:firstLineChars="1293"/>
        <w:rPr>
          <w:rFonts w:hint="eastAsia" w:ascii="仿宋_GB2312" w:eastAsia="仿宋_GB2312"/>
          <w:sz w:val="32"/>
          <w:szCs w:val="32"/>
        </w:rPr>
      </w:pPr>
    </w:p>
    <w:p w14:paraId="13894089">
      <w:pPr>
        <w:spacing w:line="240" w:lineRule="atLeast"/>
        <w:ind w:firstLine="4137" w:firstLineChars="1293"/>
        <w:rPr>
          <w:rFonts w:hint="eastAsia" w:ascii="仿宋_GB2312" w:eastAsia="仿宋_GB2312"/>
          <w:sz w:val="32"/>
          <w:szCs w:val="32"/>
        </w:rPr>
      </w:pPr>
    </w:p>
    <w:p w14:paraId="69DAB6A1">
      <w:pPr>
        <w:jc w:val="center"/>
        <w:rPr>
          <w:rFonts w:hint="eastAsia" w:ascii="楷体_GB2312" w:hAnsi="宋体" w:eastAsia="楷体_GB2312"/>
          <w:sz w:val="32"/>
          <w:szCs w:val="32"/>
        </w:rPr>
      </w:pPr>
    </w:p>
    <w:p w14:paraId="1ECADF8F">
      <w:pPr>
        <w:jc w:val="center"/>
        <w:rPr>
          <w:rFonts w:hint="eastAsia" w:ascii="楷体_GB2312" w:hAnsi="宋体" w:eastAsia="楷体_GB2312"/>
          <w:sz w:val="32"/>
          <w:szCs w:val="32"/>
        </w:rPr>
      </w:pPr>
    </w:p>
    <w:p w14:paraId="02FF8BC3">
      <w:pPr>
        <w:jc w:val="center"/>
        <w:rPr>
          <w:rFonts w:hint="eastAsia" w:ascii="楷体_GB2312" w:hAnsi="宋体" w:eastAsia="楷体_GB2312"/>
          <w:sz w:val="32"/>
          <w:szCs w:val="32"/>
        </w:rPr>
      </w:pPr>
    </w:p>
    <w:p w14:paraId="1CF4B723">
      <w:pPr>
        <w:jc w:val="center"/>
        <w:rPr>
          <w:rFonts w:hint="eastAsia" w:ascii="楷体_GB2312" w:hAnsi="宋体" w:eastAsia="楷体_GB2312"/>
          <w:sz w:val="32"/>
          <w:szCs w:val="32"/>
        </w:rPr>
      </w:pPr>
    </w:p>
    <w:p w14:paraId="0BB98A8F">
      <w:pPr>
        <w:jc w:val="center"/>
        <w:rPr>
          <w:rFonts w:hint="eastAsia" w:ascii="楷体_GB2312" w:hAnsi="宋体" w:eastAsia="楷体_GB2312"/>
          <w:sz w:val="32"/>
          <w:szCs w:val="32"/>
        </w:rPr>
      </w:pPr>
    </w:p>
    <w:p w14:paraId="7E35BB8D">
      <w:pPr>
        <w:jc w:val="center"/>
        <w:rPr>
          <w:rFonts w:hint="eastAsia" w:ascii="楷体_GB2312" w:hAnsi="宋体" w:eastAsia="楷体_GB2312"/>
          <w:sz w:val="32"/>
          <w:szCs w:val="32"/>
        </w:rPr>
      </w:pPr>
    </w:p>
    <w:p w14:paraId="6CD54E42">
      <w:pPr>
        <w:pStyle w:val="14"/>
        <w:spacing w:line="240" w:lineRule="auto"/>
        <w:ind w:left="0" w:leftChars="0" w:firstLine="0" w:firstLineChars="0"/>
        <w:rPr>
          <w:rFonts w:hint="eastAsia"/>
          <w:color w:val="000000"/>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5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1"/>
      </w:rPr>
    </w:pPr>
    <w:r>
      <w:fldChar w:fldCharType="begin"/>
    </w:r>
    <w:r>
      <w:rPr>
        <w:rStyle w:val="41"/>
      </w:rPr>
      <w:instrText xml:space="preserve">PAGE  </w:instrText>
    </w:r>
    <w:r>
      <w:fldChar w:fldCharType="separate"/>
    </w:r>
    <w:r>
      <w:rPr>
        <w:rStyle w:val="41"/>
        <w:rFonts w:hint="eastAsia"/>
      </w:rPr>
      <w:t>１５</w:t>
    </w:r>
    <w:r>
      <w:fldChar w:fldCharType="end"/>
    </w:r>
  </w:p>
  <w:p w14:paraId="58452D0B">
    <w:pPr>
      <w:pStyle w:val="22"/>
      <w:framePr w:wrap="around" w:vAnchor="text" w:hAnchor="margin" w:xAlign="center" w:y="1"/>
      <w:rPr>
        <w:rStyle w:val="41"/>
      </w:rPr>
    </w:pPr>
  </w:p>
  <w:p w14:paraId="431206F1">
    <w:pPr>
      <w:pStyle w:val="22"/>
      <w:framePr w:wrap="around" w:vAnchor="text" w:hAnchor="margin" w:xAlign="center" w:y="1"/>
      <w:rPr>
        <w:rStyle w:val="41"/>
      </w:rPr>
    </w:pPr>
  </w:p>
  <w:p w14:paraId="7F1A5854">
    <w:pPr>
      <w:pStyle w:val="22"/>
      <w:framePr w:wrap="around" w:vAnchor="text" w:hAnchor="margin" w:xAlign="center" w:y="1"/>
      <w:rPr>
        <w:rStyle w:val="41"/>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75FEB"/>
    <w:multiLevelType w:val="multilevel"/>
    <w:tmpl w:val="85175FE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2">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176C327"/>
    <w:multiLevelType w:val="multilevel"/>
    <w:tmpl w:val="1176C327"/>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2"/>
      <w:suff w:val="nothing"/>
      <w:lvlText w:val="%1%2　"/>
      <w:lvlJc w:val="left"/>
      <w:pPr>
        <w:ind w:left="0" w:firstLine="0"/>
      </w:pPr>
      <w:rPr>
        <w:rFonts w:hint="eastAsia" w:ascii="黑体" w:hAnsi="Times New Roman" w:eastAsia="黑体"/>
        <w:b w:val="0"/>
        <w:i w:val="0"/>
        <w:sz w:val="21"/>
      </w:rPr>
    </w:lvl>
    <w:lvl w:ilvl="2" w:tentative="0">
      <w:start w:val="1"/>
      <w:numFmt w:val="decimal"/>
      <w:pStyle w:val="71"/>
      <w:suff w:val="nothing"/>
      <w:lvlText w:val="%1%2.%3　"/>
      <w:lvlJc w:val="left"/>
      <w:pPr>
        <w:ind w:left="0" w:firstLine="0"/>
      </w:pPr>
      <w:rPr>
        <w:rFonts w:hint="eastAsia" w:ascii="黑体" w:hAnsi="Times New Roman" w:eastAsia="黑体"/>
        <w:b w:val="0"/>
        <w:i w:val="0"/>
        <w:sz w:val="21"/>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9"/>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2F06767"/>
    <w:rsid w:val="050607A7"/>
    <w:rsid w:val="057E3B4E"/>
    <w:rsid w:val="068F6878"/>
    <w:rsid w:val="06C11B21"/>
    <w:rsid w:val="06E41635"/>
    <w:rsid w:val="07197A92"/>
    <w:rsid w:val="080F617D"/>
    <w:rsid w:val="08CA6BE0"/>
    <w:rsid w:val="09C9133B"/>
    <w:rsid w:val="0A55389A"/>
    <w:rsid w:val="0A6762EA"/>
    <w:rsid w:val="0C0D693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D22FF6"/>
    <w:rsid w:val="240716E7"/>
    <w:rsid w:val="240F6819"/>
    <w:rsid w:val="24CA5405"/>
    <w:rsid w:val="25206941"/>
    <w:rsid w:val="25855239"/>
    <w:rsid w:val="2674359C"/>
    <w:rsid w:val="26944A99"/>
    <w:rsid w:val="26B7425D"/>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8CA6AD2"/>
    <w:rsid w:val="3BC4730F"/>
    <w:rsid w:val="3C2F3EC7"/>
    <w:rsid w:val="3CF541DE"/>
    <w:rsid w:val="3D605C10"/>
    <w:rsid w:val="3D651234"/>
    <w:rsid w:val="3D672EC9"/>
    <w:rsid w:val="3D6B66E0"/>
    <w:rsid w:val="3EA51341"/>
    <w:rsid w:val="3F46501C"/>
    <w:rsid w:val="3F79665C"/>
    <w:rsid w:val="3F9A37DB"/>
    <w:rsid w:val="3FAD72CE"/>
    <w:rsid w:val="3FB42CDB"/>
    <w:rsid w:val="400D2775"/>
    <w:rsid w:val="446B6AA0"/>
    <w:rsid w:val="468B4FF2"/>
    <w:rsid w:val="475A0A6D"/>
    <w:rsid w:val="48AF15AB"/>
    <w:rsid w:val="496811F0"/>
    <w:rsid w:val="4AEB103D"/>
    <w:rsid w:val="4C7B131E"/>
    <w:rsid w:val="4C9A0776"/>
    <w:rsid w:val="4CB505D7"/>
    <w:rsid w:val="4D5631C6"/>
    <w:rsid w:val="4D976118"/>
    <w:rsid w:val="4EEB2C7C"/>
    <w:rsid w:val="4EED3516"/>
    <w:rsid w:val="4F0900C6"/>
    <w:rsid w:val="4FA63FFE"/>
    <w:rsid w:val="512C69BD"/>
    <w:rsid w:val="51960AA2"/>
    <w:rsid w:val="52D25E3E"/>
    <w:rsid w:val="53DE39E0"/>
    <w:rsid w:val="53E3685D"/>
    <w:rsid w:val="54265E6D"/>
    <w:rsid w:val="5466256A"/>
    <w:rsid w:val="54871924"/>
    <w:rsid w:val="54EB57C7"/>
    <w:rsid w:val="56620F95"/>
    <w:rsid w:val="57312019"/>
    <w:rsid w:val="575D683F"/>
    <w:rsid w:val="58451934"/>
    <w:rsid w:val="588772A5"/>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7"/>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8">
    <w:name w:val="Default Paragraph Font"/>
    <w:link w:val="39"/>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48"/>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customStyle="1" w:styleId="15">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Char1 Char Char Char"/>
    <w:basedOn w:val="1"/>
    <w:link w:val="38"/>
    <w:qFormat/>
    <w:uiPriority w:val="0"/>
  </w:style>
  <w:style w:type="character" w:styleId="40">
    <w:name w:val="Strong"/>
    <w:basedOn w:val="38"/>
    <w:qFormat/>
    <w:uiPriority w:val="0"/>
    <w:rPr>
      <w:b/>
    </w:rPr>
  </w:style>
  <w:style w:type="character" w:styleId="41">
    <w:name w:val="page number"/>
    <w:basedOn w:val="38"/>
    <w:qFormat/>
    <w:uiPriority w:val="0"/>
  </w:style>
  <w:style w:type="character" w:styleId="42">
    <w:name w:val="Emphasis"/>
    <w:basedOn w:val="38"/>
    <w:qFormat/>
    <w:uiPriority w:val="0"/>
    <w:rPr>
      <w:i/>
    </w:rPr>
  </w:style>
  <w:style w:type="character" w:styleId="43">
    <w:name w:val="line number"/>
    <w:basedOn w:val="38"/>
    <w:qFormat/>
    <w:uiPriority w:val="0"/>
  </w:style>
  <w:style w:type="character" w:styleId="44">
    <w:name w:val="Hyperlink"/>
    <w:basedOn w:val="38"/>
    <w:qFormat/>
    <w:uiPriority w:val="0"/>
    <w:rPr>
      <w:color w:val="000F80"/>
      <w:u w:val="none"/>
    </w:rPr>
  </w:style>
  <w:style w:type="paragraph" w:customStyle="1" w:styleId="45">
    <w:name w:val="Char Char Char Char"/>
    <w:basedOn w:val="11"/>
    <w:link w:val="38"/>
    <w:qFormat/>
    <w:uiPriority w:val="0"/>
    <w:pPr>
      <w:adjustRightInd w:val="0"/>
      <w:snapToGrid w:val="0"/>
      <w:spacing w:line="360" w:lineRule="auto"/>
    </w:pPr>
    <w:rPr>
      <w:rFonts w:ascii="Tahoma" w:hAnsi="Tahoma"/>
      <w:sz w:val="24"/>
      <w:szCs w:val="24"/>
    </w:rPr>
  </w:style>
  <w:style w:type="paragraph" w:customStyle="1" w:styleId="46">
    <w:name w:val="正文文本缩进 21"/>
    <w:basedOn w:val="1"/>
    <w:qFormat/>
    <w:uiPriority w:val="0"/>
    <w:pPr>
      <w:spacing w:line="520" w:lineRule="exact"/>
      <w:ind w:firstLine="560"/>
    </w:pPr>
    <w:rPr>
      <w:rFonts w:ascii="楷体_GB2312" w:eastAsia="楷体_GB2312"/>
      <w:sz w:val="28"/>
      <w:szCs w:val="28"/>
    </w:rPr>
  </w:style>
  <w:style w:type="character" w:customStyle="1" w:styleId="47">
    <w:name w:val="标题 3 字符"/>
    <w:link w:val="4"/>
    <w:qFormat/>
    <w:uiPriority w:val="0"/>
    <w:rPr>
      <w:b/>
      <w:sz w:val="32"/>
    </w:rPr>
  </w:style>
  <w:style w:type="character" w:customStyle="1" w:styleId="48">
    <w:name w:val=" Char Char"/>
    <w:link w:val="9"/>
    <w:qFormat/>
    <w:locked/>
    <w:uiPriority w:val="0"/>
    <w:rPr>
      <w:rFonts w:eastAsia="宋体"/>
      <w:kern w:val="2"/>
      <w:sz w:val="21"/>
      <w:lang w:val="en-US" w:eastAsia="zh-CN" w:bidi="ar-SA"/>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NormalCharacter"/>
    <w:semiHidden/>
    <w:qFormat/>
    <w:uiPriority w:val="0"/>
    <w:rPr>
      <w:kern w:val="2"/>
      <w:sz w:val="21"/>
      <w:lang w:val="en-US" w:eastAsia="zh-CN" w:bidi="ar-SA"/>
    </w:rPr>
  </w:style>
  <w:style w:type="character" w:customStyle="1" w:styleId="51">
    <w:name w:val="font11"/>
    <w:basedOn w:val="38"/>
    <w:qFormat/>
    <w:uiPriority w:val="0"/>
    <w:rPr>
      <w:rFonts w:hint="eastAsia" w:ascii="仿宋" w:hAnsi="仿宋" w:eastAsia="仿宋" w:cs="仿宋"/>
      <w:color w:val="000000"/>
      <w:sz w:val="24"/>
      <w:szCs w:val="24"/>
      <w:u w:val="none"/>
    </w:rPr>
  </w:style>
  <w:style w:type="character" w:customStyle="1" w:styleId="52">
    <w:name w:val="font71"/>
    <w:basedOn w:val="38"/>
    <w:qFormat/>
    <w:uiPriority w:val="0"/>
    <w:rPr>
      <w:rFonts w:hint="default" w:ascii="Arial" w:hAnsi="Arial" w:cs="Arial"/>
      <w:color w:val="000000"/>
      <w:sz w:val="20"/>
      <w:szCs w:val="20"/>
      <w:u w:val="none"/>
    </w:rPr>
  </w:style>
  <w:style w:type="character" w:customStyle="1" w:styleId="53">
    <w:name w:val="15"/>
    <w:basedOn w:val="38"/>
    <w:qFormat/>
    <w:uiPriority w:val="0"/>
    <w:rPr>
      <w:rFonts w:hint="default" w:ascii="Calibri" w:hAnsi="Calibri"/>
      <w:color w:val="CC0000"/>
    </w:rPr>
  </w:style>
  <w:style w:type="character" w:customStyle="1" w:styleId="54">
    <w:name w:val="font81"/>
    <w:basedOn w:val="38"/>
    <w:qFormat/>
    <w:uiPriority w:val="0"/>
    <w:rPr>
      <w:rFonts w:hint="eastAsia" w:ascii="宋体" w:hAnsi="宋体" w:eastAsia="宋体" w:cs="宋体"/>
      <w:color w:val="000000"/>
      <w:sz w:val="21"/>
      <w:szCs w:val="21"/>
      <w:u w:val="none"/>
    </w:rPr>
  </w:style>
  <w:style w:type="character" w:customStyle="1" w:styleId="55">
    <w:name w:val="font41"/>
    <w:basedOn w:val="38"/>
    <w:qFormat/>
    <w:uiPriority w:val="0"/>
    <w:rPr>
      <w:rFonts w:ascii="Segoe UI Light" w:hAnsi="Segoe UI Light" w:eastAsia="Segoe UI Light" w:cs="Segoe UI Light"/>
      <w:b/>
      <w:color w:val="000000"/>
      <w:sz w:val="28"/>
      <w:szCs w:val="28"/>
      <w:u w:val="none"/>
    </w:rPr>
  </w:style>
  <w:style w:type="character" w:customStyle="1" w:styleId="56">
    <w:name w:val="def"/>
    <w:basedOn w:val="38"/>
    <w:qFormat/>
    <w:uiPriority w:val="0"/>
    <w:rPr>
      <w:rFonts w:cs="Times New Roman"/>
    </w:rPr>
  </w:style>
  <w:style w:type="character" w:customStyle="1" w:styleId="57">
    <w:name w:val="a09"/>
    <w:basedOn w:val="38"/>
    <w:qFormat/>
    <w:uiPriority w:val="0"/>
  </w:style>
  <w:style w:type="character" w:customStyle="1" w:styleId="58">
    <w:name w:val="font61"/>
    <w:basedOn w:val="38"/>
    <w:qFormat/>
    <w:uiPriority w:val="0"/>
    <w:rPr>
      <w:rFonts w:hint="default" w:ascii="Calibri" w:hAnsi="Calibri" w:cs="Calibri"/>
      <w:b/>
      <w:color w:val="000000"/>
      <w:sz w:val="28"/>
      <w:szCs w:val="28"/>
      <w:u w:val="none"/>
    </w:rPr>
  </w:style>
  <w:style w:type="character" w:customStyle="1" w:styleId="59">
    <w:name w:val="医疗商务网www.ylsw.netlfr9rhmufv4x2wl8g0"/>
    <w:basedOn w:val="38"/>
    <w:qFormat/>
    <w:uiPriority w:val="0"/>
  </w:style>
  <w:style w:type="character" w:customStyle="1" w:styleId="60">
    <w:name w:val="font51"/>
    <w:basedOn w:val="38"/>
    <w:qFormat/>
    <w:uiPriority w:val="0"/>
    <w:rPr>
      <w:rFonts w:hint="eastAsia" w:ascii="宋体" w:hAnsi="宋体" w:eastAsia="宋体" w:cs="宋体"/>
      <w:color w:val="000000"/>
      <w:sz w:val="20"/>
      <w:szCs w:val="20"/>
      <w:u w:val="none"/>
    </w:rPr>
  </w:style>
  <w:style w:type="character" w:customStyle="1" w:styleId="61">
    <w:name w:val="font01"/>
    <w:basedOn w:val="38"/>
    <w:qFormat/>
    <w:uiPriority w:val="0"/>
    <w:rPr>
      <w:rFonts w:hint="eastAsia" w:ascii="华文中宋" w:hAnsi="华文中宋" w:eastAsia="华文中宋"/>
      <w:color w:val="000000"/>
      <w:sz w:val="28"/>
      <w:szCs w:val="28"/>
      <w:u w:val="none"/>
      <w:vertAlign w:val="superscript"/>
    </w:rPr>
  </w:style>
  <w:style w:type="character" w:customStyle="1" w:styleId="62">
    <w:name w:val="font31"/>
    <w:basedOn w:val="38"/>
    <w:qFormat/>
    <w:uiPriority w:val="0"/>
    <w:rPr>
      <w:rFonts w:hint="eastAsia" w:ascii="仿宋" w:hAnsi="仿宋" w:eastAsia="仿宋" w:cs="仿宋"/>
      <w:color w:val="FF0000"/>
      <w:sz w:val="24"/>
      <w:szCs w:val="24"/>
      <w:u w:val="none"/>
    </w:rPr>
  </w:style>
  <w:style w:type="character" w:customStyle="1" w:styleId="63">
    <w:name w:val="font21"/>
    <w:basedOn w:val="38"/>
    <w:qFormat/>
    <w:uiPriority w:val="0"/>
    <w:rPr>
      <w:rFonts w:hint="eastAsia" w:ascii="华文中宋" w:hAnsi="华文中宋" w:eastAsia="华文中宋"/>
      <w:color w:val="000000"/>
      <w:sz w:val="28"/>
      <w:szCs w:val="28"/>
      <w:u w:val="none"/>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List Paragraph1"/>
    <w:basedOn w:val="1"/>
    <w:qFormat/>
    <w:uiPriority w:val="0"/>
    <w:pPr>
      <w:ind w:firstLine="420" w:firstLineChars="200"/>
    </w:pPr>
    <w:rPr>
      <w:rFonts w:ascii="Calibri" w:hAnsi="Calibri"/>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自定义   表格"/>
    <w:basedOn w:val="1"/>
    <w:qFormat/>
    <w:uiPriority w:val="0"/>
    <w:pPr>
      <w:jc w:val="center"/>
    </w:pPr>
  </w:style>
  <w:style w:type="paragraph" w:customStyle="1" w:styleId="68">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二级条标题"/>
    <w:basedOn w:val="71"/>
    <w:next w:val="49"/>
    <w:qFormat/>
    <w:uiPriority w:val="0"/>
    <w:pPr>
      <w:numPr>
        <w:ilvl w:val="3"/>
        <w:numId w:val="1"/>
      </w:numPr>
      <w:outlineLvl w:val="3"/>
    </w:pPr>
  </w:style>
  <w:style w:type="paragraph" w:customStyle="1" w:styleId="71">
    <w:name w:val="一级条标题"/>
    <w:basedOn w:val="72"/>
    <w:next w:val="49"/>
    <w:qFormat/>
    <w:uiPriority w:val="0"/>
    <w:pPr>
      <w:numPr>
        <w:ilvl w:val="2"/>
        <w:numId w:val="1"/>
      </w:numPr>
      <w:spacing w:before="0" w:beforeLines="0" w:after="0" w:afterLines="0"/>
      <w:outlineLvl w:val="2"/>
    </w:pPr>
  </w:style>
  <w:style w:type="paragraph" w:customStyle="1" w:styleId="72">
    <w:name w:val="章标题"/>
    <w:next w:val="4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3">
    <w:name w:val="_Style 1"/>
    <w:basedOn w:val="1"/>
    <w:qFormat/>
    <w:uiPriority w:val="0"/>
    <w:pPr>
      <w:ind w:firstLine="420" w:firstLineChars="200"/>
    </w:pPr>
    <w:rPr>
      <w:rFonts w:ascii="Calibri" w:hAnsi="Calibri"/>
      <w:szCs w:val="22"/>
    </w:rPr>
  </w:style>
  <w:style w:type="paragraph" w:customStyle="1" w:styleId="74">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5">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6">
    <w:name w:val="Char"/>
    <w:basedOn w:val="1"/>
    <w:qFormat/>
    <w:uiPriority w:val="0"/>
    <w:rPr>
      <w:rFonts w:ascii="Tahoma" w:hAnsi="Tahoma"/>
      <w:sz w:val="24"/>
    </w:rPr>
  </w:style>
  <w:style w:type="paragraph" w:customStyle="1" w:styleId="77">
    <w:name w:val="简单回函地址"/>
    <w:basedOn w:val="1"/>
    <w:qFormat/>
    <w:uiPriority w:val="0"/>
  </w:style>
  <w:style w:type="paragraph" w:customStyle="1" w:styleId="78">
    <w:name w:val=" Char"/>
    <w:basedOn w:val="1"/>
    <w:qFormat/>
    <w:uiPriority w:val="0"/>
    <w:pPr>
      <w:tabs>
        <w:tab w:val="left" w:pos="360"/>
      </w:tabs>
    </w:pPr>
    <w:rPr>
      <w:sz w:val="24"/>
      <w:szCs w:val="24"/>
    </w:rPr>
  </w:style>
  <w:style w:type="paragraph" w:customStyle="1" w:styleId="79">
    <w:name w:val="批注框文本 Char Char"/>
    <w:basedOn w:val="1"/>
    <w:qFormat/>
    <w:uiPriority w:val="0"/>
    <w:rPr>
      <w:sz w:val="18"/>
    </w:rPr>
  </w:style>
  <w:style w:type="paragraph" w:customStyle="1" w:styleId="80">
    <w:name w:val="彩色列表 - 强调文字颜色 11"/>
    <w:basedOn w:val="1"/>
    <w:qFormat/>
    <w:uiPriority w:val="0"/>
    <w:pPr>
      <w:ind w:firstLine="420" w:firstLineChars="200"/>
    </w:pPr>
    <w:rPr>
      <w:szCs w:val="24"/>
    </w:rPr>
  </w:style>
  <w:style w:type="paragraph" w:customStyle="1" w:styleId="81">
    <w:name w:val="ecxmsonormal"/>
    <w:basedOn w:val="1"/>
    <w:qFormat/>
    <w:uiPriority w:val="0"/>
    <w:pPr>
      <w:widowControl/>
      <w:spacing w:after="324"/>
      <w:jc w:val="left"/>
    </w:pPr>
    <w:rPr>
      <w:rFonts w:ascii="宋体" w:hAnsi="宋体" w:cs="宋体"/>
      <w:kern w:val="0"/>
      <w:sz w:val="24"/>
      <w:szCs w:val="24"/>
    </w:rPr>
  </w:style>
  <w:style w:type="paragraph" w:customStyle="1" w:styleId="82">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列出段落"/>
    <w:basedOn w:val="1"/>
    <w:qFormat/>
    <w:uiPriority w:val="0"/>
    <w:pPr>
      <w:ind w:firstLine="420" w:firstLineChars="200"/>
    </w:pPr>
    <w:rPr>
      <w:rFonts w:ascii="Calibri" w:hAnsi="Calibri"/>
      <w:szCs w:val="22"/>
    </w:rPr>
  </w:style>
  <w:style w:type="paragraph" w:customStyle="1" w:styleId="85">
    <w:name w:val="List Paragraph"/>
    <w:basedOn w:val="1"/>
    <w:qFormat/>
    <w:uiPriority w:val="0"/>
    <w:pPr>
      <w:ind w:firstLine="420" w:firstLineChars="200"/>
    </w:pPr>
    <w:rPr>
      <w:rFonts w:ascii="Calibri" w:hAnsi="Calibri"/>
      <w:szCs w:val="22"/>
    </w:rPr>
  </w:style>
  <w:style w:type="paragraph" w:customStyle="1" w:styleId="86">
    <w:name w:val="列出段落1"/>
    <w:basedOn w:val="1"/>
    <w:qFormat/>
    <w:uiPriority w:val="0"/>
    <w:pPr>
      <w:ind w:firstLine="420" w:firstLineChars="200"/>
    </w:pPr>
    <w:rPr>
      <w:rFonts w:ascii="Calibri" w:hAnsi="Calibri" w:cs="宋体"/>
      <w:szCs w:val="21"/>
    </w:rPr>
  </w:style>
  <w:style w:type="paragraph" w:customStyle="1" w:styleId="87">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88">
    <w:name w:val="正文序号 1"/>
    <w:basedOn w:val="1"/>
    <w:qFormat/>
    <w:uiPriority w:val="0"/>
    <w:pPr>
      <w:spacing w:before="60"/>
    </w:pPr>
    <w:rPr>
      <w:szCs w:val="24"/>
    </w:rPr>
  </w:style>
  <w:style w:type="paragraph" w:customStyle="1" w:styleId="89">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PP 行"/>
    <w:basedOn w:val="24"/>
    <w:qFormat/>
    <w:uiPriority w:val="0"/>
  </w:style>
  <w:style w:type="paragraph" w:customStyle="1" w:styleId="91">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2">
    <w:name w:val="列出段落2"/>
    <w:basedOn w:val="1"/>
    <w:unhideWhenUsed/>
    <w:qFormat/>
    <w:uiPriority w:val="34"/>
    <w:pPr>
      <w:ind w:firstLine="420" w:firstLineChars="200"/>
    </w:p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101"/>
    <w:basedOn w:val="38"/>
    <w:qFormat/>
    <w:uiPriority w:val="0"/>
    <w:rPr>
      <w:rFonts w:hint="eastAsia" w:ascii="宋体" w:hAnsi="宋体" w:eastAsia="宋体" w:cs="宋体"/>
      <w:b/>
      <w:bCs/>
      <w:color w:val="000000"/>
      <w:sz w:val="20"/>
      <w:szCs w:val="20"/>
      <w:u w:val="none"/>
    </w:rPr>
  </w:style>
  <w:style w:type="paragraph" w:styleId="9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Table Paragraph"/>
    <w:basedOn w:val="1"/>
    <w:qFormat/>
    <w:uiPriority w:val="1"/>
    <w:pPr>
      <w:autoSpaceDE w:val="0"/>
      <w:autoSpaceDN w:val="0"/>
      <w:jc w:val="left"/>
    </w:pPr>
    <w:rPr>
      <w:rFonts w:ascii="宋体" w:hAnsi="宋体" w:cs="宋体"/>
      <w:kern w:val="0"/>
      <w:sz w:val="22"/>
      <w:lang w:eastAsia="en-US"/>
    </w:rPr>
  </w:style>
  <w:style w:type="paragraph" w:customStyle="1" w:styleId="97">
    <w:name w:val="Table Text"/>
    <w:basedOn w:val="1"/>
    <w:semiHidden/>
    <w:qFormat/>
    <w:uiPriority w:val="0"/>
    <w:rPr>
      <w:rFonts w:ascii="等线" w:hAnsi="等线" w:eastAsia="等线" w:cs="等线"/>
      <w:sz w:val="19"/>
      <w:szCs w:val="19"/>
      <w:lang w:val="en-US" w:eastAsia="en-US" w:bidi="ar-SA"/>
    </w:rPr>
  </w:style>
  <w:style w:type="paragraph" w:customStyle="1" w:styleId="98">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99">
    <w:name w:val="_正文样式11"/>
    <w:basedOn w:val="100"/>
    <w:qFormat/>
    <w:uiPriority w:val="0"/>
    <w:pPr>
      <w:adjustRightInd w:val="0"/>
      <w:spacing w:before="0" w:beforeLines="0"/>
      <w:ind w:left="560" w:leftChars="200" w:firstLine="0" w:firstLineChars="0"/>
      <w:contextualSpacing/>
    </w:pPr>
    <w:rPr>
      <w:rFonts w:ascii="仿宋" w:hAnsi="仿宋"/>
    </w:rPr>
  </w:style>
  <w:style w:type="paragraph" w:customStyle="1" w:styleId="100">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1">
    <w:name w:val="_正文列表111"/>
    <w:basedOn w:val="100"/>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37</Pages>
  <Words>9943</Words>
  <Characters>10609</Characters>
  <Lines>99</Lines>
  <Paragraphs>27</Paragraphs>
  <TotalTime>5</TotalTime>
  <ScaleCrop>false</ScaleCrop>
  <LinksUpToDate>false</LinksUpToDate>
  <CharactersWithSpaces>11454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2025-11-11T01:31:47Z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218015841_btnclosed</vt:lpwstr>
  </property>
  <property fmtid="{D5CDD505-2E9C-101B-9397-08002B2CF9AE}" pid="4" name="ICV">
    <vt:lpwstr>6089C62F46824479B83863D5D5C1E051_13</vt:lpwstr>
  </property>
  <property fmtid="{D5CDD505-2E9C-101B-9397-08002B2CF9AE}" pid="5" name="KSOTemplateDocerSaveRecord">
    <vt:lpwstr>eyJoZGlkIjoiNDhmMjE2MzdlYjRkNGJkZWZkNGEzMGUwMzE0NTZhMjIiLCJ1c2VySWQiOiIyMTgwMTU4NDEifQ==</vt:lpwstr>
  </property>
</Properties>
</file>