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565DA">
      <w:pPr>
        <w:spacing w:line="560" w:lineRule="exact"/>
        <w:jc w:val="center"/>
        <w:rPr>
          <w:rFonts w:ascii="黑体" w:hAnsi="黑体" w:eastAsia="黑体"/>
          <w:sz w:val="44"/>
          <w:szCs w:val="44"/>
        </w:rPr>
      </w:pPr>
    </w:p>
    <w:p w14:paraId="4A03FD2A">
      <w:pPr>
        <w:spacing w:line="560" w:lineRule="exact"/>
        <w:jc w:val="center"/>
        <w:rPr>
          <w:rFonts w:ascii="黑体" w:hAnsi="黑体" w:eastAsia="黑体"/>
          <w:sz w:val="44"/>
          <w:szCs w:val="44"/>
        </w:rPr>
      </w:pPr>
    </w:p>
    <w:p w14:paraId="124EF076">
      <w:pPr>
        <w:spacing w:line="560" w:lineRule="exact"/>
        <w:jc w:val="center"/>
        <w:rPr>
          <w:rFonts w:ascii="黑体" w:hAnsi="黑体" w:eastAsia="黑体"/>
          <w:sz w:val="44"/>
          <w:szCs w:val="44"/>
        </w:rPr>
      </w:pPr>
    </w:p>
    <w:p w14:paraId="12896EFE">
      <w:pPr>
        <w:spacing w:line="560" w:lineRule="exact"/>
        <w:jc w:val="center"/>
        <w:rPr>
          <w:rFonts w:ascii="黑体" w:hAnsi="黑体" w:eastAsia="黑体"/>
          <w:sz w:val="44"/>
          <w:szCs w:val="44"/>
        </w:rPr>
      </w:pPr>
    </w:p>
    <w:p w14:paraId="77627EE1">
      <w:pPr>
        <w:spacing w:line="560" w:lineRule="exact"/>
        <w:jc w:val="center"/>
        <w:rPr>
          <w:rFonts w:ascii="黑体" w:hAnsi="黑体" w:eastAsia="黑体"/>
          <w:sz w:val="44"/>
          <w:szCs w:val="44"/>
        </w:rPr>
      </w:pPr>
    </w:p>
    <w:p w14:paraId="3A5EFEF6">
      <w:pPr>
        <w:spacing w:line="560" w:lineRule="exact"/>
        <w:jc w:val="center"/>
        <w:rPr>
          <w:rFonts w:eastAsia="方正仿宋_GBK"/>
          <w:sz w:val="32"/>
          <w:szCs w:val="32"/>
        </w:rPr>
      </w:pPr>
      <w:r>
        <w:rPr>
          <w:rFonts w:eastAsia="方正仿宋_GBK"/>
          <w:sz w:val="32"/>
          <w:szCs w:val="32"/>
        </w:rPr>
        <w:t>句残发〔202</w:t>
      </w:r>
      <w:r>
        <w:rPr>
          <w:rFonts w:hint="eastAsia" w:eastAsia="方正仿宋_GBK"/>
          <w:sz w:val="32"/>
          <w:szCs w:val="32"/>
        </w:rPr>
        <w:t>5</w:t>
      </w:r>
      <w:r>
        <w:rPr>
          <w:rFonts w:eastAsia="方正仿宋_GBK"/>
          <w:sz w:val="32"/>
          <w:szCs w:val="32"/>
        </w:rPr>
        <w:t>〕</w:t>
      </w:r>
      <w:r>
        <w:rPr>
          <w:rFonts w:hint="eastAsia"/>
          <w:sz w:val="32"/>
          <w:szCs w:val="32"/>
          <w:lang w:val="en-US" w:eastAsia="zh-CN"/>
        </w:rPr>
        <w:t>21</w:t>
      </w:r>
      <w:r>
        <w:rPr>
          <w:rFonts w:eastAsia="方正仿宋_GBK"/>
          <w:sz w:val="32"/>
          <w:szCs w:val="32"/>
        </w:rPr>
        <w:t>号</w:t>
      </w:r>
      <w:r>
        <w:rPr>
          <w:rFonts w:hint="eastAsia" w:ascii="方正仿宋_GBK" w:hAnsi="微软雅黑" w:cs="微软雅黑"/>
        </w:rPr>
        <w:t xml:space="preserve">                    签发人：高庆松</w:t>
      </w:r>
      <w:bookmarkStart w:id="0" w:name="_GoBack"/>
      <w:bookmarkEnd w:id="0"/>
    </w:p>
    <w:p w14:paraId="1ED4A929">
      <w:pPr>
        <w:spacing w:line="560" w:lineRule="exact"/>
        <w:jc w:val="center"/>
        <w:rPr>
          <w:rFonts w:ascii="仿宋" w:hAnsi="仿宋" w:eastAsia="仿宋"/>
          <w:sz w:val="32"/>
          <w:szCs w:val="32"/>
        </w:rPr>
      </w:pPr>
    </w:p>
    <w:p w14:paraId="5AA11D34">
      <w:pPr>
        <w:spacing w:line="560" w:lineRule="exact"/>
        <w:jc w:val="center"/>
        <w:rPr>
          <w:rFonts w:ascii="方正小标宋_GBK" w:hAnsi="仿宋" w:eastAsia="方正小标宋_GBK"/>
          <w:sz w:val="44"/>
          <w:szCs w:val="44"/>
        </w:rPr>
      </w:pPr>
    </w:p>
    <w:p w14:paraId="2E9CC2A0">
      <w:pPr>
        <w:spacing w:line="560" w:lineRule="exact"/>
        <w:jc w:val="center"/>
        <w:rPr>
          <w:rFonts w:eastAsia="方正小标宋_GBK" w:cs="Times New Roman"/>
          <w:sz w:val="44"/>
          <w:szCs w:val="44"/>
        </w:rPr>
      </w:pPr>
      <w:r>
        <w:rPr>
          <w:rFonts w:eastAsia="方正小标宋_GBK" w:cs="Times New Roman"/>
          <w:sz w:val="44"/>
          <w:szCs w:val="44"/>
        </w:rPr>
        <w:t>市残联202</w:t>
      </w:r>
      <w:r>
        <w:rPr>
          <w:rFonts w:hint="eastAsia" w:eastAsia="方正小标宋_GBK" w:cs="Times New Roman"/>
          <w:sz w:val="44"/>
          <w:szCs w:val="44"/>
        </w:rPr>
        <w:t>5</w:t>
      </w:r>
      <w:r>
        <w:rPr>
          <w:rFonts w:eastAsia="方正小标宋_GBK" w:cs="Times New Roman"/>
          <w:sz w:val="44"/>
          <w:szCs w:val="44"/>
        </w:rPr>
        <w:t>年度法治</w:t>
      </w:r>
      <w:r>
        <w:rPr>
          <w:rFonts w:hint="eastAsia" w:eastAsia="方正小标宋_GBK" w:cs="Times New Roman"/>
          <w:sz w:val="44"/>
          <w:szCs w:val="44"/>
        </w:rPr>
        <w:t>(</w:t>
      </w:r>
      <w:r>
        <w:rPr>
          <w:rFonts w:eastAsia="方正小标宋_GBK" w:cs="Times New Roman"/>
          <w:sz w:val="44"/>
          <w:szCs w:val="44"/>
        </w:rPr>
        <w:t>政府</w:t>
      </w:r>
      <w:r>
        <w:rPr>
          <w:rFonts w:hint="eastAsia" w:eastAsia="方正小标宋_GBK" w:cs="Times New Roman"/>
          <w:sz w:val="44"/>
          <w:szCs w:val="44"/>
        </w:rPr>
        <w:t>)</w:t>
      </w:r>
      <w:r>
        <w:rPr>
          <w:rFonts w:eastAsia="方正小标宋_GBK" w:cs="Times New Roman"/>
          <w:sz w:val="44"/>
          <w:szCs w:val="44"/>
        </w:rPr>
        <w:t>建设工作报告</w:t>
      </w:r>
    </w:p>
    <w:p w14:paraId="03310FFA"/>
    <w:p w14:paraId="348F3A7E">
      <w:pPr>
        <w:spacing w:line="560" w:lineRule="exact"/>
        <w:rPr>
          <w:rFonts w:cs="Times New Roman"/>
        </w:rPr>
      </w:pPr>
      <w:r>
        <w:rPr>
          <w:rFonts w:cs="Times New Roman"/>
        </w:rPr>
        <w:t>市委、市政府：</w:t>
      </w:r>
    </w:p>
    <w:p w14:paraId="560E42E3">
      <w:pPr>
        <w:spacing w:line="560" w:lineRule="exact"/>
        <w:ind w:firstLine="640" w:firstLineChars="200"/>
        <w:rPr>
          <w:rFonts w:cs="Times New Roman"/>
        </w:rPr>
      </w:pPr>
      <w:r>
        <w:rPr>
          <w:rFonts w:cs="Times New Roman"/>
        </w:rPr>
        <w:t>202</w:t>
      </w:r>
      <w:r>
        <w:rPr>
          <w:rFonts w:hint="eastAsia" w:cs="Times New Roman"/>
        </w:rPr>
        <w:t>5</w:t>
      </w:r>
      <w:r>
        <w:rPr>
          <w:rFonts w:cs="Times New Roman"/>
        </w:rPr>
        <w:t>年是</w:t>
      </w:r>
      <w:r>
        <w:rPr>
          <w:rFonts w:hint="eastAsia" w:cs="Times New Roman"/>
        </w:rPr>
        <w:t>“十四五”规划收官之年</w:t>
      </w:r>
      <w:r>
        <w:rPr>
          <w:rFonts w:cs="Times New Roman"/>
        </w:rPr>
        <w:t>，也是</w:t>
      </w:r>
      <w:r>
        <w:rPr>
          <w:rFonts w:hint="eastAsia" w:cs="Times New Roman"/>
        </w:rPr>
        <w:t>“十五五”规划谋篇布局之年，更是全面落实“八五”普法规划的攻坚之年</w:t>
      </w:r>
      <w:r>
        <w:rPr>
          <w:rFonts w:cs="Times New Roman"/>
        </w:rPr>
        <w:t>。市残联普法依法治理工作坚持以习近平新时代中国特色社会主义思想为指导，全面贯彻落实党的二十大、二十届</w:t>
      </w:r>
      <w:r>
        <w:rPr>
          <w:rFonts w:hint="eastAsia" w:cs="Times New Roman"/>
        </w:rPr>
        <w:t>三</w:t>
      </w:r>
      <w:r>
        <w:rPr>
          <w:rFonts w:cs="Times New Roman"/>
        </w:rPr>
        <w:t>中、</w:t>
      </w:r>
      <w:r>
        <w:rPr>
          <w:rFonts w:hint="eastAsia" w:cs="Times New Roman"/>
        </w:rPr>
        <w:t>四</w:t>
      </w:r>
      <w:r>
        <w:rPr>
          <w:rFonts w:cs="Times New Roman"/>
        </w:rPr>
        <w:t>中全会精神，</w:t>
      </w:r>
      <w:r>
        <w:rPr>
          <w:rFonts w:hint="eastAsia" w:cs="Times New Roman"/>
        </w:rPr>
        <w:t>紧紧围绕市委、市政府工作部署，以保障残疾人合法权益为核心，以提升法治履职能力为关键，扎实推进法治残联建设，在普法宣传、依法履职、权益保障等方面取得阶段性成效。现将本年度法治政府建设情况报告如下：</w:t>
      </w:r>
    </w:p>
    <w:p w14:paraId="68F5C7F8">
      <w:pPr>
        <w:pStyle w:val="6"/>
        <w:widowControl/>
        <w:spacing w:line="560" w:lineRule="exact"/>
        <w:ind w:firstLine="579" w:firstLineChars="181"/>
        <w:rPr>
          <w:rFonts w:eastAsia="方正黑体_GBK"/>
          <w:sz w:val="32"/>
        </w:rPr>
      </w:pPr>
      <w:r>
        <w:rPr>
          <w:rFonts w:eastAsia="方正黑体_GBK"/>
          <w:sz w:val="32"/>
          <w:shd w:val="clear" w:color="auto" w:fill="FFFFFF"/>
        </w:rPr>
        <w:t>一、202</w:t>
      </w:r>
      <w:r>
        <w:rPr>
          <w:rFonts w:hint="eastAsia" w:eastAsia="方正黑体_GBK"/>
          <w:sz w:val="32"/>
          <w:shd w:val="clear" w:color="auto" w:fill="FFFFFF"/>
        </w:rPr>
        <w:t>5</w:t>
      </w:r>
      <w:r>
        <w:rPr>
          <w:rFonts w:eastAsia="方正黑体_GBK"/>
          <w:sz w:val="32"/>
          <w:shd w:val="clear" w:color="auto" w:fill="FFFFFF"/>
        </w:rPr>
        <w:t>年度推进法治政府建设的主要举措和成效</w:t>
      </w:r>
    </w:p>
    <w:p w14:paraId="0B3F2C9C">
      <w:pPr>
        <w:spacing w:line="560" w:lineRule="exact"/>
        <w:ind w:firstLine="480" w:firstLineChars="150"/>
        <w:rPr>
          <w:rFonts w:eastAsia="方正楷体_GBK" w:cs="Times New Roman"/>
        </w:rPr>
      </w:pPr>
      <w:r>
        <w:rPr>
          <w:rFonts w:hint="eastAsia" w:eastAsia="方正楷体_GBK" w:cs="Times New Roman"/>
        </w:rPr>
        <w:t>（一）强化政治引领，筑牢法治建设思想根基</w:t>
      </w:r>
    </w:p>
    <w:p w14:paraId="34390FAD">
      <w:pPr>
        <w:spacing w:line="560" w:lineRule="exact"/>
        <w:ind w:firstLine="643" w:firstLineChars="200"/>
        <w:rPr>
          <w:rFonts w:cs="Times New Roman"/>
        </w:rPr>
      </w:pPr>
      <w:r>
        <w:rPr>
          <w:rFonts w:hint="eastAsia" w:cs="Times New Roman"/>
          <w:b/>
        </w:rPr>
        <w:t>一是深化习近平法治思想学习教育。</w:t>
      </w:r>
      <w:r>
        <w:rPr>
          <w:rFonts w:hint="eastAsia" w:cs="Times New Roman"/>
        </w:rPr>
        <w:t>将习近平法治思想作为党组理论学习中心组学习重点、干部职工必修课，严格落实领导干部应知应会党内法规和国家法律清单制度。通过专题研讨、专家讲座、线上学习平台等多种形式，全年多次组织集中学习，开展专题研讨，实现干部职工学法全覆盖，推动法治思想入脑入心，引导全体人员坚定法治信仰、提升法治素养。</w:t>
      </w:r>
      <w:r>
        <w:rPr>
          <w:rFonts w:hint="eastAsia" w:cs="Times New Roman"/>
          <w:b/>
        </w:rPr>
        <w:t>二是压实法治建设主体责任。</w:t>
      </w:r>
      <w:r>
        <w:rPr>
          <w:rFonts w:hint="eastAsia" w:cs="Times New Roman"/>
        </w:rPr>
        <w:t>成立由党组书记、理事长任组长的法治建设工作领导小组，将法治政府建设纳入年度工作总体规划，召开专题会议研究部署法治建设重点任务，明确责任分工、细化推进举措。党组书记严格履行法治建设第一责任人职责，带头学法用法、带头依法决策，推动法治建设与残疾人事业深度融合。</w:t>
      </w:r>
      <w:r>
        <w:rPr>
          <w:rFonts w:hint="eastAsia" w:cs="Times New Roman"/>
          <w:b/>
        </w:rPr>
        <w:t>三是加强党内法规学习宣传。</w:t>
      </w:r>
      <w:r>
        <w:rPr>
          <w:rFonts w:hint="eastAsia" w:cs="Times New Roman"/>
        </w:rPr>
        <w:t>以党章、《中国共产党纪律处分条例》等为重点，结合党风廉政建设工作，将党内法规学习融入党支部“三会一课”、主题党日活动，引导党员干部自觉尊崇党章、严守党纪，推动全面从严治党向纵深发展，为法治政府建设提供坚强政治保障。</w:t>
      </w:r>
    </w:p>
    <w:p w14:paraId="429487C9">
      <w:pPr>
        <w:spacing w:line="560" w:lineRule="exact"/>
        <w:ind w:firstLine="640" w:firstLineChars="200"/>
        <w:rPr>
          <w:rFonts w:eastAsia="方正楷体_GBK" w:cs="Times New Roman"/>
        </w:rPr>
      </w:pPr>
      <w:r>
        <w:rPr>
          <w:rFonts w:eastAsia="方正楷体_GBK" w:cs="Times New Roman"/>
        </w:rPr>
        <w:t>（二）</w:t>
      </w:r>
      <w:r>
        <w:rPr>
          <w:rFonts w:hint="eastAsia" w:eastAsia="方正楷体_GBK" w:cs="Times New Roman"/>
        </w:rPr>
        <w:t>聚焦重点任务，提升法治宣传实效</w:t>
      </w:r>
    </w:p>
    <w:p w14:paraId="08353E6F">
      <w:pPr>
        <w:spacing w:line="560" w:lineRule="exact"/>
        <w:ind w:firstLine="643" w:firstLineChars="200"/>
        <w:rPr>
          <w:rFonts w:cs="Times New Roman"/>
        </w:rPr>
      </w:pPr>
      <w:r>
        <w:rPr>
          <w:rFonts w:hint="eastAsia" w:cs="Times New Roman"/>
          <w:b/>
        </w:rPr>
        <w:t>一是深化重点领域普法宣传。</w:t>
      </w:r>
      <w:r>
        <w:rPr>
          <w:rFonts w:hint="eastAsia" w:cs="Times New Roman"/>
        </w:rPr>
        <w:t>围绕总体国家安全观，结合“4・15”全民国家安全教育日等时间节点，通过线上推送、线下宣讲等形式，宣传《国家安全法》《网络安全法》等法律法规。聚焦残疾人权益保障，深入宣传《中华人民共和国残疾人保障法》《江苏省残疾人保障条例》等涉残法律法规，结合“全国助残日”“国家宪法日”“残疾预防日”等重要节点，开展专题宣传活动，发放宣传资料100余份，现场解答法律咨询30余人次。同时，积极推进镇级残联普法工作，全年各镇、街道、管委会残联共举办包括防诈骗、《民法典》普法在内的普法活动5场，实现普法宣传向基层延伸。</w:t>
      </w:r>
      <w:r>
        <w:rPr>
          <w:rFonts w:hint="eastAsia" w:cs="Times New Roman"/>
          <w:b/>
        </w:rPr>
        <w:t>二是丰富普法活动载体。</w:t>
      </w:r>
      <w:r>
        <w:rPr>
          <w:rFonts w:hint="eastAsia" w:cs="Times New Roman"/>
        </w:rPr>
        <w:t>积极参与全市《中华人民共和国法治宣传教育法》暨民生保障领域专题普法活动，以“接地气、贴民心”的方式，将残疾人权益保障相关法律法规与服务资源送到基层群众身边。活动现场设立“残疾人法律法规宣传”咨询台，工作人员围绕残疾人就业支持、社会保障、权益维护等重点内容，面对面为残疾人解读政策、答疑解惑，详细讲解“残疾人证办理的相关流程手续”“困难残疾人生活补贴的申领条件”等实操性问题，既讲清“有什么政策”，更说明白“该怎么申请”，现场发放《残疾人法律法规》《江苏省无障碍环境建设督导员工作实用手册》等宣传资料50余册。创新普法宣传形式。突破传统横幅、标语等单一宣传模式，打造“线上+线下”立体化普法格局。线上依托“句容残联”微信公众号等平台，定期推送法律法规解读等内容；线下借助爱耳日、全国助残日、残疾预防日、“宪法宣传周”等重要时间节点，利用电子屏循环播放普法宣传视频，实现常态化普法宣传。</w:t>
      </w:r>
    </w:p>
    <w:p w14:paraId="08F23EC4">
      <w:pPr>
        <w:spacing w:line="560" w:lineRule="exact"/>
        <w:ind w:firstLine="640" w:firstLineChars="200"/>
        <w:rPr>
          <w:rFonts w:eastAsia="方正楷体_GBK" w:cs="Times New Roman"/>
        </w:rPr>
      </w:pPr>
      <w:r>
        <w:rPr>
          <w:rFonts w:hint="eastAsia" w:eastAsia="方正楷体_GBK" w:cs="Times New Roman"/>
        </w:rPr>
        <w:t>（三）规范行政行为，提升依法履职水平</w:t>
      </w:r>
    </w:p>
    <w:p w14:paraId="19231B90">
      <w:pPr>
        <w:spacing w:line="560" w:lineRule="exact"/>
        <w:ind w:firstLine="643" w:firstLineChars="200"/>
        <w:rPr>
          <w:rFonts w:cs="Times New Roman"/>
        </w:rPr>
      </w:pPr>
      <w:r>
        <w:rPr>
          <w:rFonts w:hint="eastAsia" w:cs="Times New Roman"/>
          <w:b/>
        </w:rPr>
        <w:t>一是完善制度建设。</w:t>
      </w:r>
      <w:r>
        <w:rPr>
          <w:rFonts w:hint="eastAsia" w:cs="Times New Roman"/>
        </w:rPr>
        <w:t>结合残联工作实际，修订完善《句容市人民政府残疾人工作联席会议制度》《句容市残疾人专门协会联席会</w:t>
      </w:r>
      <w:r>
        <w:rPr>
          <w:rFonts w:hint="eastAsia" w:ascii="方正仿宋_GBK" w:cs="Times New Roman"/>
        </w:rPr>
        <w:t>议制度》《</w:t>
      </w:r>
      <w:r>
        <w:rPr>
          <w:rFonts w:hint="eastAsia" w:ascii="方正仿宋_GBK" w:eastAsia="方正仿宋_GBK"/>
          <w:color w:val="000000"/>
          <w:sz w:val="32"/>
          <w:szCs w:val="32"/>
        </w:rPr>
        <w:t>句容市困难家庭人员白内障复明手术救助暂行办法的通知</w:t>
      </w:r>
      <w:r>
        <w:rPr>
          <w:rFonts w:hint="eastAsia" w:ascii="方正仿宋_GBK"/>
          <w:color w:val="000000"/>
        </w:rPr>
        <w:t>》</w:t>
      </w:r>
      <w:r>
        <w:rPr>
          <w:rFonts w:hint="eastAsia" w:ascii="方正仿宋_GBK" w:cs="Times New Roman"/>
        </w:rPr>
        <w:t>等</w:t>
      </w:r>
      <w:r>
        <w:rPr>
          <w:rFonts w:hint="default" w:ascii="Times New Roman" w:hAnsi="Times New Roman" w:cs="Times New Roman"/>
          <w:lang w:val="en-US" w:eastAsia="zh-CN"/>
        </w:rPr>
        <w:t>3</w:t>
      </w:r>
      <w:r>
        <w:rPr>
          <w:rFonts w:hint="eastAsia" w:ascii="方正仿宋_GBK" w:cs="Times New Roman"/>
        </w:rPr>
        <w:t>项制度，明确决策流程，确保有章可循、有规可依</w:t>
      </w:r>
      <w:r>
        <w:rPr>
          <w:rFonts w:hint="eastAsia" w:cs="Times New Roman"/>
        </w:rPr>
        <w:t>。严格执行文件合法性审查制度，确保文件内容符合法律法规规定。</w:t>
      </w:r>
      <w:r>
        <w:rPr>
          <w:rFonts w:hint="eastAsia" w:cs="Times New Roman"/>
          <w:b/>
        </w:rPr>
        <w:t>二是深化政务公开。</w:t>
      </w:r>
      <w:r>
        <w:rPr>
          <w:rFonts w:hint="eastAsia" w:cs="Times New Roman"/>
        </w:rPr>
        <w:t>坚持以公开为常态，通过</w:t>
      </w:r>
      <w:r>
        <w:rPr>
          <w:rFonts w:hint="eastAsia" w:cs="Times New Roman"/>
          <w:lang w:eastAsia="zh-CN"/>
        </w:rPr>
        <w:t>“句容残联”微信公众号</w:t>
      </w:r>
      <w:r>
        <w:rPr>
          <w:rFonts w:hint="eastAsia" w:cs="Times New Roman"/>
        </w:rPr>
        <w:t>，主动公开按比例安排残疾人就业补贴和超比例奖励、残疾人之家负责人任职、教育补贴等信息10余条，保障群众的知情权、参与权和监督权。优化政务服务流程，推行残疾人证办理“一网通办”“跨省通办”，压缩办理时限30%，提升服务效率和群众满意度。</w:t>
      </w:r>
    </w:p>
    <w:p w14:paraId="02C98B03">
      <w:pPr>
        <w:spacing w:line="560" w:lineRule="exact"/>
        <w:ind w:firstLine="640" w:firstLineChars="200"/>
        <w:rPr>
          <w:rFonts w:eastAsia="方正楷体_GBK" w:cs="Times New Roman"/>
        </w:rPr>
      </w:pPr>
      <w:r>
        <w:rPr>
          <w:rFonts w:hint="eastAsia" w:eastAsia="方正楷体_GBK" w:cs="Times New Roman"/>
        </w:rPr>
        <w:t>（四）健全维权体系，畅通权益保障渠道</w:t>
      </w:r>
    </w:p>
    <w:p w14:paraId="25F29F0B">
      <w:pPr>
        <w:spacing w:line="560" w:lineRule="exact"/>
        <w:ind w:firstLine="643" w:firstLineChars="200"/>
        <w:rPr>
          <w:rFonts w:cs="Times New Roman"/>
        </w:rPr>
      </w:pPr>
      <w:r>
        <w:rPr>
          <w:rFonts w:hint="eastAsia" w:cs="Times New Roman"/>
          <w:b/>
        </w:rPr>
        <w:t>一是完善基层法律救助网络。</w:t>
      </w:r>
      <w:r>
        <w:rPr>
          <w:rFonts w:hint="eastAsia" w:cs="Times New Roman"/>
        </w:rPr>
        <w:t>推进镇“残疾人之家”法律救助点全覆盖建设，在各法律救助点设立维权便民接待窗口，延伸法律援助触角，充实“一小时法律援助服务圈”。镇级残联与当地司法部门、法律服务机构建立“维权接待日”制度，对残疾人申请法律援助案件先行受理并初审，极大方便残疾人就近就便申请法律援助。</w:t>
      </w:r>
      <w:r>
        <w:rPr>
          <w:rFonts w:hint="eastAsia" w:cs="Times New Roman"/>
          <w:b/>
        </w:rPr>
        <w:t>二是畅通多元诉求渠道。</w:t>
      </w:r>
      <w:r>
        <w:rPr>
          <w:rFonts w:hint="eastAsia" w:cs="Times New Roman"/>
        </w:rPr>
        <w:t>整合政府热线、行风热线、山水句容、句容发布等平台资源，安排专人负责处理相关残疾人问题咨询与诉求，确保来电来访及时答复处理。全年累计处理12345政府热线47件，来信来访</w:t>
      </w:r>
      <w:r>
        <w:rPr>
          <w:rFonts w:hint="eastAsia" w:cs="Times New Roman"/>
          <w:lang w:val="en-US" w:eastAsia="zh-CN"/>
        </w:rPr>
        <w:t>23</w:t>
      </w:r>
      <w:r>
        <w:rPr>
          <w:rFonts w:hint="eastAsia" w:cs="Times New Roman"/>
        </w:rPr>
        <w:t>件，依法妥善解决残疾人合理诉求，办结率和满意率均达100%，切实维护残疾人合法权益。</w:t>
      </w:r>
    </w:p>
    <w:p w14:paraId="71476594">
      <w:pPr>
        <w:pStyle w:val="6"/>
        <w:widowControl/>
        <w:spacing w:line="560" w:lineRule="exact"/>
        <w:ind w:firstLine="579" w:firstLineChars="181"/>
        <w:rPr>
          <w:rFonts w:eastAsia="方正黑体_GBK"/>
          <w:sz w:val="32"/>
        </w:rPr>
      </w:pPr>
      <w:r>
        <w:rPr>
          <w:rFonts w:eastAsia="方正黑体_GBK"/>
          <w:sz w:val="32"/>
          <w:shd w:val="clear" w:color="auto" w:fill="FFFFFF"/>
        </w:rPr>
        <w:t>二、202</w:t>
      </w:r>
      <w:r>
        <w:rPr>
          <w:rFonts w:hint="eastAsia" w:eastAsia="方正黑体_GBK"/>
          <w:sz w:val="32"/>
          <w:shd w:val="clear" w:color="auto" w:fill="FFFFFF"/>
        </w:rPr>
        <w:t>5</w:t>
      </w:r>
      <w:r>
        <w:rPr>
          <w:rFonts w:eastAsia="方正黑体_GBK"/>
          <w:sz w:val="32"/>
          <w:shd w:val="clear" w:color="auto" w:fill="FFFFFF"/>
        </w:rPr>
        <w:t>年度党政主要负责人履行推进法治建设第一责任人职责情况</w:t>
      </w:r>
    </w:p>
    <w:p w14:paraId="0D74B91A">
      <w:pPr>
        <w:pStyle w:val="6"/>
        <w:widowControl/>
        <w:spacing w:line="560" w:lineRule="exact"/>
        <w:ind w:firstLine="742" w:firstLineChars="231"/>
        <w:rPr>
          <w:sz w:val="32"/>
        </w:rPr>
      </w:pPr>
      <w:r>
        <w:rPr>
          <w:rFonts w:hint="eastAsia"/>
          <w:b/>
          <w:sz w:val="32"/>
          <w:shd w:val="clear" w:color="auto" w:fill="FFFFFF"/>
        </w:rPr>
        <w:t>一是高位统筹谋划。</w:t>
      </w:r>
      <w:r>
        <w:rPr>
          <w:rFonts w:hint="eastAsia"/>
          <w:sz w:val="32"/>
          <w:shd w:val="clear" w:color="auto" w:fill="FFFFFF"/>
        </w:rPr>
        <w:t>将法治政府建设纳入市残联年度工作要点和党组重要议事日程，召开专题会议研究部署年度法治政府建设工作，明确目标任务、责任分工和推进措施，并按要求做好年度法治政府建设情况报告向社会公开工作，主动接受社会监督。</w:t>
      </w:r>
      <w:r>
        <w:rPr>
          <w:rFonts w:hint="eastAsia"/>
          <w:b/>
          <w:sz w:val="32"/>
          <w:shd w:val="clear" w:color="auto" w:fill="FFFFFF"/>
        </w:rPr>
        <w:t>二是带头学法用法。</w:t>
      </w:r>
      <w:r>
        <w:rPr>
          <w:rFonts w:hint="eastAsia"/>
          <w:sz w:val="32"/>
          <w:shd w:val="clear" w:color="auto" w:fill="FFFFFF"/>
        </w:rPr>
        <w:t>坚持把学法用法作为履职必修课，组织干部职工系统学习《习近平谈治国理政》（第五卷）中宪法相关内容、惠残助残相关法律法规及政策文件，以自身行动带动全体干部职工提升依法行政能力。</w:t>
      </w:r>
      <w:r>
        <w:rPr>
          <w:rFonts w:hint="eastAsia"/>
          <w:b/>
          <w:sz w:val="32"/>
          <w:shd w:val="clear" w:color="auto" w:fill="FFFFFF"/>
        </w:rPr>
        <w:t>三是强化廉政建设。</w:t>
      </w:r>
      <w:r>
        <w:rPr>
          <w:rFonts w:hint="eastAsia"/>
          <w:sz w:val="32"/>
          <w:shd w:val="clear" w:color="auto" w:fill="FFFFFF"/>
        </w:rPr>
        <w:t>深入学习宣传习近平总书记关于全面从严治党的重要论述，组织开展党风廉政建设专题教育活动，教育引导全体党员自觉尊崇、模范执行、坚定捍卫党章党规党纪，筑牢拒腐防变思想防线，为法治政府建设提供纪律保障。</w:t>
      </w:r>
    </w:p>
    <w:p w14:paraId="1AD64273">
      <w:pPr>
        <w:pStyle w:val="6"/>
        <w:widowControl/>
        <w:spacing w:line="560" w:lineRule="exact"/>
        <w:ind w:firstLine="579" w:firstLineChars="181"/>
        <w:rPr>
          <w:rFonts w:eastAsia="方正黑体_GBK"/>
          <w:sz w:val="32"/>
        </w:rPr>
      </w:pPr>
      <w:r>
        <w:rPr>
          <w:rFonts w:eastAsia="方正黑体_GBK"/>
          <w:sz w:val="32"/>
          <w:shd w:val="clear" w:color="auto" w:fill="FFFFFF"/>
        </w:rPr>
        <w:t>三、202</w:t>
      </w:r>
      <w:r>
        <w:rPr>
          <w:rFonts w:hint="eastAsia" w:eastAsia="方正黑体_GBK"/>
          <w:sz w:val="32"/>
          <w:shd w:val="clear" w:color="auto" w:fill="FFFFFF"/>
        </w:rPr>
        <w:t>5</w:t>
      </w:r>
      <w:r>
        <w:rPr>
          <w:rFonts w:eastAsia="方正黑体_GBK"/>
          <w:sz w:val="32"/>
          <w:shd w:val="clear" w:color="auto" w:fill="FFFFFF"/>
        </w:rPr>
        <w:t>年度推进法治政府建设存在的不足</w:t>
      </w:r>
    </w:p>
    <w:p w14:paraId="4EC86565">
      <w:pPr>
        <w:pStyle w:val="6"/>
        <w:widowControl/>
        <w:spacing w:line="560" w:lineRule="exact"/>
        <w:ind w:firstLine="579" w:firstLineChars="181"/>
        <w:rPr>
          <w:sz w:val="32"/>
          <w:shd w:val="clear" w:color="auto" w:fill="FFFFFF"/>
        </w:rPr>
      </w:pPr>
      <w:r>
        <w:rPr>
          <w:rFonts w:hint="eastAsia"/>
          <w:sz w:val="32"/>
          <w:shd w:val="clear" w:color="auto" w:fill="FFFFFF"/>
        </w:rPr>
        <w:t>尽管本年度法治政府建设工作取得了一定成效，但对照新时代法治建设的更高要求和残疾人的实际需求，仍存在一些薄弱环节：</w:t>
      </w:r>
      <w:r>
        <w:rPr>
          <w:rFonts w:hint="eastAsia"/>
          <w:b/>
          <w:sz w:val="32"/>
          <w:shd w:val="clear" w:color="auto" w:fill="FFFFFF"/>
        </w:rPr>
        <w:t>一是普法宣传质效有待提升。</w:t>
      </w:r>
      <w:r>
        <w:rPr>
          <w:rFonts w:hint="eastAsia"/>
          <w:sz w:val="32"/>
          <w:shd w:val="clear" w:color="auto" w:fill="FFFFFF"/>
        </w:rPr>
        <w:t>普法工作仍较多依赖横幅、标语、发放宣传资料等传统形式，互动性、体验性不足，缺乏更具吸引力的创新宣传方式，导致普法工作的针对性和实效性未能充分彰显；部分干部职工主动学法的意识不强，运用法律思维和法律手段解决实际问题的能力有待提高。</w:t>
      </w:r>
      <w:r>
        <w:rPr>
          <w:rFonts w:hint="eastAsia"/>
          <w:b/>
          <w:sz w:val="32"/>
          <w:shd w:val="clear" w:color="auto" w:fill="FFFFFF"/>
        </w:rPr>
        <w:t>二是普法队伍建设亟待加强。</w:t>
      </w:r>
      <w:r>
        <w:rPr>
          <w:rFonts w:hint="eastAsia"/>
          <w:sz w:val="32"/>
          <w:shd w:val="clear" w:color="auto" w:fill="FFFFFF"/>
        </w:rPr>
        <w:t>现有普法工作人员多为兼职，未接受过系统、专业的法律知识培训，自身法律素养和宣传能力有限，开展普法工作时多以照本宣科为主，难以深入解读复杂法律问题，无法充分满足残疾人多样化、专业化的维权需求。</w:t>
      </w:r>
    </w:p>
    <w:p w14:paraId="03BF3870">
      <w:pPr>
        <w:pStyle w:val="6"/>
        <w:widowControl/>
        <w:spacing w:line="560" w:lineRule="exact"/>
        <w:ind w:firstLine="579" w:firstLineChars="181"/>
        <w:rPr>
          <w:rFonts w:eastAsia="方正黑体_GBK"/>
          <w:sz w:val="32"/>
        </w:rPr>
      </w:pPr>
      <w:r>
        <w:rPr>
          <w:rFonts w:eastAsia="方正黑体_GBK"/>
          <w:sz w:val="32"/>
          <w:shd w:val="clear" w:color="auto" w:fill="FFFFFF"/>
        </w:rPr>
        <w:t>四、下一步工作打算</w:t>
      </w:r>
    </w:p>
    <w:p w14:paraId="5551660E">
      <w:pPr>
        <w:ind w:firstLine="640" w:firstLineChars="200"/>
        <w:rPr>
          <w:shd w:val="clear" w:color="auto" w:fill="FFFFFF"/>
        </w:rPr>
      </w:pPr>
      <w:r>
        <w:rPr>
          <w:rFonts w:hint="eastAsia"/>
          <w:shd w:val="clear" w:color="auto" w:fill="FFFFFF"/>
        </w:rPr>
        <w:t>2026年，市残联将持续以建设法治残联为核心目标，坚持全面推进依法行政，进一步提升残联干部队伍法治观念、法律素养，努力建成职能科学、公开公正、廉洁高效的法治型机关。</w:t>
      </w:r>
    </w:p>
    <w:p w14:paraId="42C329C7">
      <w:pPr>
        <w:spacing w:line="560" w:lineRule="exact"/>
        <w:ind w:firstLine="640" w:firstLineChars="200"/>
        <w:rPr>
          <w:rFonts w:eastAsia="方正楷体_GBK" w:cs="Times New Roman"/>
        </w:rPr>
      </w:pPr>
      <w:r>
        <w:rPr>
          <w:rFonts w:hint="eastAsia" w:eastAsia="方正楷体_GBK" w:cs="Times New Roman"/>
        </w:rPr>
        <w:t>（一）强化理论武装，巩固法治建设思想基础</w:t>
      </w:r>
    </w:p>
    <w:p w14:paraId="22823FAB">
      <w:pPr>
        <w:spacing w:line="560" w:lineRule="exact"/>
        <w:ind w:firstLine="640" w:firstLineChars="200"/>
        <w:rPr>
          <w:shd w:val="clear" w:color="auto" w:fill="FFFFFF"/>
        </w:rPr>
      </w:pPr>
      <w:r>
        <w:rPr>
          <w:rFonts w:hint="eastAsia"/>
          <w:shd w:val="clear" w:color="auto" w:fill="FFFFFF"/>
        </w:rPr>
        <w:t>持续深入学习贯彻习近平法治思想，严格按照市委法治办的工作部署，高质量完成各项法治建设任务。健全常态化学法机制，通过专题培训、案例研讨、法治实训等多种形式，不断增强干部职工法治意识和依法办事能力，全面提升市残联依法行政水平。</w:t>
      </w:r>
    </w:p>
    <w:p w14:paraId="0E372294">
      <w:pPr>
        <w:spacing w:line="560" w:lineRule="exact"/>
        <w:ind w:firstLine="640" w:firstLineChars="200"/>
        <w:rPr>
          <w:rFonts w:eastAsia="方正楷体_GBK" w:cs="Times New Roman"/>
        </w:rPr>
      </w:pPr>
      <w:r>
        <w:rPr>
          <w:rFonts w:hint="eastAsia" w:eastAsia="方正楷体_GBK" w:cs="Times New Roman"/>
        </w:rPr>
        <w:t>（二）创新宣传方式，营造良好法治社会氛围</w:t>
      </w:r>
    </w:p>
    <w:p w14:paraId="6D634E3D">
      <w:pPr>
        <w:spacing w:line="560" w:lineRule="exact"/>
        <w:ind w:firstLine="640" w:firstLineChars="200"/>
        <w:rPr>
          <w:shd w:val="clear" w:color="auto" w:fill="FFFFFF"/>
        </w:rPr>
      </w:pPr>
      <w:r>
        <w:rPr>
          <w:rFonts w:hint="eastAsia"/>
          <w:shd w:val="clear" w:color="auto" w:fill="FFFFFF"/>
        </w:rPr>
        <w:t>加大法治宣传工作力度，丰富普法宣传内容和形式，充分利用全国助残日、国家宪法日等重大节日，开展主题鲜明、形式多样的涉残法律法规宣传活动。进一步优化“线上+线下”普法格局，线上拓展短视频答疑等宣传形式，线下增加法治讲座、模拟维权等互动活动，切实增强残疾人及社会公众的法律意识，营造扶残助残、依法护残的良好社会氛围。</w:t>
      </w:r>
    </w:p>
    <w:p w14:paraId="445CF7F9">
      <w:pPr>
        <w:spacing w:line="560" w:lineRule="exact"/>
        <w:ind w:firstLine="640" w:firstLineChars="200"/>
        <w:rPr>
          <w:rFonts w:eastAsia="方正楷体_GBK" w:cs="Times New Roman"/>
        </w:rPr>
      </w:pPr>
      <w:r>
        <w:rPr>
          <w:rFonts w:hint="eastAsia" w:eastAsia="方正楷体_GBK" w:cs="Times New Roman"/>
        </w:rPr>
        <w:t>（三）狠抓工作落实，提升法治建设实际成效</w:t>
      </w:r>
    </w:p>
    <w:p w14:paraId="7643BF8E">
      <w:pPr>
        <w:spacing w:line="560" w:lineRule="exact"/>
        <w:ind w:firstLine="640" w:firstLineChars="200"/>
        <w:rPr>
          <w:rFonts w:hint="eastAsia"/>
          <w:shd w:val="clear" w:color="auto" w:fill="FFFFFF"/>
        </w:rPr>
      </w:pPr>
      <w:r>
        <w:rPr>
          <w:rFonts w:hint="eastAsia"/>
          <w:shd w:val="clear" w:color="auto" w:fill="FFFFFF"/>
        </w:rPr>
        <w:t>严格落实</w:t>
      </w:r>
      <w:r>
        <w:rPr>
          <w:rFonts w:hint="eastAsia"/>
          <w:shd w:val="clear" w:color="auto" w:fill="FFFFFF"/>
          <w:lang w:eastAsia="zh-CN"/>
        </w:rPr>
        <w:t>党组</w:t>
      </w:r>
      <w:r>
        <w:rPr>
          <w:rFonts w:hint="eastAsia"/>
          <w:shd w:val="clear" w:color="auto" w:fill="FFFFFF"/>
        </w:rPr>
        <w:t>主要负责人履行推进法治建设第一责任人职责，健全法治建设工作考核评价机制，确保各项法治建设任务落地见效。持续规范行政行为，完善政务服务流程，不断健全残疾人权益保障体系，畅通诉求表达和维权渠道，切实维护残疾人合法权益，推动我市残疾人事业高质量发展。</w:t>
      </w:r>
    </w:p>
    <w:p w14:paraId="07CCE88D">
      <w:pPr>
        <w:spacing w:line="560" w:lineRule="exact"/>
        <w:ind w:firstLine="640" w:firstLineChars="200"/>
        <w:rPr>
          <w:rFonts w:hint="eastAsia" w:eastAsia="方正仿宋_GBK"/>
          <w:shd w:val="clear" w:color="auto" w:fill="FFFFFF"/>
          <w:lang w:val="en-US" w:eastAsia="zh-CN"/>
        </w:rPr>
      </w:pPr>
      <w:r>
        <w:rPr>
          <w:rFonts w:hint="eastAsia"/>
          <w:shd w:val="clear" w:color="auto" w:fill="FFFFFF"/>
          <w:lang w:val="en-US" w:eastAsia="zh-CN"/>
        </w:rPr>
        <w:t>特此报告。</w:t>
      </w:r>
    </w:p>
    <w:p w14:paraId="2BE4EA53">
      <w:pPr>
        <w:spacing w:line="560" w:lineRule="exact"/>
        <w:ind w:firstLine="5440" w:firstLineChars="1700"/>
      </w:pPr>
    </w:p>
    <w:p w14:paraId="4F272FA3">
      <w:pPr>
        <w:spacing w:line="560" w:lineRule="exact"/>
        <w:ind w:firstLine="5280" w:firstLineChars="1650"/>
      </w:pPr>
      <w:r>
        <w:t>句容市残疾人联合会</w:t>
      </w:r>
    </w:p>
    <w:p w14:paraId="06127CAF">
      <w:pPr>
        <w:pStyle w:val="6"/>
        <w:widowControl/>
        <w:spacing w:line="560" w:lineRule="exact"/>
        <w:ind w:firstLine="420"/>
      </w:pPr>
      <w:r>
        <w:rPr>
          <w:sz w:val="25"/>
          <w:szCs w:val="25"/>
          <w:shd w:val="clear" w:color="auto" w:fill="FFFFFF"/>
        </w:rPr>
        <w:t> </w:t>
      </w:r>
      <w:r>
        <w:rPr>
          <w:rFonts w:hint="eastAsia"/>
          <w:sz w:val="25"/>
          <w:szCs w:val="25"/>
          <w:shd w:val="clear" w:color="auto" w:fill="FFFFFF"/>
        </w:rPr>
        <w:t xml:space="preserve">                                       </w:t>
      </w:r>
      <w:r>
        <w:rPr>
          <w:rFonts w:hint="eastAsia"/>
          <w:sz w:val="32"/>
          <w:shd w:val="clear" w:color="auto" w:fill="FFFFFF"/>
        </w:rPr>
        <w:t>2025年12月16日</w:t>
      </w:r>
    </w:p>
    <w:p w14:paraId="297F57B3">
      <w:pPr>
        <w:ind w:firstLine="5440" w:firstLineChars="1700"/>
      </w:pPr>
    </w:p>
    <w:p w14:paraId="5B032069">
      <w:pPr>
        <w:ind w:firstLine="5440" w:firstLineChars="1700"/>
      </w:pPr>
    </w:p>
    <w:sectPr>
      <w:footerReference r:id="rId3" w:type="default"/>
      <w:pgSz w:w="11906" w:h="16838"/>
      <w:pgMar w:top="2155" w:right="1474" w:bottom="1474"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84553"/>
    </w:sdtPr>
    <w:sdtContent>
      <w:p w14:paraId="0069C41F">
        <w:pPr>
          <w:pStyle w:val="4"/>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6 -</w:t>
        </w:r>
        <w:r>
          <w:rPr>
            <w:rFonts w:asciiTheme="minorEastAsia" w:hAnsiTheme="minorEastAsia" w:eastAsiaTheme="minorEastAsia"/>
            <w:sz w:val="28"/>
            <w:szCs w:val="28"/>
          </w:rPr>
          <w:fldChar w:fldCharType="end"/>
        </w:r>
      </w:p>
    </w:sdtContent>
  </w:sdt>
  <w:p w14:paraId="1D820B5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MGIyZmMwZDFiYzFkNzBmODAzMzhhYTg3ZWM2ZGMifQ=="/>
  </w:docVars>
  <w:rsids>
    <w:rsidRoot w:val="53D519CC"/>
    <w:rsid w:val="002135C0"/>
    <w:rsid w:val="00247FCF"/>
    <w:rsid w:val="00286482"/>
    <w:rsid w:val="003501EC"/>
    <w:rsid w:val="00387ADE"/>
    <w:rsid w:val="00405A0C"/>
    <w:rsid w:val="004E0DBF"/>
    <w:rsid w:val="0080505B"/>
    <w:rsid w:val="00837F21"/>
    <w:rsid w:val="008D31EE"/>
    <w:rsid w:val="00A20422"/>
    <w:rsid w:val="00AA56C3"/>
    <w:rsid w:val="00D01E14"/>
    <w:rsid w:val="00D2285C"/>
    <w:rsid w:val="00D4210E"/>
    <w:rsid w:val="00D67DA0"/>
    <w:rsid w:val="00FD02FF"/>
    <w:rsid w:val="05B80F80"/>
    <w:rsid w:val="06423B19"/>
    <w:rsid w:val="077E37DC"/>
    <w:rsid w:val="189D783A"/>
    <w:rsid w:val="1A667923"/>
    <w:rsid w:val="237B08B0"/>
    <w:rsid w:val="35D50652"/>
    <w:rsid w:val="36EA7C7D"/>
    <w:rsid w:val="38A456D1"/>
    <w:rsid w:val="39EE7A9E"/>
    <w:rsid w:val="3CCE7288"/>
    <w:rsid w:val="41BC2265"/>
    <w:rsid w:val="4B9F6E4A"/>
    <w:rsid w:val="4C231829"/>
    <w:rsid w:val="53C5766A"/>
    <w:rsid w:val="53D519CC"/>
    <w:rsid w:val="54E9699C"/>
    <w:rsid w:val="54F40207"/>
    <w:rsid w:val="5F0C439F"/>
    <w:rsid w:val="604D6B8C"/>
    <w:rsid w:val="63C67212"/>
    <w:rsid w:val="64754794"/>
    <w:rsid w:val="68BF490E"/>
    <w:rsid w:val="68F57607"/>
    <w:rsid w:val="6B715CB5"/>
    <w:rsid w:val="6C383399"/>
    <w:rsid w:val="70BB4696"/>
    <w:rsid w:val="71F009FC"/>
    <w:rsid w:val="74C01A5C"/>
    <w:rsid w:val="7866291A"/>
    <w:rsid w:val="78F452CC"/>
    <w:rsid w:val="799020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32"/>
      <w:lang w:val="en-US" w:eastAsia="zh-CN" w:bidi="ar-SA"/>
    </w:rPr>
  </w:style>
  <w:style w:type="paragraph" w:styleId="2">
    <w:name w:val="heading 2"/>
    <w:basedOn w:val="1"/>
    <w:next w:val="1"/>
    <w:semiHidden/>
    <w:unhideWhenUsed/>
    <w:qFormat/>
    <w:uiPriority w:val="0"/>
    <w:pPr>
      <w:keepNext/>
      <w:keepLines/>
      <w:spacing w:line="413" w:lineRule="auto"/>
      <w:outlineLvl w:val="1"/>
    </w:pPr>
    <w:rPr>
      <w:rFonts w:ascii="Arial" w:hAnsi="Arial" w:eastAsia="黑体"/>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37"/>
    <w:qFormat/>
    <w:uiPriority w:val="0"/>
    <w:rPr>
      <w:sz w:val="18"/>
      <w:szCs w:val="18"/>
    </w:rPr>
  </w:style>
  <w:style w:type="paragraph" w:styleId="4">
    <w:name w:val="footer"/>
    <w:basedOn w:val="1"/>
    <w:link w:val="36"/>
    <w:qFormat/>
    <w:uiPriority w:val="99"/>
    <w:pPr>
      <w:tabs>
        <w:tab w:val="center" w:pos="4153"/>
        <w:tab w:val="right" w:pos="8306"/>
      </w:tabs>
      <w:snapToGrid w:val="0"/>
      <w:jc w:val="left"/>
    </w:pPr>
    <w:rPr>
      <w:sz w:val="18"/>
      <w:szCs w:val="18"/>
    </w:rPr>
  </w:style>
  <w:style w:type="paragraph" w:styleId="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character" w:styleId="9">
    <w:name w:val="FollowedHyperlink"/>
    <w:basedOn w:val="8"/>
    <w:qFormat/>
    <w:uiPriority w:val="0"/>
    <w:rPr>
      <w:color w:val="000000"/>
      <w:u w:val="none"/>
    </w:rPr>
  </w:style>
  <w:style w:type="character" w:styleId="10">
    <w:name w:val="Emphasis"/>
    <w:basedOn w:val="8"/>
    <w:qFormat/>
    <w:uiPriority w:val="0"/>
  </w:style>
  <w:style w:type="character" w:styleId="11">
    <w:name w:val="HTML Definition"/>
    <w:basedOn w:val="8"/>
    <w:qFormat/>
    <w:uiPriority w:val="0"/>
  </w:style>
  <w:style w:type="character" w:styleId="12">
    <w:name w:val="HTML Variable"/>
    <w:basedOn w:val="8"/>
    <w:qFormat/>
    <w:uiPriority w:val="0"/>
  </w:style>
  <w:style w:type="character" w:styleId="13">
    <w:name w:val="Hyperlink"/>
    <w:basedOn w:val="8"/>
    <w:qFormat/>
    <w:uiPriority w:val="0"/>
    <w:rPr>
      <w:color w:val="000000"/>
      <w:u w:val="none"/>
    </w:rPr>
  </w:style>
  <w:style w:type="character" w:styleId="14">
    <w:name w:val="HTML Code"/>
    <w:basedOn w:val="8"/>
    <w:qFormat/>
    <w:uiPriority w:val="0"/>
    <w:rPr>
      <w:rFonts w:ascii="Courier New" w:hAnsi="Courier New"/>
      <w:sz w:val="20"/>
    </w:rPr>
  </w:style>
  <w:style w:type="character" w:styleId="15">
    <w:name w:val="HTML Cite"/>
    <w:basedOn w:val="8"/>
    <w:qFormat/>
    <w:uiPriority w:val="0"/>
  </w:style>
  <w:style w:type="character" w:customStyle="1" w:styleId="16">
    <w:name w:val="hover"/>
    <w:basedOn w:val="8"/>
    <w:qFormat/>
    <w:uiPriority w:val="0"/>
    <w:rPr>
      <w:color w:val="5FB878"/>
    </w:rPr>
  </w:style>
  <w:style w:type="character" w:customStyle="1" w:styleId="17">
    <w:name w:val="hover1"/>
    <w:basedOn w:val="8"/>
    <w:qFormat/>
    <w:uiPriority w:val="0"/>
    <w:rPr>
      <w:color w:val="5FB878"/>
    </w:rPr>
  </w:style>
  <w:style w:type="character" w:customStyle="1" w:styleId="18">
    <w:name w:val="hover2"/>
    <w:basedOn w:val="8"/>
    <w:qFormat/>
    <w:uiPriority w:val="0"/>
    <w:rPr>
      <w:color w:val="FFFFFF"/>
    </w:rPr>
  </w:style>
  <w:style w:type="character" w:customStyle="1" w:styleId="19">
    <w:name w:val="hover3"/>
    <w:basedOn w:val="8"/>
    <w:qFormat/>
    <w:uiPriority w:val="0"/>
    <w:rPr>
      <w:shd w:val="clear" w:color="auto" w:fill="878282"/>
    </w:rPr>
  </w:style>
  <w:style w:type="character" w:customStyle="1" w:styleId="20">
    <w:name w:val="layui-laydate-preview"/>
    <w:basedOn w:val="8"/>
    <w:qFormat/>
    <w:uiPriority w:val="0"/>
  </w:style>
  <w:style w:type="character" w:customStyle="1" w:styleId="21">
    <w:name w:val="layui-laypage-curr4"/>
    <w:basedOn w:val="8"/>
    <w:qFormat/>
    <w:uiPriority w:val="0"/>
  </w:style>
  <w:style w:type="character" w:customStyle="1" w:styleId="22">
    <w:name w:val="ts"/>
    <w:basedOn w:val="8"/>
    <w:qFormat/>
    <w:uiPriority w:val="0"/>
    <w:rPr>
      <w:color w:val="FFFFFF"/>
      <w:bdr w:val="single" w:color="D80413" w:sz="6" w:space="0"/>
      <w:shd w:val="clear" w:color="auto" w:fill="D80413"/>
    </w:rPr>
  </w:style>
  <w:style w:type="character" w:customStyle="1" w:styleId="23">
    <w:name w:val="first-child"/>
    <w:basedOn w:val="8"/>
    <w:qFormat/>
    <w:uiPriority w:val="0"/>
  </w:style>
  <w:style w:type="character" w:customStyle="1" w:styleId="24">
    <w:name w:val="layui-this4"/>
    <w:basedOn w:val="8"/>
    <w:qFormat/>
    <w:uiPriority w:val="0"/>
    <w:rPr>
      <w:bdr w:val="single" w:color="EEEEEE" w:sz="6" w:space="0"/>
      <w:shd w:val="clear" w:color="auto" w:fill="FFFFFF"/>
    </w:rPr>
  </w:style>
  <w:style w:type="character" w:customStyle="1" w:styleId="25">
    <w:name w:val="smallfont"/>
    <w:basedOn w:val="8"/>
    <w:qFormat/>
    <w:uiPriority w:val="0"/>
  </w:style>
  <w:style w:type="character" w:customStyle="1" w:styleId="26">
    <w:name w:val="largefont1"/>
    <w:basedOn w:val="8"/>
    <w:qFormat/>
    <w:uiPriority w:val="0"/>
  </w:style>
  <w:style w:type="character" w:customStyle="1" w:styleId="27">
    <w:name w:val="medfont1"/>
    <w:basedOn w:val="8"/>
    <w:qFormat/>
    <w:uiPriority w:val="0"/>
  </w:style>
  <w:style w:type="character" w:customStyle="1" w:styleId="28">
    <w:name w:val="layui-this"/>
    <w:basedOn w:val="8"/>
    <w:qFormat/>
    <w:uiPriority w:val="0"/>
    <w:rPr>
      <w:bdr w:val="single" w:color="EEEEEE" w:sz="6" w:space="0"/>
      <w:shd w:val="clear" w:color="auto" w:fill="FFFFFF"/>
    </w:rPr>
  </w:style>
  <w:style w:type="character" w:customStyle="1" w:styleId="29">
    <w:name w:val="hover15"/>
    <w:basedOn w:val="8"/>
    <w:qFormat/>
    <w:uiPriority w:val="0"/>
    <w:rPr>
      <w:color w:val="5FB878"/>
    </w:rPr>
  </w:style>
  <w:style w:type="character" w:customStyle="1" w:styleId="30">
    <w:name w:val="hover16"/>
    <w:basedOn w:val="8"/>
    <w:qFormat/>
    <w:uiPriority w:val="0"/>
    <w:rPr>
      <w:color w:val="5FB878"/>
    </w:rPr>
  </w:style>
  <w:style w:type="character" w:customStyle="1" w:styleId="31">
    <w:name w:val="hover17"/>
    <w:basedOn w:val="8"/>
    <w:qFormat/>
    <w:uiPriority w:val="0"/>
    <w:rPr>
      <w:color w:val="FFFFFF"/>
    </w:rPr>
  </w:style>
  <w:style w:type="character" w:customStyle="1" w:styleId="32">
    <w:name w:val="hover18"/>
    <w:basedOn w:val="8"/>
    <w:qFormat/>
    <w:uiPriority w:val="0"/>
    <w:rPr>
      <w:shd w:val="clear" w:color="auto" w:fill="878282"/>
    </w:rPr>
  </w:style>
  <w:style w:type="character" w:customStyle="1" w:styleId="33">
    <w:name w:val="medfont"/>
    <w:basedOn w:val="8"/>
    <w:qFormat/>
    <w:uiPriority w:val="0"/>
  </w:style>
  <w:style w:type="character" w:customStyle="1" w:styleId="34">
    <w:name w:val="smallfont1"/>
    <w:basedOn w:val="8"/>
    <w:qFormat/>
    <w:uiPriority w:val="0"/>
  </w:style>
  <w:style w:type="character" w:customStyle="1" w:styleId="35">
    <w:name w:val="页眉 Char"/>
    <w:basedOn w:val="8"/>
    <w:link w:val="5"/>
    <w:qFormat/>
    <w:uiPriority w:val="0"/>
    <w:rPr>
      <w:rFonts w:eastAsia="方正仿宋_GBK" w:cstheme="minorBidi"/>
      <w:kern w:val="2"/>
      <w:sz w:val="18"/>
      <w:szCs w:val="18"/>
    </w:rPr>
  </w:style>
  <w:style w:type="character" w:customStyle="1" w:styleId="36">
    <w:name w:val="页脚 Char"/>
    <w:basedOn w:val="8"/>
    <w:link w:val="4"/>
    <w:qFormat/>
    <w:uiPriority w:val="99"/>
    <w:rPr>
      <w:rFonts w:eastAsia="方正仿宋_GBK" w:cstheme="minorBidi"/>
      <w:kern w:val="2"/>
      <w:sz w:val="18"/>
      <w:szCs w:val="18"/>
    </w:rPr>
  </w:style>
  <w:style w:type="character" w:customStyle="1" w:styleId="37">
    <w:name w:val="批注框文本 Char"/>
    <w:basedOn w:val="8"/>
    <w:link w:val="3"/>
    <w:qFormat/>
    <w:uiPriority w:val="0"/>
    <w:rPr>
      <w:rFonts w:eastAsia="方正仿宋_GBK"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3181</Words>
  <Characters>3224</Characters>
  <Lines>23</Lines>
  <Paragraphs>6</Paragraphs>
  <TotalTime>3</TotalTime>
  <ScaleCrop>false</ScaleCrop>
  <LinksUpToDate>false</LinksUpToDate>
  <CharactersWithSpaces>3264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2024-08-07T08:34:00Z</dcterms:created>
  <dc:creator>王梦竹</dc:creator>
  <cp:lastModifiedBy>静宝</cp:lastModifiedBy>
  <cp:lastPrinted>2025-12-17T03:26:39Z</cp:lastPrinted>
  <dcterms:modified xsi:type="dcterms:W3CDTF">2025-12-17T03:27:35Z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1F5F8FCEAA9644E8B9899D1515BC0B8D_13</vt:lpwstr>
  </property>
  <property fmtid="{D5CDD505-2E9C-101B-9397-08002B2CF9AE}" pid="4" name="KSOTemplateDocerSaveRecord">
    <vt:lpwstr>eyJoZGlkIjoiNDIwZmI1NTViYTVkZTcwZmMzYTBiODYwOGI1ZjhhM2UiLCJ1c2VySWQiOiIzNzM4NTYxNTMifQ==</vt:lpwstr>
  </property>
</Properties>
</file>