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E57A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宋体" w:hAnsi="宋体" w:eastAsia="宋体" w:cs="宋体"/>
          <w:b/>
          <w:bCs/>
          <w:spacing w:val="-3"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spacing w:val="-3"/>
          <w:sz w:val="44"/>
          <w:szCs w:val="44"/>
          <w:lang w:val="en-US" w:eastAsia="zh-CN"/>
        </w:rPr>
        <w:t>句容市</w:t>
      </w:r>
      <w:r>
        <w:rPr>
          <w:rFonts w:ascii="宋体" w:hAnsi="宋体" w:eastAsia="宋体" w:cs="宋体"/>
          <w:b/>
          <w:bCs/>
          <w:spacing w:val="-3"/>
          <w:sz w:val="44"/>
          <w:szCs w:val="44"/>
        </w:rPr>
        <w:t>水利局202</w:t>
      </w:r>
      <w:r>
        <w:rPr>
          <w:rFonts w:hint="eastAsia" w:ascii="宋体" w:hAnsi="宋体" w:eastAsia="宋体" w:cs="宋体"/>
          <w:b/>
          <w:bCs/>
          <w:spacing w:val="-3"/>
          <w:sz w:val="44"/>
          <w:szCs w:val="44"/>
          <w:lang w:val="en-US" w:eastAsia="zh-CN"/>
        </w:rPr>
        <w:t>6</w:t>
      </w:r>
      <w:r>
        <w:rPr>
          <w:rFonts w:ascii="宋体" w:hAnsi="宋体" w:eastAsia="宋体" w:cs="宋体"/>
          <w:b/>
          <w:bCs/>
          <w:spacing w:val="-3"/>
          <w:sz w:val="44"/>
          <w:szCs w:val="44"/>
        </w:rPr>
        <w:t>年度</w:t>
      </w:r>
      <w:r>
        <w:rPr>
          <w:rFonts w:hint="eastAsia" w:ascii="宋体" w:hAnsi="宋体" w:eastAsia="宋体" w:cs="宋体"/>
          <w:b/>
          <w:bCs/>
          <w:spacing w:val="-3"/>
          <w:sz w:val="44"/>
          <w:szCs w:val="44"/>
          <w:lang w:val="en-US" w:eastAsia="zh-CN"/>
        </w:rPr>
        <w:t>涉企</w:t>
      </w:r>
      <w:r>
        <w:rPr>
          <w:rFonts w:ascii="宋体" w:hAnsi="宋体" w:eastAsia="宋体" w:cs="宋体"/>
          <w:b/>
          <w:bCs/>
          <w:spacing w:val="-3"/>
          <w:sz w:val="44"/>
          <w:szCs w:val="44"/>
        </w:rPr>
        <w:t>行政检查工作计划</w:t>
      </w:r>
    </w:p>
    <w:p w14:paraId="762A8B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宋体" w:hAnsi="宋体" w:eastAsia="宋体" w:cs="宋体"/>
          <w:b/>
          <w:bCs/>
          <w:spacing w:val="-3"/>
          <w:sz w:val="44"/>
          <w:szCs w:val="44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8"/>
        <w:gridCol w:w="1384"/>
        <w:gridCol w:w="4190"/>
        <w:gridCol w:w="2220"/>
        <w:gridCol w:w="1373"/>
        <w:gridCol w:w="1533"/>
        <w:gridCol w:w="2696"/>
      </w:tblGrid>
      <w:tr w14:paraId="34E5B1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8" w:type="dxa"/>
          </w:tcPr>
          <w:p w14:paraId="2BC49E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pacing w:val="-3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3"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1384" w:type="dxa"/>
          </w:tcPr>
          <w:p w14:paraId="1A39F1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spacing w:val="-3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3"/>
                <w:sz w:val="28"/>
                <w:szCs w:val="28"/>
                <w:vertAlign w:val="baseline"/>
                <w:lang w:val="en-US" w:eastAsia="zh-CN"/>
              </w:rPr>
              <w:t>检查名称</w:t>
            </w:r>
          </w:p>
        </w:tc>
        <w:tc>
          <w:tcPr>
            <w:tcW w:w="4190" w:type="dxa"/>
          </w:tcPr>
          <w:p w14:paraId="26E7B7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spacing w:val="-3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3"/>
                <w:sz w:val="28"/>
                <w:szCs w:val="28"/>
                <w:vertAlign w:val="baseline"/>
                <w:lang w:val="en-US" w:eastAsia="zh-CN"/>
              </w:rPr>
              <w:t>检查事项</w:t>
            </w:r>
          </w:p>
        </w:tc>
        <w:tc>
          <w:tcPr>
            <w:tcW w:w="2220" w:type="dxa"/>
          </w:tcPr>
          <w:p w14:paraId="220855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spacing w:val="-3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3"/>
                <w:sz w:val="28"/>
                <w:szCs w:val="28"/>
                <w:vertAlign w:val="baseline"/>
                <w:lang w:val="en-US" w:eastAsia="zh-CN"/>
              </w:rPr>
              <w:t>检查对象</w:t>
            </w:r>
          </w:p>
        </w:tc>
        <w:tc>
          <w:tcPr>
            <w:tcW w:w="1373" w:type="dxa"/>
          </w:tcPr>
          <w:p w14:paraId="649B81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spacing w:val="-3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3"/>
                <w:sz w:val="28"/>
                <w:szCs w:val="28"/>
                <w:vertAlign w:val="baseline"/>
                <w:lang w:val="en-US" w:eastAsia="zh-CN"/>
              </w:rPr>
              <w:t>检查方式</w:t>
            </w:r>
          </w:p>
        </w:tc>
        <w:tc>
          <w:tcPr>
            <w:tcW w:w="1533" w:type="dxa"/>
          </w:tcPr>
          <w:p w14:paraId="273039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spacing w:val="-3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3"/>
                <w:sz w:val="28"/>
                <w:szCs w:val="28"/>
                <w:vertAlign w:val="baseline"/>
                <w:lang w:val="en-US" w:eastAsia="zh-CN"/>
              </w:rPr>
              <w:t>检查频次</w:t>
            </w:r>
          </w:p>
        </w:tc>
        <w:tc>
          <w:tcPr>
            <w:tcW w:w="2696" w:type="dxa"/>
          </w:tcPr>
          <w:p w14:paraId="2440D8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spacing w:val="-3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3"/>
                <w:sz w:val="28"/>
                <w:szCs w:val="28"/>
                <w:vertAlign w:val="baseline"/>
                <w:lang w:val="en-US" w:eastAsia="zh-CN"/>
              </w:rPr>
              <w:t>检查依据</w:t>
            </w:r>
          </w:p>
        </w:tc>
      </w:tr>
      <w:tr w14:paraId="519DD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</w:trPr>
        <w:tc>
          <w:tcPr>
            <w:tcW w:w="778" w:type="dxa"/>
            <w:vAlign w:val="center"/>
          </w:tcPr>
          <w:p w14:paraId="1743CA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pacing w:val="-3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pacing w:val="-3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384" w:type="dxa"/>
            <w:vAlign w:val="center"/>
          </w:tcPr>
          <w:p w14:paraId="0B61A305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right="0" w:firstLine="0" w:firstLineChars="0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3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"/>
                <w:sz w:val="24"/>
                <w:szCs w:val="24"/>
              </w:rPr>
              <w:t>项目招</w:t>
            </w:r>
            <w:r>
              <w:rPr>
                <w:rFonts w:hint="eastAsia" w:ascii="方正仿宋_GB2312" w:hAnsi="方正仿宋_GB2312" w:eastAsia="方正仿宋_GB2312" w:cs="方正仿宋_GB2312"/>
                <w:spacing w:val="1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方正仿宋_GB2312" w:hAnsi="方正仿宋_GB2312" w:eastAsia="方正仿宋_GB2312" w:cs="方正仿宋_GB2312"/>
                <w:spacing w:val="1"/>
                <w:sz w:val="24"/>
                <w:szCs w:val="24"/>
              </w:rPr>
              <w:t>投标检查</w:t>
            </w:r>
          </w:p>
        </w:tc>
        <w:tc>
          <w:tcPr>
            <w:tcW w:w="4190" w:type="dxa"/>
            <w:vAlign w:val="center"/>
          </w:tcPr>
          <w:p w14:paraId="1254952C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right="0" w:firstLine="0" w:firstLineChars="0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3"/>
                <w:sz w:val="24"/>
                <w:szCs w:val="24"/>
                <w:vertAlign w:val="baseline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"/>
                <w:sz w:val="24"/>
                <w:szCs w:val="24"/>
              </w:rPr>
              <w:t>对水利工程建设项目招投标活动的行</w:t>
            </w:r>
            <w:r>
              <w:rPr>
                <w:rFonts w:hint="eastAsia" w:ascii="方正仿宋_GB2312" w:hAnsi="方正仿宋_GB2312" w:eastAsia="方正仿宋_GB2312" w:cs="方正仿宋_GB2312"/>
                <w:spacing w:val="4"/>
                <w:sz w:val="24"/>
                <w:szCs w:val="24"/>
              </w:rPr>
              <w:t>政检查</w:t>
            </w:r>
          </w:p>
        </w:tc>
        <w:tc>
          <w:tcPr>
            <w:tcW w:w="2220" w:type="dxa"/>
            <w:vAlign w:val="center"/>
          </w:tcPr>
          <w:p w14:paraId="4DBF3736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right="0" w:firstLine="0" w:firstLineChars="0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pacing w:val="1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"/>
                <w:sz w:val="24"/>
                <w:szCs w:val="24"/>
              </w:rPr>
              <w:t>参与电子招标投标的</w:t>
            </w:r>
            <w:r>
              <w:rPr>
                <w:rFonts w:hint="eastAsia" w:ascii="方正仿宋_GB2312" w:hAnsi="方正仿宋_GB2312" w:eastAsia="方正仿宋_GB2312" w:cs="方正仿宋_GB2312"/>
                <w:spacing w:val="1"/>
                <w:sz w:val="24"/>
                <w:szCs w:val="24"/>
                <w:lang w:val="en-US" w:eastAsia="zh-CN"/>
              </w:rPr>
              <w:t>企业</w:t>
            </w:r>
            <w:r>
              <w:rPr>
                <w:rFonts w:hint="eastAsia" w:ascii="方正仿宋_GB2312" w:hAnsi="方正仿宋_GB2312" w:eastAsia="方正仿宋_GB2312" w:cs="方正仿宋_GB2312"/>
                <w:spacing w:val="1"/>
                <w:sz w:val="24"/>
                <w:szCs w:val="24"/>
              </w:rPr>
              <w:t>、水利工程建设项目招投标单位</w:t>
            </w:r>
          </w:p>
        </w:tc>
        <w:tc>
          <w:tcPr>
            <w:tcW w:w="1373" w:type="dxa"/>
            <w:vAlign w:val="center"/>
          </w:tcPr>
          <w:p w14:paraId="1F68A08D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right="0" w:firstLine="0" w:firstLineChars="0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pacing w:val="1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"/>
                <w:sz w:val="24"/>
                <w:szCs w:val="24"/>
                <w:lang w:val="en-US" w:eastAsia="zh-CN"/>
              </w:rPr>
              <w:t>双随机、一公开</w:t>
            </w:r>
          </w:p>
        </w:tc>
        <w:tc>
          <w:tcPr>
            <w:tcW w:w="1533" w:type="dxa"/>
            <w:vAlign w:val="center"/>
          </w:tcPr>
          <w:p w14:paraId="4EE2019A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right="0"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pacing w:val="1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"/>
                <w:sz w:val="24"/>
                <w:szCs w:val="24"/>
              </w:rPr>
              <w:t>1次</w:t>
            </w:r>
          </w:p>
        </w:tc>
        <w:tc>
          <w:tcPr>
            <w:tcW w:w="2696" w:type="dxa"/>
            <w:vAlign w:val="center"/>
          </w:tcPr>
          <w:p w14:paraId="0A83DDAF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right="0" w:firstLine="0" w:firstLineChars="0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pacing w:val="1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"/>
                <w:sz w:val="24"/>
                <w:szCs w:val="24"/>
              </w:rPr>
              <w:t>《电子招标投标办法》第四条；《水利工程建设项目招标投标管理规定》第七条、第八条；《江苏省水利工程建设项目招标投标管理办法》(苏水规〔2019〕5号。</w:t>
            </w:r>
          </w:p>
        </w:tc>
      </w:tr>
      <w:tr w14:paraId="557D53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8" w:type="dxa"/>
            <w:vAlign w:val="center"/>
          </w:tcPr>
          <w:p w14:paraId="066BDF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pacing w:val="-3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pacing w:val="-3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1384" w:type="dxa"/>
            <w:vAlign w:val="center"/>
          </w:tcPr>
          <w:p w14:paraId="48CCE11B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right="0" w:firstLine="0" w:firstLineChars="0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pacing w:val="1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"/>
                <w:sz w:val="24"/>
                <w:szCs w:val="24"/>
              </w:rPr>
              <w:t>涉河建设项目检查</w:t>
            </w:r>
          </w:p>
        </w:tc>
        <w:tc>
          <w:tcPr>
            <w:tcW w:w="4190" w:type="dxa"/>
            <w:vAlign w:val="center"/>
          </w:tcPr>
          <w:p w14:paraId="04AC4AE5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right="0" w:firstLine="0" w:firstLineChars="0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pacing w:val="1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"/>
                <w:sz w:val="24"/>
                <w:szCs w:val="24"/>
              </w:rPr>
              <w:t>对河道管理范围内的建设项目的行政检查</w:t>
            </w:r>
          </w:p>
        </w:tc>
        <w:tc>
          <w:tcPr>
            <w:tcW w:w="2220" w:type="dxa"/>
            <w:vAlign w:val="center"/>
          </w:tcPr>
          <w:p w14:paraId="347D5613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right="0" w:firstLine="0" w:firstLineChars="0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pacing w:val="1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"/>
                <w:sz w:val="24"/>
                <w:szCs w:val="24"/>
              </w:rPr>
              <w:t>河道管理项目范围内项目建设单位</w:t>
            </w:r>
          </w:p>
        </w:tc>
        <w:tc>
          <w:tcPr>
            <w:tcW w:w="1373" w:type="dxa"/>
            <w:vAlign w:val="center"/>
          </w:tcPr>
          <w:p w14:paraId="682E2EEC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right="0" w:firstLine="0" w:firstLineChars="0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pacing w:val="1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"/>
                <w:sz w:val="24"/>
                <w:szCs w:val="24"/>
              </w:rPr>
              <w:t>双随机、一公开，</w:t>
            </w:r>
            <w:r>
              <w:rPr>
                <w:rFonts w:hint="eastAsia" w:ascii="方正仿宋_GB2312" w:hAnsi="方正仿宋_GB2312" w:eastAsia="方正仿宋_GB2312" w:cs="方正仿宋_GB2312"/>
                <w:spacing w:val="1"/>
                <w:sz w:val="24"/>
                <w:szCs w:val="24"/>
                <w:lang w:val="en-US" w:eastAsia="zh-CN"/>
              </w:rPr>
              <w:t>现场检查</w:t>
            </w:r>
          </w:p>
        </w:tc>
        <w:tc>
          <w:tcPr>
            <w:tcW w:w="1533" w:type="dxa"/>
            <w:vAlign w:val="center"/>
          </w:tcPr>
          <w:p w14:paraId="1F5833F4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right="0"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pacing w:val="1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"/>
                <w:sz w:val="24"/>
                <w:szCs w:val="24"/>
              </w:rPr>
              <w:t>4次</w:t>
            </w:r>
          </w:p>
        </w:tc>
        <w:tc>
          <w:tcPr>
            <w:tcW w:w="2696" w:type="dxa"/>
            <w:vAlign w:val="center"/>
          </w:tcPr>
          <w:p w14:paraId="009A92B4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right="0" w:firstLine="0" w:firstLineChars="0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pacing w:val="1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"/>
                <w:sz w:val="24"/>
                <w:szCs w:val="24"/>
              </w:rPr>
              <w:t>《中华人民共和国</w:t>
            </w:r>
            <w:r>
              <w:rPr>
                <w:rFonts w:hint="eastAsia" w:ascii="方正仿宋_GB2312" w:hAnsi="方正仿宋_GB2312" w:eastAsia="方正仿宋_GB2312" w:cs="方正仿宋_GB2312"/>
                <w:spacing w:val="1"/>
                <w:sz w:val="24"/>
                <w:szCs w:val="24"/>
                <w:lang w:val="en-US" w:eastAsia="zh-CN"/>
              </w:rPr>
              <w:t>防洪法</w:t>
            </w:r>
            <w:r>
              <w:rPr>
                <w:rFonts w:hint="eastAsia" w:ascii="方正仿宋_GB2312" w:hAnsi="方正仿宋_GB2312" w:eastAsia="方正仿宋_GB2312" w:cs="方正仿宋_GB2312"/>
                <w:spacing w:val="1"/>
                <w:sz w:val="24"/>
                <w:szCs w:val="24"/>
              </w:rPr>
              <w:t>》第</w:t>
            </w:r>
            <w:r>
              <w:rPr>
                <w:rFonts w:hint="eastAsia" w:ascii="方正仿宋_GB2312" w:hAnsi="方正仿宋_GB2312" w:eastAsia="方正仿宋_GB2312" w:cs="方正仿宋_GB2312"/>
                <w:spacing w:val="1"/>
                <w:sz w:val="24"/>
                <w:szCs w:val="24"/>
                <w:lang w:val="en-US" w:eastAsia="zh-CN"/>
              </w:rPr>
              <w:t>二十八</w:t>
            </w:r>
            <w:r>
              <w:rPr>
                <w:rFonts w:hint="eastAsia" w:ascii="方正仿宋_GB2312" w:hAnsi="方正仿宋_GB2312" w:eastAsia="方正仿宋_GB2312" w:cs="方正仿宋_GB2312"/>
                <w:spacing w:val="1"/>
                <w:sz w:val="24"/>
                <w:szCs w:val="24"/>
              </w:rPr>
              <w:t>条。</w:t>
            </w:r>
          </w:p>
        </w:tc>
      </w:tr>
      <w:tr w14:paraId="7DC5C9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8" w:type="dxa"/>
            <w:vAlign w:val="center"/>
          </w:tcPr>
          <w:p w14:paraId="79E95B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pacing w:val="-3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pacing w:val="-3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1384" w:type="dxa"/>
            <w:vAlign w:val="top"/>
          </w:tcPr>
          <w:p w14:paraId="07FA5FF5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right="0" w:firstLine="0" w:firstLineChars="0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pacing w:val="1"/>
                <w:sz w:val="24"/>
                <w:szCs w:val="24"/>
              </w:rPr>
            </w:pPr>
          </w:p>
          <w:p w14:paraId="1D46663B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right="0" w:firstLine="0" w:firstLineChars="0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pacing w:val="1"/>
                <w:sz w:val="24"/>
                <w:szCs w:val="24"/>
              </w:rPr>
            </w:pPr>
          </w:p>
          <w:p w14:paraId="63A3EB94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right="0" w:firstLine="0" w:firstLineChars="0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pacing w:val="1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"/>
                <w:sz w:val="24"/>
                <w:szCs w:val="24"/>
              </w:rPr>
              <w:t>单位/个人取用水行为检查</w:t>
            </w:r>
          </w:p>
        </w:tc>
        <w:tc>
          <w:tcPr>
            <w:tcW w:w="4190" w:type="dxa"/>
            <w:vAlign w:val="top"/>
          </w:tcPr>
          <w:p w14:paraId="573772EF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right="0" w:firstLine="0" w:firstLineChars="0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pacing w:val="1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"/>
                <w:sz w:val="24"/>
                <w:szCs w:val="24"/>
              </w:rPr>
              <w:t>对取水单位/个人的取水活动、取用水台账、缴纳水资源费情况、取水设施和计量设施维护等情况、对节约用水情况、节水设施、节水宣传的行政检查。</w:t>
            </w:r>
          </w:p>
        </w:tc>
        <w:tc>
          <w:tcPr>
            <w:tcW w:w="2220" w:type="dxa"/>
            <w:vAlign w:val="top"/>
          </w:tcPr>
          <w:p w14:paraId="5B64D2AA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right="0" w:firstLine="0" w:firstLineChars="0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pacing w:val="1"/>
                <w:sz w:val="24"/>
                <w:szCs w:val="24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"/>
                <w:sz w:val="24"/>
                <w:szCs w:val="24"/>
              </w:rPr>
              <w:t>取水单位、个人、计划用水户、涉及水效标识产品的生产者和销售者、各类开展节水型载体创建的单位、水利生产经营单位</w:t>
            </w:r>
            <w:r>
              <w:rPr>
                <w:rFonts w:hint="eastAsia" w:ascii="方正仿宋_GB2312" w:hAnsi="方正仿宋_GB2312" w:eastAsia="方正仿宋_GB2312" w:cs="方正仿宋_GB2312"/>
                <w:spacing w:val="1"/>
                <w:sz w:val="24"/>
                <w:szCs w:val="24"/>
                <w:lang w:eastAsia="zh-CN"/>
              </w:rPr>
              <w:t>。</w:t>
            </w:r>
          </w:p>
        </w:tc>
        <w:tc>
          <w:tcPr>
            <w:tcW w:w="1373" w:type="dxa"/>
            <w:vAlign w:val="top"/>
          </w:tcPr>
          <w:p w14:paraId="267F559C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right="0" w:firstLine="0" w:firstLineChars="0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pacing w:val="1"/>
                <w:sz w:val="24"/>
                <w:szCs w:val="24"/>
              </w:rPr>
            </w:pPr>
          </w:p>
          <w:p w14:paraId="22E8B0A7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right="0" w:firstLine="0" w:firstLineChars="0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pacing w:val="1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"/>
                <w:sz w:val="24"/>
                <w:szCs w:val="24"/>
              </w:rPr>
              <w:t>双随机、一公开，</w:t>
            </w:r>
            <w:r>
              <w:rPr>
                <w:rFonts w:hint="eastAsia" w:ascii="方正仿宋_GB2312" w:hAnsi="方正仿宋_GB2312" w:eastAsia="方正仿宋_GB2312" w:cs="方正仿宋_GB2312"/>
                <w:spacing w:val="1"/>
                <w:sz w:val="24"/>
                <w:szCs w:val="24"/>
                <w:lang w:val="en-US" w:eastAsia="zh-CN"/>
              </w:rPr>
              <w:t>现场检查</w:t>
            </w:r>
          </w:p>
        </w:tc>
        <w:tc>
          <w:tcPr>
            <w:tcW w:w="1533" w:type="dxa"/>
            <w:vAlign w:val="center"/>
          </w:tcPr>
          <w:p w14:paraId="4D9968C0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right="0"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pacing w:val="1"/>
                <w:sz w:val="24"/>
                <w:szCs w:val="24"/>
              </w:rPr>
            </w:pPr>
          </w:p>
          <w:p w14:paraId="2B7FA872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right="0"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pacing w:val="1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方正仿宋_GB2312" w:hAnsi="方正仿宋_GB2312" w:eastAsia="方正仿宋_GB2312" w:cs="方正仿宋_GB2312"/>
                <w:spacing w:val="1"/>
                <w:sz w:val="24"/>
                <w:szCs w:val="24"/>
              </w:rPr>
              <w:t>次</w:t>
            </w:r>
          </w:p>
        </w:tc>
        <w:tc>
          <w:tcPr>
            <w:tcW w:w="2696" w:type="dxa"/>
            <w:vAlign w:val="top"/>
          </w:tcPr>
          <w:p w14:paraId="42FC951E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right="0" w:firstLine="0" w:firstLineChars="0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pacing w:val="1"/>
                <w:sz w:val="24"/>
                <w:szCs w:val="24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"/>
                <w:sz w:val="24"/>
                <w:szCs w:val="24"/>
              </w:rPr>
              <w:t>《中华人民共和国水法》第六十条、第六十一条、第六十二条</w:t>
            </w:r>
            <w:r>
              <w:rPr>
                <w:rFonts w:hint="eastAsia" w:ascii="方正仿宋_GB2312" w:hAnsi="方正仿宋_GB2312" w:eastAsia="方正仿宋_GB2312" w:cs="方正仿宋_GB2312"/>
                <w:spacing w:val="1"/>
                <w:sz w:val="24"/>
                <w:szCs w:val="24"/>
                <w:lang w:eastAsia="zh-CN"/>
              </w:rPr>
              <w:t>；</w:t>
            </w:r>
            <w:r>
              <w:rPr>
                <w:rFonts w:hint="eastAsia" w:ascii="方正仿宋_GB2312" w:hAnsi="方正仿宋_GB2312" w:eastAsia="方正仿宋_GB2312" w:cs="方正仿宋_GB2312"/>
                <w:spacing w:val="1"/>
                <w:sz w:val="24"/>
                <w:szCs w:val="24"/>
              </w:rPr>
              <w:t>《取水许可和水资源费征收管理条例》第四十五条</w:t>
            </w:r>
            <w:r>
              <w:rPr>
                <w:rFonts w:hint="eastAsia" w:ascii="方正仿宋_GB2312" w:hAnsi="方正仿宋_GB2312" w:eastAsia="方正仿宋_GB2312" w:cs="方正仿宋_GB2312"/>
                <w:spacing w:val="1"/>
                <w:sz w:val="24"/>
                <w:szCs w:val="24"/>
                <w:lang w:eastAsia="zh-CN"/>
              </w:rPr>
              <w:t>。</w:t>
            </w:r>
          </w:p>
        </w:tc>
      </w:tr>
      <w:tr w14:paraId="0F7CA6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8" w:type="dxa"/>
            <w:vAlign w:val="center"/>
          </w:tcPr>
          <w:p w14:paraId="36990E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pacing w:val="-3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spacing w:val="-3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1384" w:type="dxa"/>
            <w:vAlign w:val="top"/>
          </w:tcPr>
          <w:p w14:paraId="256CB3CD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right="0" w:firstLine="0" w:firstLineChars="0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pacing w:val="1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"/>
                <w:sz w:val="24"/>
                <w:szCs w:val="24"/>
              </w:rPr>
              <w:t>生产建设项目水土保持监督检查</w:t>
            </w:r>
          </w:p>
        </w:tc>
        <w:tc>
          <w:tcPr>
            <w:tcW w:w="4190" w:type="dxa"/>
            <w:vAlign w:val="top"/>
          </w:tcPr>
          <w:p w14:paraId="47389515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right="0" w:firstLine="0" w:firstLineChars="0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pacing w:val="1"/>
                <w:sz w:val="24"/>
                <w:szCs w:val="24"/>
              </w:rPr>
            </w:pPr>
          </w:p>
          <w:p w14:paraId="5677094E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right="0" w:firstLine="0" w:firstLineChars="0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pacing w:val="1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"/>
                <w:sz w:val="24"/>
                <w:szCs w:val="24"/>
              </w:rPr>
              <w:t>对水土保持方案落实情况的行政检查</w:t>
            </w:r>
          </w:p>
        </w:tc>
        <w:tc>
          <w:tcPr>
            <w:tcW w:w="2220" w:type="dxa"/>
            <w:vAlign w:val="top"/>
          </w:tcPr>
          <w:p w14:paraId="20E73C32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right="0" w:firstLine="0" w:firstLineChars="0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pacing w:val="1"/>
                <w:sz w:val="24"/>
                <w:szCs w:val="24"/>
              </w:rPr>
            </w:pPr>
          </w:p>
          <w:p w14:paraId="7C1ABA09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right="0" w:firstLine="0" w:firstLineChars="0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pacing w:val="1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"/>
                <w:sz w:val="24"/>
                <w:szCs w:val="24"/>
              </w:rPr>
              <w:t>生产建设单位</w:t>
            </w:r>
          </w:p>
        </w:tc>
        <w:tc>
          <w:tcPr>
            <w:tcW w:w="1373" w:type="dxa"/>
            <w:vAlign w:val="top"/>
          </w:tcPr>
          <w:p w14:paraId="61E27759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right="0" w:firstLine="0" w:firstLineChars="0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pacing w:val="1"/>
                <w:sz w:val="24"/>
                <w:szCs w:val="24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"/>
                <w:sz w:val="24"/>
                <w:szCs w:val="24"/>
              </w:rPr>
              <w:t>双随机、一公开，</w:t>
            </w:r>
            <w:r>
              <w:rPr>
                <w:rFonts w:hint="eastAsia" w:ascii="方正仿宋_GB2312" w:hAnsi="方正仿宋_GB2312" w:eastAsia="方正仿宋_GB2312" w:cs="方正仿宋_GB2312"/>
                <w:spacing w:val="1"/>
                <w:sz w:val="24"/>
                <w:szCs w:val="24"/>
                <w:lang w:val="en-US" w:eastAsia="zh-CN"/>
              </w:rPr>
              <w:t>现场检查</w:t>
            </w:r>
          </w:p>
        </w:tc>
        <w:tc>
          <w:tcPr>
            <w:tcW w:w="1533" w:type="dxa"/>
            <w:vAlign w:val="center"/>
          </w:tcPr>
          <w:p w14:paraId="18EADD9E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right="0"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pacing w:val="1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"/>
                <w:sz w:val="24"/>
                <w:szCs w:val="24"/>
                <w:lang w:val="en-US" w:eastAsia="zh-CN"/>
              </w:rPr>
              <w:t>1次</w:t>
            </w:r>
          </w:p>
        </w:tc>
        <w:tc>
          <w:tcPr>
            <w:tcW w:w="2696" w:type="dxa"/>
            <w:vAlign w:val="top"/>
          </w:tcPr>
          <w:p w14:paraId="4A58217F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right="0" w:firstLine="0" w:firstLineChars="0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pacing w:val="1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"/>
                <w:sz w:val="24"/>
                <w:szCs w:val="24"/>
              </w:rPr>
              <w:t>《中华人民共和国水土保持法》第五条、第二十九条、第四十三条；《江苏省水土保持条例》第二十二条。</w:t>
            </w:r>
          </w:p>
        </w:tc>
      </w:tr>
      <w:tr w14:paraId="017216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8" w:type="dxa"/>
            <w:vAlign w:val="center"/>
          </w:tcPr>
          <w:p w14:paraId="47C961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pacing w:val="-3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spacing w:val="-3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1384" w:type="dxa"/>
            <w:vAlign w:val="top"/>
          </w:tcPr>
          <w:p w14:paraId="0F0DB3A6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right="0" w:firstLine="0" w:firstLineChars="0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pacing w:val="1"/>
                <w:sz w:val="24"/>
                <w:szCs w:val="24"/>
              </w:rPr>
            </w:pPr>
            <w:r>
              <w:rPr>
                <w:rStyle w:val="7"/>
                <w:rFonts w:hint="default" w:ascii="Times New Roman" w:hAnsi="Times New Roman" w:cs="Times New Roman"/>
              </w:rPr>
              <w:t>水利工程质量监督检查</w:t>
            </w:r>
          </w:p>
        </w:tc>
        <w:tc>
          <w:tcPr>
            <w:tcW w:w="4190" w:type="dxa"/>
            <w:vAlign w:val="top"/>
          </w:tcPr>
          <w:p w14:paraId="68308824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right="0" w:firstLine="0" w:firstLineChars="0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pacing w:val="1"/>
                <w:sz w:val="24"/>
                <w:szCs w:val="24"/>
              </w:rPr>
            </w:pPr>
            <w:r>
              <w:rPr>
                <w:rStyle w:val="7"/>
                <w:rFonts w:hint="default" w:ascii="Times New Roman" w:hAnsi="Times New Roman" w:cs="Times New Roman"/>
              </w:rPr>
              <w:t>检查项目是否组织开展施工图设计审查，合同和工程分包管理是否符合规定，工程质量检验评定与验收和强制性条文执行是否规范。项目参建单位质量安全管理体系是否建立健全、是否履职到位、是否严格按项目设计施工。监理单位是否严格按合同和规范要求执行旁站监理、平行检测等。施工企业是否存在无相关资质证书或超越资质承揽工程等问题。危险性较大工程（尤其是高边坡、深基坑、脚手架、高支模、起重吊装、围堰等）的施工安全专项方案编制及审查情况，风险分级管控和隐患排查治理情况，施工现场安全管理、安全防护措施落实情况。</w:t>
            </w:r>
          </w:p>
        </w:tc>
        <w:tc>
          <w:tcPr>
            <w:tcW w:w="2220" w:type="dxa"/>
            <w:vAlign w:val="top"/>
          </w:tcPr>
          <w:p w14:paraId="6B1B3C8D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right="0" w:firstLine="0" w:firstLineChars="0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pacing w:val="1"/>
                <w:sz w:val="24"/>
                <w:szCs w:val="24"/>
              </w:rPr>
            </w:pPr>
            <w:r>
              <w:rPr>
                <w:rStyle w:val="7"/>
                <w:rFonts w:hint="default" w:ascii="Times New Roman" w:hAnsi="Times New Roman" w:cs="Times New Roman"/>
              </w:rPr>
              <w:t>在建水利建设工程项目</w:t>
            </w:r>
          </w:p>
        </w:tc>
        <w:tc>
          <w:tcPr>
            <w:tcW w:w="1373" w:type="dxa"/>
            <w:vAlign w:val="top"/>
          </w:tcPr>
          <w:p w14:paraId="3A64008A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right="0" w:firstLine="0" w:firstLineChars="0"/>
              <w:jc w:val="both"/>
              <w:textAlignment w:val="auto"/>
              <w:rPr>
                <w:rFonts w:hint="default" w:ascii="方正仿宋_GB2312" w:hAnsi="方正仿宋_GB2312" w:eastAsia="方正仿宋_GB2312" w:cs="方正仿宋_GB2312"/>
                <w:spacing w:val="1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"/>
                <w:sz w:val="24"/>
                <w:szCs w:val="24"/>
                <w:lang w:val="en-US" w:eastAsia="zh-CN"/>
              </w:rPr>
              <w:t>四不两直、现场检</w:t>
            </w:r>
            <w:bookmarkStart w:id="0" w:name="_GoBack"/>
            <w:bookmarkEnd w:id="0"/>
            <w:r>
              <w:rPr>
                <w:rFonts w:hint="eastAsia" w:ascii="方正仿宋_GB2312" w:hAnsi="方正仿宋_GB2312" w:eastAsia="方正仿宋_GB2312" w:cs="方正仿宋_GB2312"/>
                <w:spacing w:val="1"/>
                <w:sz w:val="24"/>
                <w:szCs w:val="24"/>
                <w:lang w:val="en-US" w:eastAsia="zh-CN"/>
              </w:rPr>
              <w:t>查</w:t>
            </w:r>
          </w:p>
        </w:tc>
        <w:tc>
          <w:tcPr>
            <w:tcW w:w="1533" w:type="dxa"/>
            <w:vAlign w:val="center"/>
          </w:tcPr>
          <w:p w14:paraId="3735D727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right="0" w:firstLine="0" w:firstLineChars="0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pacing w:val="1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"/>
                <w:sz w:val="24"/>
                <w:szCs w:val="24"/>
                <w:lang w:val="en-US" w:eastAsia="zh-CN"/>
              </w:rPr>
              <w:t>1次</w:t>
            </w:r>
          </w:p>
        </w:tc>
        <w:tc>
          <w:tcPr>
            <w:tcW w:w="2696" w:type="dxa"/>
            <w:vAlign w:val="top"/>
          </w:tcPr>
          <w:p w14:paraId="41DADCD8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right="0" w:firstLine="0" w:firstLineChars="0"/>
              <w:jc w:val="both"/>
              <w:textAlignment w:val="auto"/>
              <w:rPr>
                <w:rFonts w:hint="default" w:ascii="方正仿宋_GB2312" w:hAnsi="方正仿宋_GB2312" w:eastAsia="方正仿宋_GBK" w:cs="方正仿宋_GB2312"/>
                <w:spacing w:val="1"/>
                <w:sz w:val="24"/>
                <w:szCs w:val="24"/>
                <w:lang w:val="en-US" w:eastAsia="zh-CN"/>
              </w:rPr>
            </w:pPr>
            <w:r>
              <w:rPr>
                <w:rStyle w:val="7"/>
                <w:rFonts w:hint="default" w:ascii="Times New Roman" w:hAnsi="Times New Roman" w:cs="Times New Roman"/>
              </w:rPr>
              <w:t>《建设工程质量管理条例》</w:t>
            </w:r>
            <w:r>
              <w:rPr>
                <w:rStyle w:val="7"/>
                <w:rFonts w:hint="eastAsia" w:ascii="Times New Roman" w:hAnsi="Times New Roman" w:eastAsia="方正仿宋_GBK" w:cs="Times New Roman"/>
                <w:lang w:val="en-US" w:eastAsia="zh-CN"/>
              </w:rPr>
              <w:t>第四十三、四十四条；</w:t>
            </w:r>
            <w:r>
              <w:rPr>
                <w:rStyle w:val="7"/>
                <w:rFonts w:hint="default" w:ascii="Times New Roman" w:hAnsi="Times New Roman" w:cs="Times New Roman"/>
              </w:rPr>
              <w:t>《水利工程质量管理规定》</w:t>
            </w:r>
            <w:r>
              <w:rPr>
                <w:rStyle w:val="7"/>
                <w:rFonts w:hint="eastAsia" w:ascii="Times New Roman" w:hAnsi="Times New Roman" w:eastAsia="方正仿宋_GBK" w:cs="Times New Roman"/>
                <w:lang w:val="en-US" w:eastAsia="zh-CN"/>
              </w:rPr>
              <w:t>第十三条、十四条；</w:t>
            </w:r>
            <w:r>
              <w:rPr>
                <w:rStyle w:val="7"/>
                <w:rFonts w:hint="default" w:ascii="Times New Roman" w:hAnsi="Times New Roman" w:cs="Times New Roman"/>
              </w:rPr>
              <w:t>《水利工程建设安全生产管理规定》</w:t>
            </w:r>
            <w:r>
              <w:rPr>
                <w:rStyle w:val="7"/>
                <w:rFonts w:hint="eastAsia" w:ascii="Times New Roman" w:hAnsi="Times New Roman" w:eastAsia="方正仿宋_GBK" w:cs="Times New Roman"/>
                <w:lang w:val="en-US" w:eastAsia="zh-CN"/>
              </w:rPr>
              <w:t>第二十六、二十九、三十条。</w:t>
            </w:r>
          </w:p>
        </w:tc>
      </w:tr>
    </w:tbl>
    <w:p w14:paraId="6913AF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27F6F767-C687-4FE2-9BA1-E0505BC50EC4}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  <w:embedRegular r:id="rId2" w:fontKey="{78E84B9E-82E4-43C5-999F-49448281545C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  <w:embedRegular r:id="rId3" w:fontKey="{830E4C1A-B1AA-4672-8CEB-9AD126C1A0A5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4" w:fontKey="{7115CED2-7075-4B4E-A051-2D6261B027DE}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  <w:embedRegular r:id="rId5" w:fontKey="{DE906154-EFF1-41CB-9234-AF829653E8E9}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6" w:fontKey="{91BD17D4-C9B4-427D-AAE6-10F8A7E9C699}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800002BF" w:usb1="38CF7CFA" w:usb2="00000016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7" w:fontKey="{20D9DFAB-9410-47FE-94B8-BC33C4CF3E7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embedTrueType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BB56979"/>
    <w:rsid w:val="0C6706F1"/>
    <w:rsid w:val="190153DD"/>
    <w:rsid w:val="1B770A1A"/>
    <w:rsid w:val="1EBE736E"/>
    <w:rsid w:val="2AC7799B"/>
    <w:rsid w:val="30087837"/>
    <w:rsid w:val="37D64508"/>
    <w:rsid w:val="396A50BF"/>
    <w:rsid w:val="4B360D5E"/>
    <w:rsid w:val="4D3F09EA"/>
    <w:rsid w:val="4FAB39C4"/>
    <w:rsid w:val="5EB3266E"/>
    <w:rsid w:val="605B3923"/>
    <w:rsid w:val="6BB56979"/>
    <w:rsid w:val="73395D7C"/>
    <w:rsid w:val="7C907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5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7">
    <w:name w:val="font21"/>
    <w:basedOn w:val="4"/>
    <w:qFormat/>
    <w:uiPriority w:val="0"/>
    <w:rPr>
      <w:rFonts w:hint="eastAsia" w:ascii="方正仿宋_GBK" w:eastAsia="方正仿宋_GBK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898</Words>
  <Characters>904</Characters>
  <Lines>0</Lines>
  <Paragraphs>0</Paragraphs>
  <TotalTime>598</TotalTime>
  <ScaleCrop>false</ScaleCrop>
  <LinksUpToDate>false</LinksUpToDate>
  <CharactersWithSpaces>904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2025-06-09T09:18:00Z</dcterms:created>
  <dc:creator>云中鹤</dc:creator>
  <cp:lastModifiedBy>胡家平</cp:lastModifiedBy>
  <cp:lastPrinted>2025-07-22T06:54:00Z</cp:lastPrinted>
  <dcterms:modified xsi:type="dcterms:W3CDTF">2026-05-11T07:25:59Z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473CFA78CE5349FA8C1041642D42B4CB_13</vt:lpwstr>
  </property>
  <property fmtid="{D5CDD505-2E9C-101B-9397-08002B2CF9AE}" pid="4" name="KSOTemplateDocerSaveRecord">
    <vt:lpwstr>eyJoZGlkIjoiNjA4MWI1Mzg5ZTFiZDc4MTdmN2IyN2UxOWRjMjVlZmYiLCJ1c2VySWQiOiIyNjkwOTgxODUifQ==</vt:lpwstr>
  </property>
  <property fmtid="{D5CDD505-2E9C-101B-9397-08002B2CF9AE}" pid="5" name="KSOSaveFontToCloudKey">
    <vt:lpwstr>250893504_embed</vt:lpwstr>
  </property>
</Properties>
</file>