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560" w:lineRule="exact"/>
        <w:jc w:val="both"/>
        <w:rPr>
          <w:rFonts w:ascii="Times New Roman" w:hAnsi="Times New Roman" w:cs="Times New Roman"/>
          <w:bCs w:val="0"/>
        </w:rPr>
      </w:pPr>
      <w:bookmarkStart w:id="0" w:name="_Toc12592"/>
      <w:bookmarkStart w:id="1" w:name="_Toc21008"/>
      <w:bookmarkStart w:id="2" w:name="_Toc11795"/>
      <w:bookmarkStart w:id="3" w:name="_Toc59389212"/>
      <w:bookmarkStart w:id="4" w:name="_Toc16420"/>
      <w:bookmarkStart w:id="5" w:name="_Toc1704"/>
      <w:bookmarkStart w:id="6" w:name="_Toc60744706"/>
      <w:bookmarkStart w:id="7" w:name="_Toc28239"/>
      <w:bookmarkStart w:id="8" w:name="_Toc28198"/>
      <w:bookmarkStart w:id="9" w:name="_Toc24661"/>
    </w:p>
    <w:p>
      <w:pPr>
        <w:pStyle w:val="2"/>
        <w:spacing w:before="0" w:after="0" w:line="560" w:lineRule="exact"/>
        <w:rPr>
          <w:rFonts w:ascii="Times New Roman" w:hAnsi="Times New Roman" w:cs="Times New Roman"/>
          <w:bCs w:val="0"/>
        </w:rPr>
      </w:pPr>
      <w:r>
        <w:rPr>
          <w:rFonts w:hint="eastAsia" w:ascii="Times New Roman" w:hAnsi="Times New Roman" w:cs="Times New Roman"/>
          <w:bCs w:val="0"/>
        </w:rPr>
        <w:t>序</w:t>
      </w:r>
      <w:r>
        <w:rPr>
          <w:rFonts w:ascii="Times New Roman" w:hAnsi="Times New Roman" w:cs="Times New Roman"/>
          <w:bCs w:val="0"/>
        </w:rPr>
        <w:t xml:space="preserve">  </w:t>
      </w:r>
      <w:r>
        <w:rPr>
          <w:rFonts w:hint="eastAsia" w:ascii="Times New Roman" w:hAnsi="Times New Roman" w:cs="Times New Roman"/>
          <w:bCs w:val="0"/>
        </w:rPr>
        <w:t>言</w:t>
      </w:r>
      <w:bookmarkEnd w:id="0"/>
      <w:bookmarkEnd w:id="1"/>
    </w:p>
    <w:p>
      <w:pPr>
        <w:tabs>
          <w:tab w:val="left" w:pos="6212"/>
        </w:tabs>
        <w:rPr>
          <w:rFonts w:ascii="Times New Roman" w:hAnsi="Times New Roman" w:cs="Times New Roman"/>
          <w:sz w:val="44"/>
          <w:szCs w:val="44"/>
        </w:rPr>
      </w:pPr>
      <w:r>
        <w:rPr>
          <w:rFonts w:ascii="Times New Roman" w:hAnsi="Times New Roman" w:cs="Times New Roman"/>
          <w:sz w:val="44"/>
          <w:szCs w:val="44"/>
        </w:rPr>
        <w:tab/>
      </w:r>
    </w:p>
    <w:p>
      <w:pPr>
        <w:rPr>
          <w:rFonts w:ascii="Times New Roman" w:hAnsi="Times New Roman" w:cs="Times New Roman"/>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r>
        <w:rPr>
          <w:rFonts w:eastAsia="方正仿宋_GBK"/>
          <w:kern w:val="2"/>
          <w:sz w:val="32"/>
          <w:szCs w:val="32"/>
        </w:rPr>
        <w:t>“</w:t>
      </w:r>
      <w:r>
        <w:rPr>
          <w:rFonts w:hint="eastAsia" w:eastAsia="方正仿宋_GBK"/>
          <w:kern w:val="2"/>
          <w:sz w:val="32"/>
          <w:szCs w:val="32"/>
        </w:rPr>
        <w:t>十四五</w:t>
      </w:r>
      <w:r>
        <w:rPr>
          <w:rFonts w:eastAsia="方正仿宋_GBK"/>
          <w:kern w:val="2"/>
          <w:sz w:val="32"/>
          <w:szCs w:val="32"/>
        </w:rPr>
        <w:t>”</w:t>
      </w:r>
      <w:r>
        <w:rPr>
          <w:rFonts w:hint="eastAsia" w:eastAsia="方正仿宋_GBK"/>
          <w:kern w:val="2"/>
          <w:sz w:val="32"/>
          <w:szCs w:val="32"/>
        </w:rPr>
        <w:t>时期，是</w:t>
      </w:r>
      <w:r>
        <w:rPr>
          <w:rFonts w:hint="eastAsia" w:eastAsia="方正仿宋_GBK"/>
          <w:sz w:val="32"/>
          <w:szCs w:val="32"/>
        </w:rPr>
        <w:t>句容市坚持以习近平新时代中国特色社会主义思想为指导，全面贯彻党的十九大和十九届二中、三中、四中、五中全会以及习近平总书记在江苏考察时的讲话精神，</w:t>
      </w:r>
      <w:r>
        <w:rPr>
          <w:rFonts w:hint="eastAsia" w:eastAsia="方正仿宋_GBK"/>
          <w:kern w:val="2"/>
          <w:sz w:val="32"/>
          <w:szCs w:val="32"/>
        </w:rPr>
        <w:t>推动</w:t>
      </w:r>
      <w:r>
        <w:rPr>
          <w:rFonts w:eastAsia="方正仿宋_GBK"/>
          <w:kern w:val="2"/>
          <w:sz w:val="32"/>
          <w:szCs w:val="32"/>
        </w:rPr>
        <w:t>“</w:t>
      </w:r>
      <w:r>
        <w:rPr>
          <w:rFonts w:hint="eastAsia" w:eastAsia="方正仿宋_GBK"/>
          <w:kern w:val="2"/>
          <w:sz w:val="32"/>
          <w:szCs w:val="32"/>
        </w:rPr>
        <w:t>强富美高</w:t>
      </w:r>
      <w:r>
        <w:rPr>
          <w:rFonts w:eastAsia="方正仿宋_GBK"/>
          <w:kern w:val="2"/>
          <w:sz w:val="32"/>
          <w:szCs w:val="32"/>
        </w:rPr>
        <w:t>”</w:t>
      </w:r>
      <w:r>
        <w:rPr>
          <w:rFonts w:hint="eastAsia" w:eastAsia="方正仿宋_GBK"/>
          <w:kern w:val="2"/>
          <w:sz w:val="32"/>
          <w:szCs w:val="32"/>
        </w:rPr>
        <w:t>建设再出发、展现</w:t>
      </w:r>
      <w:r>
        <w:rPr>
          <w:rFonts w:eastAsia="方正仿宋_GBK"/>
          <w:kern w:val="2"/>
          <w:sz w:val="32"/>
          <w:szCs w:val="32"/>
        </w:rPr>
        <w:t>“</w:t>
      </w:r>
      <w:r>
        <w:rPr>
          <w:rFonts w:hint="eastAsia" w:eastAsia="方正仿宋_GBK"/>
          <w:kern w:val="2"/>
          <w:sz w:val="32"/>
          <w:szCs w:val="32"/>
        </w:rPr>
        <w:t>两争一前列</w:t>
      </w:r>
      <w:r>
        <w:rPr>
          <w:rFonts w:eastAsia="方正仿宋_GBK"/>
          <w:kern w:val="2"/>
          <w:sz w:val="32"/>
          <w:szCs w:val="32"/>
        </w:rPr>
        <w:t>”</w:t>
      </w:r>
      <w:r>
        <w:rPr>
          <w:rFonts w:hint="eastAsia" w:eastAsia="方正仿宋_GBK"/>
          <w:kern w:val="2"/>
          <w:sz w:val="32"/>
          <w:szCs w:val="32"/>
        </w:rPr>
        <w:t>担当作为的关键五年。根据《句容市委关于制定句容市国民经济和社会发展第十四个五年规划和二〇三五年远景目标的建议》，编制《句容市国民经济和社会发展第十四个五年规划和二〇三五年远景目标纲要》，阐明</w:t>
      </w:r>
      <w:r>
        <w:rPr>
          <w:rFonts w:eastAsia="方正仿宋_GBK"/>
          <w:kern w:val="2"/>
          <w:sz w:val="32"/>
          <w:szCs w:val="32"/>
        </w:rPr>
        <w:t>“</w:t>
      </w:r>
      <w:r>
        <w:rPr>
          <w:rFonts w:hint="eastAsia" w:eastAsia="方正仿宋_GBK"/>
          <w:kern w:val="2"/>
          <w:sz w:val="32"/>
          <w:szCs w:val="32"/>
        </w:rPr>
        <w:t>十四五</w:t>
      </w:r>
      <w:r>
        <w:rPr>
          <w:rFonts w:eastAsia="方正仿宋_GBK"/>
          <w:kern w:val="2"/>
          <w:sz w:val="32"/>
          <w:szCs w:val="32"/>
        </w:rPr>
        <w:t>”</w:t>
      </w:r>
      <w:r>
        <w:rPr>
          <w:rFonts w:hint="eastAsia" w:eastAsia="方正仿宋_GBK"/>
          <w:kern w:val="2"/>
          <w:sz w:val="32"/>
          <w:szCs w:val="32"/>
        </w:rPr>
        <w:t>时期的发展思路、主要目标、重点任务和政策取向，是政府履行职责的重要依据，是全市人民共同奋斗的行动纲领。</w:t>
      </w: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640" w:firstLineChars="200"/>
        <w:jc w:val="both"/>
        <w:rPr>
          <w:rFonts w:hint="eastAsia" w:eastAsia="方正仿宋_GBK"/>
          <w:kern w:val="2"/>
          <w:sz w:val="32"/>
          <w:szCs w:val="32"/>
        </w:rPr>
      </w:pPr>
    </w:p>
    <w:p>
      <w:pPr>
        <w:pStyle w:val="20"/>
        <w:widowControl w:val="0"/>
        <w:tabs>
          <w:tab w:val="right" w:leader="dot" w:pos="8820"/>
        </w:tabs>
        <w:overflowPunct w:val="0"/>
        <w:spacing w:before="0" w:beforeAutospacing="0" w:after="0" w:afterAutospacing="0" w:line="560" w:lineRule="exact"/>
        <w:ind w:firstLine="880" w:firstLineChars="200"/>
        <w:jc w:val="both"/>
        <w:rPr>
          <w:rFonts w:hint="eastAsia" w:ascii="方正小标宋_GBK" w:hAnsi="方正小标宋_GBK" w:eastAsia="方正小标宋_GBK" w:cs="方正小标宋_GBK"/>
          <w:kern w:val="2"/>
          <w:sz w:val="44"/>
          <w:szCs w:val="44"/>
          <w:lang w:eastAsia="zh-CN"/>
        </w:rPr>
      </w:pPr>
    </w:p>
    <w:p>
      <w:pPr>
        <w:pStyle w:val="2"/>
        <w:spacing w:before="0" w:after="0" w:line="560" w:lineRule="exact"/>
        <w:rPr>
          <w:rFonts w:ascii="Times New Roman" w:hAnsi="Times New Roman" w:cs="Times New Roman"/>
          <w:szCs w:val="48"/>
        </w:rPr>
      </w:pPr>
      <w:bookmarkStart w:id="10" w:name="_Toc13979"/>
      <w:bookmarkStart w:id="11" w:name="_Toc27501"/>
      <w:r>
        <w:rPr>
          <w:rFonts w:hint="eastAsia" w:ascii="Times New Roman" w:hAnsi="Times New Roman" w:cs="Times New Roman"/>
          <w:bCs w:val="0"/>
        </w:rPr>
        <w:t>目</w:t>
      </w:r>
      <w:r>
        <w:rPr>
          <w:rFonts w:ascii="Times New Roman" w:hAnsi="Times New Roman" w:cs="Times New Roman"/>
          <w:bCs w:val="0"/>
        </w:rPr>
        <w:t xml:space="preserve">  </w:t>
      </w:r>
      <w:r>
        <w:rPr>
          <w:rFonts w:hint="eastAsia" w:ascii="Times New Roman" w:hAnsi="Times New Roman" w:cs="Times New Roman"/>
          <w:bCs w:val="0"/>
        </w:rPr>
        <w:t>录</w:t>
      </w:r>
      <w:bookmarkEnd w:id="2"/>
      <w:bookmarkEnd w:id="3"/>
      <w:bookmarkEnd w:id="4"/>
      <w:bookmarkEnd w:id="5"/>
      <w:bookmarkEnd w:id="6"/>
      <w:bookmarkEnd w:id="7"/>
      <w:bookmarkEnd w:id="8"/>
      <w:bookmarkEnd w:id="9"/>
      <w:bookmarkEnd w:id="10"/>
      <w:bookmarkEnd w:id="11"/>
    </w:p>
    <w:p>
      <w:pPr>
        <w:pStyle w:val="15"/>
        <w:tabs>
          <w:tab w:val="right" w:leader="dot" w:pos="8306"/>
          <w:tab w:val="clear" w:pos="8296"/>
        </w:tabs>
        <w:rPr>
          <w:rFonts w:ascii="Times New Roman" w:hAnsi="Times New Roman" w:cs="Times New Roman"/>
        </w:rPr>
      </w:pPr>
      <w:r>
        <w:rPr>
          <w:rFonts w:ascii="Times New Roman" w:hAnsi="Times New Roman" w:eastAsia="方正仿宋_GBK" w:cs="Times New Roman"/>
          <w:b w:val="0"/>
          <w:sz w:val="28"/>
          <w:szCs w:val="28"/>
        </w:rPr>
        <w:fldChar w:fldCharType="begin"/>
      </w:r>
      <w:r>
        <w:rPr>
          <w:rFonts w:ascii="Times New Roman" w:hAnsi="Times New Roman" w:eastAsia="方正仿宋_GBK" w:cs="Times New Roman"/>
          <w:b w:val="0"/>
          <w:sz w:val="28"/>
          <w:szCs w:val="28"/>
        </w:rPr>
        <w:instrText xml:space="preserve">TOC \o "1-3"</w:instrText>
      </w:r>
      <w:r>
        <w:rPr>
          <w:rFonts w:ascii="Times New Roman" w:hAnsi="Times New Roman" w:eastAsia="方正仿宋_GBK" w:cs="Times New Roman"/>
          <w:b w:val="0"/>
          <w:sz w:val="28"/>
          <w:szCs w:val="28"/>
        </w:rPr>
        <w:fldChar w:fldCharType="separate"/>
      </w:r>
    </w:p>
    <w:p>
      <w:pPr>
        <w:pStyle w:val="15"/>
        <w:tabs>
          <w:tab w:val="right" w:leader="dot" w:pos="8306"/>
          <w:tab w:val="clear" w:pos="8296"/>
        </w:tabs>
        <w:spacing w:line="460" w:lineRule="exact"/>
        <w:ind w:left="1120" w:hanging="1120" w:hangingChars="400"/>
        <w:jc w:val="distribute"/>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第一章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w w:val="95"/>
          <w:sz w:val="28"/>
          <w:szCs w:val="28"/>
        </w:rPr>
        <w:t>高水平全面建成小康社会</w:t>
      </w:r>
      <w:r>
        <w:rPr>
          <w:rFonts w:ascii="Times New Roman" w:hAnsi="Times New Roman" w:eastAsia="方正黑体_GBK" w:cs="Times New Roman"/>
          <w:b w:val="0"/>
          <w:bCs/>
          <w:w w:val="95"/>
          <w:sz w:val="28"/>
          <w:szCs w:val="28"/>
        </w:rPr>
        <w:t xml:space="preserve"> </w:t>
      </w:r>
      <w:r>
        <w:rPr>
          <w:rFonts w:hint="eastAsia" w:ascii="Times New Roman" w:hAnsi="Times New Roman" w:eastAsia="方正黑体_GBK" w:cs="Times New Roman"/>
          <w:b w:val="0"/>
          <w:bCs/>
          <w:w w:val="95"/>
          <w:sz w:val="28"/>
          <w:szCs w:val="28"/>
        </w:rPr>
        <w:t>开启全面建设社会主义现代新征程</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_Toc10748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4</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发展基础</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_Toc12467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4</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发展环境</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_Toc6970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8</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第三节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二〇三五年远景目标</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_Toc24778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10</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第二章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十四五</w:t>
      </w:r>
      <w:r>
        <w:rPr>
          <w:rFonts w:ascii="Times New Roman" w:hAnsi="Times New Roman" w:eastAsia="方正黑体_GBK" w:cs="Times New Roman"/>
          <w:b w:val="0"/>
          <w:bCs/>
          <w:sz w:val="28"/>
          <w:szCs w:val="28"/>
        </w:rPr>
        <w:t>”</w:t>
      </w:r>
      <w:r>
        <w:rPr>
          <w:rFonts w:hint="eastAsia" w:ascii="Times New Roman" w:hAnsi="Times New Roman" w:eastAsia="方正黑体_GBK" w:cs="Times New Roman"/>
          <w:b w:val="0"/>
          <w:bCs/>
          <w:sz w:val="28"/>
          <w:szCs w:val="28"/>
        </w:rPr>
        <w:t>时期经济社会发展</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指导方针和主要目标</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_Toc11209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11</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指导思想和基本原则</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_Toc29889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11</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发展定位与战略导向</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_Toc15131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13</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第三节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主要</w:t>
      </w:r>
      <w:r>
        <w:rPr>
          <w:rFonts w:hint="eastAsia" w:ascii="Times New Roman" w:hAnsi="Times New Roman" w:eastAsia="方正楷体_GBK" w:cs="Times New Roman"/>
          <w:b w:val="0"/>
          <w:bCs/>
          <w:sz w:val="28"/>
          <w:szCs w:val="28"/>
          <w:lang w:eastAsia="zh-CN"/>
        </w:rPr>
        <w:t>目</w:t>
      </w:r>
      <w:r>
        <w:rPr>
          <w:rFonts w:hint="eastAsia" w:ascii="Times New Roman" w:hAnsi="Times New Roman" w:eastAsia="方正楷体_GBK" w:cs="Times New Roman"/>
          <w:b w:val="0"/>
          <w:bCs/>
          <w:sz w:val="28"/>
          <w:szCs w:val="28"/>
        </w:rPr>
        <w:t>标和工作抓手</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_Toc9146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15</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第三章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抢抓多重战略叠加机遇</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全方位融入区域一体化发展大局</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_Toc18708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20</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落实重大区域发展战略</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_Toc31173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20</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加快产业协作一体化</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_Toc4885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21</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第三节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推进区域创新一体化</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_Toc11693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23</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第四节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落实基础设施一体化</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_Toc12347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24</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第五节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构建区域市场一体化</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_Toc24513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25</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第六节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实现绿色发展一体化</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_Toc24850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26</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第四章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构建延展融合的现代产业体系</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加快创新动能转换</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_Toc6613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28</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构筑</w:t>
      </w:r>
      <w:r>
        <w:rPr>
          <w:rFonts w:hint="eastAsia" w:ascii="Times New Roman" w:hAnsi="Times New Roman" w:eastAsia="方正楷体_GBK" w:cs="Times New Roman"/>
          <w:b w:val="0"/>
          <w:bCs/>
          <w:sz w:val="28"/>
          <w:szCs w:val="28"/>
          <w:lang w:eastAsia="zh-CN"/>
        </w:rPr>
        <w:t>以</w:t>
      </w:r>
      <w:r>
        <w:rPr>
          <w:rFonts w:hint="eastAsia" w:ascii="Times New Roman" w:hAnsi="Times New Roman" w:eastAsia="方正楷体_GBK" w:cs="Times New Roman"/>
          <w:b w:val="0"/>
          <w:bCs/>
          <w:sz w:val="28"/>
          <w:szCs w:val="28"/>
        </w:rPr>
        <w:t>四大先进制造业为主导的制造业体系</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_Toc7741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28</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加快培育一批新兴业态</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_Toc14840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31</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第三节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促进农文康旅多元业态融合</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_Toc29347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33</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第四节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推动产业升级改造</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_Toc20738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37</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第五节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打造一流创新生态环境</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_Toc22767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39</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第五章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加快城乡一体进程</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构筑市域特色空间格局</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_Toc31410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42</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统筹全域空间格局</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_Toc30593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42</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加快交通设施提档升级</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_Toc17578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48</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第三节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提升美丽城乡空间品质</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_Toc12514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49</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第六章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坚持生态文明绿色发展</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彰显山水田园福地生态气质</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_Toc15382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52</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严格落实生态保护底线思维</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_Toc5167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52</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促进生态优势经济转化</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_Toc3272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54</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第七章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深入实施乡村振兴战略</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提升农民获得感</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_Toc20527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55</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加快美丽乡村建设</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_Toc10053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55</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深化农村体制机制改革</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_Toc15267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56</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第八章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切实保障民生需求</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推进社会事业不断提升</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_Toc24774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59</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推动各类教育均衡发展</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_Toc12300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59</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构建全民健康共建共享体系</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_Toc15335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62</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第三节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持续优化社会保障体系</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_Toc1286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64</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第九章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发挥新时代句容精神动力</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擦亮福地名城文化品牌</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_Toc17038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66</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弘扬社会主义思想文化</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_Toc26433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66</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强化文体服务体系</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_Toc24471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68</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第十章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全面深化体制机制改革</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激发全社会创造力和市场活力</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_Toc663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71</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建设高标准市场体系</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_Toc14623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71</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激发各类市场主体活力</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_Toc23888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72</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第三节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推进营商环境持续优化</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_Toc4688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73</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第十一章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深化民主法治建设</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推动社会治理体系现代化</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_Toc24178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75</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加强社会主义民主法治建设</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_Toc8176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75</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加强和创新现代社会治理</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_Toc2790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76</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第三节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完善城市安全应急管理体系</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_Toc12261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77</w:t>
      </w:r>
      <w:r>
        <w:rPr>
          <w:rFonts w:ascii="Times New Roman" w:hAnsi="Times New Roman" w:eastAsia="方正楷体_GBK" w:cs="Times New Roman"/>
          <w:b w:val="0"/>
          <w:bCs/>
          <w:sz w:val="28"/>
          <w:szCs w:val="28"/>
        </w:rPr>
        <w:fldChar w:fldCharType="end"/>
      </w:r>
    </w:p>
    <w:p>
      <w:pPr>
        <w:pStyle w:val="15"/>
        <w:tabs>
          <w:tab w:val="right" w:leader="dot" w:pos="8306"/>
          <w:tab w:val="clear" w:pos="8296"/>
        </w:tabs>
        <w:spacing w:line="460" w:lineRule="exact"/>
        <w:ind w:left="1120" w:hanging="1120" w:hangingChars="400"/>
        <w:rPr>
          <w:rFonts w:ascii="Times New Roman" w:hAnsi="Times New Roman" w:eastAsia="方正黑体_GBK" w:cs="Times New Roman"/>
          <w:b w:val="0"/>
          <w:bCs/>
          <w:sz w:val="28"/>
          <w:szCs w:val="28"/>
        </w:rPr>
      </w:pPr>
      <w:r>
        <w:rPr>
          <w:rFonts w:hint="eastAsia" w:ascii="Times New Roman" w:hAnsi="Times New Roman" w:eastAsia="方正黑体_GBK" w:cs="Times New Roman"/>
          <w:b w:val="0"/>
          <w:bCs/>
          <w:sz w:val="28"/>
          <w:szCs w:val="28"/>
        </w:rPr>
        <w:t>第十二章</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加强规划引领能力</w:t>
      </w:r>
      <w:r>
        <w:rPr>
          <w:rFonts w:ascii="Times New Roman" w:hAnsi="Times New Roman" w:eastAsia="方正黑体_GBK" w:cs="Times New Roman"/>
          <w:b w:val="0"/>
          <w:bCs/>
          <w:sz w:val="28"/>
          <w:szCs w:val="28"/>
        </w:rPr>
        <w:t xml:space="preserve"> </w:t>
      </w:r>
      <w:r>
        <w:rPr>
          <w:rFonts w:hint="eastAsia" w:ascii="Times New Roman" w:hAnsi="Times New Roman" w:eastAsia="方正黑体_GBK" w:cs="Times New Roman"/>
          <w:b w:val="0"/>
          <w:bCs/>
          <w:sz w:val="28"/>
          <w:szCs w:val="28"/>
        </w:rPr>
        <w:t>推动规划组织保障和衔接实施</w:t>
      </w:r>
      <w:r>
        <w:rPr>
          <w:rFonts w:ascii="Times New Roman" w:hAnsi="Times New Roman" w:eastAsia="方正黑体_GBK" w:cs="Times New Roman"/>
          <w:b w:val="0"/>
          <w:bCs/>
          <w:sz w:val="28"/>
          <w:szCs w:val="28"/>
        </w:rPr>
        <w:tab/>
      </w:r>
      <w:r>
        <w:rPr>
          <w:rFonts w:ascii="Times New Roman" w:hAnsi="Times New Roman" w:eastAsia="方正黑体_GBK" w:cs="Times New Roman"/>
          <w:b w:val="0"/>
          <w:bCs/>
          <w:sz w:val="28"/>
          <w:szCs w:val="28"/>
        </w:rPr>
        <w:fldChar w:fldCharType="begin"/>
      </w:r>
      <w:r>
        <w:rPr>
          <w:rFonts w:ascii="Times New Roman" w:hAnsi="Times New Roman" w:eastAsia="方正黑体_GBK" w:cs="Times New Roman"/>
          <w:b w:val="0"/>
          <w:bCs/>
          <w:sz w:val="28"/>
          <w:szCs w:val="28"/>
        </w:rPr>
        <w:instrText xml:space="preserve"> PAGEREF _Toc10909 \h </w:instrText>
      </w:r>
      <w:r>
        <w:rPr>
          <w:rFonts w:ascii="Times New Roman" w:hAnsi="Times New Roman" w:eastAsia="方正黑体_GBK" w:cs="Times New Roman"/>
          <w:b w:val="0"/>
          <w:bCs/>
          <w:sz w:val="28"/>
          <w:szCs w:val="28"/>
        </w:rPr>
        <w:fldChar w:fldCharType="separate"/>
      </w:r>
      <w:r>
        <w:rPr>
          <w:rFonts w:ascii="Times New Roman" w:hAnsi="Times New Roman" w:eastAsia="方正黑体_GBK" w:cs="Times New Roman"/>
          <w:b w:val="0"/>
          <w:bCs/>
          <w:sz w:val="28"/>
          <w:szCs w:val="28"/>
        </w:rPr>
        <w:t>79</w:t>
      </w:r>
      <w:r>
        <w:rPr>
          <w:rFonts w:ascii="Times New Roman" w:hAnsi="Times New Roman" w:eastAsia="方正黑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第一节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全面加强党的领导</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_Toc213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79</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第二节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健全规划落实机制</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_Toc18294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79</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第三节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科学实施监督评估</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_Toc3619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81</w:t>
      </w:r>
      <w:r>
        <w:rPr>
          <w:rFonts w:ascii="Times New Roman" w:hAnsi="Times New Roman" w:eastAsia="方正楷体_GBK" w:cs="Times New Roman"/>
          <w:b w:val="0"/>
          <w:bCs/>
          <w:sz w:val="28"/>
          <w:szCs w:val="28"/>
        </w:rPr>
        <w:fldChar w:fldCharType="end"/>
      </w:r>
    </w:p>
    <w:p>
      <w:pPr>
        <w:pStyle w:val="18"/>
        <w:tabs>
          <w:tab w:val="right" w:leader="dot" w:pos="8306"/>
          <w:tab w:val="clear" w:pos="8296"/>
        </w:tabs>
        <w:spacing w:line="460" w:lineRule="exact"/>
        <w:rPr>
          <w:rFonts w:ascii="Times New Roman" w:hAnsi="Times New Roman" w:eastAsia="方正楷体_GBK" w:cs="Times New Roman"/>
          <w:b w:val="0"/>
          <w:bCs/>
          <w:sz w:val="28"/>
          <w:szCs w:val="28"/>
        </w:rPr>
      </w:pPr>
      <w:r>
        <w:rPr>
          <w:rFonts w:hint="eastAsia" w:ascii="Times New Roman" w:hAnsi="Times New Roman" w:eastAsia="方正楷体_GBK" w:cs="Times New Roman"/>
          <w:b w:val="0"/>
          <w:bCs/>
          <w:sz w:val="28"/>
          <w:szCs w:val="28"/>
        </w:rPr>
        <w:t>第四节</w:t>
      </w:r>
      <w:r>
        <w:rPr>
          <w:rFonts w:ascii="Times New Roman" w:hAnsi="Times New Roman" w:eastAsia="方正楷体_GBK" w:cs="Times New Roman"/>
          <w:b w:val="0"/>
          <w:bCs/>
          <w:sz w:val="28"/>
          <w:szCs w:val="28"/>
        </w:rPr>
        <w:t xml:space="preserve"> </w:t>
      </w:r>
      <w:r>
        <w:rPr>
          <w:rFonts w:hint="eastAsia" w:ascii="Times New Roman" w:hAnsi="Times New Roman" w:eastAsia="方正楷体_GBK" w:cs="Times New Roman"/>
          <w:b w:val="0"/>
          <w:bCs/>
          <w:sz w:val="28"/>
          <w:szCs w:val="28"/>
        </w:rPr>
        <w:t>广泛凝聚社会力量</w:t>
      </w:r>
      <w:r>
        <w:rPr>
          <w:rFonts w:ascii="Times New Roman" w:hAnsi="Times New Roman" w:eastAsia="方正楷体_GBK" w:cs="Times New Roman"/>
          <w:b w:val="0"/>
          <w:bCs/>
          <w:sz w:val="28"/>
          <w:szCs w:val="28"/>
        </w:rPr>
        <w:tab/>
      </w:r>
      <w:r>
        <w:rPr>
          <w:rFonts w:ascii="Times New Roman" w:hAnsi="Times New Roman" w:eastAsia="方正楷体_GBK" w:cs="Times New Roman"/>
          <w:b w:val="0"/>
          <w:bCs/>
          <w:sz w:val="28"/>
          <w:szCs w:val="28"/>
        </w:rPr>
        <w:fldChar w:fldCharType="begin"/>
      </w:r>
      <w:r>
        <w:rPr>
          <w:rFonts w:ascii="Times New Roman" w:hAnsi="Times New Roman" w:eastAsia="方正楷体_GBK" w:cs="Times New Roman"/>
          <w:b w:val="0"/>
          <w:bCs/>
          <w:sz w:val="28"/>
          <w:szCs w:val="28"/>
        </w:rPr>
        <w:instrText xml:space="preserve"> PAGEREF _Toc18205 \h </w:instrText>
      </w:r>
      <w:r>
        <w:rPr>
          <w:rFonts w:ascii="Times New Roman" w:hAnsi="Times New Roman" w:eastAsia="方正楷体_GBK" w:cs="Times New Roman"/>
          <w:b w:val="0"/>
          <w:bCs/>
          <w:sz w:val="28"/>
          <w:szCs w:val="28"/>
        </w:rPr>
        <w:fldChar w:fldCharType="separate"/>
      </w:r>
      <w:r>
        <w:rPr>
          <w:rFonts w:ascii="Times New Roman" w:hAnsi="Times New Roman" w:eastAsia="方正楷体_GBK" w:cs="Times New Roman"/>
          <w:b w:val="0"/>
          <w:bCs/>
          <w:sz w:val="28"/>
          <w:szCs w:val="28"/>
        </w:rPr>
        <w:t>82</w:t>
      </w:r>
      <w:r>
        <w:rPr>
          <w:rFonts w:ascii="Times New Roman" w:hAnsi="Times New Roman" w:eastAsia="方正楷体_GBK" w:cs="Times New Roman"/>
          <w:b w:val="0"/>
          <w:bCs/>
          <w:sz w:val="28"/>
          <w:szCs w:val="28"/>
        </w:rPr>
        <w:fldChar w:fldCharType="end"/>
      </w:r>
    </w:p>
    <w:p>
      <w:pPr>
        <w:pStyle w:val="13"/>
        <w:spacing w:line="460" w:lineRule="exact"/>
        <w:jc w:val="both"/>
        <w:rPr>
          <w:rFonts w:ascii="Times New Roman" w:hAnsi="Times New Roman"/>
          <w:sz w:val="28"/>
          <w:szCs w:val="28"/>
        </w:rPr>
      </w:pPr>
      <w:r>
        <w:rPr>
          <w:rFonts w:ascii="Times New Roman" w:hAnsi="Times New Roman" w:eastAsia="方正仿宋_GBK"/>
          <w:b/>
          <w:sz w:val="28"/>
          <w:szCs w:val="28"/>
        </w:rPr>
        <w:fldChar w:fldCharType="end"/>
      </w:r>
    </w:p>
    <w:p>
      <w:pPr>
        <w:pStyle w:val="2"/>
        <w:adjustRightInd w:val="0"/>
        <w:snapToGrid w:val="0"/>
        <w:spacing w:before="0" w:after="0" w:line="560" w:lineRule="exact"/>
        <w:jc w:val="both"/>
        <w:rPr>
          <w:rFonts w:hint="eastAsia" w:ascii="Times New Roman" w:hAnsi="Times New Roman" w:eastAsia="方正小标宋_GBK" w:cs="Times New Roman"/>
          <w:bCs w:val="0"/>
          <w:lang w:eastAsia="zh-CN"/>
        </w:rPr>
      </w:pPr>
      <w:bookmarkStart w:id="12" w:name="_Toc23336"/>
      <w:bookmarkStart w:id="13" w:name="_Toc14329"/>
      <w:bookmarkStart w:id="14" w:name="_Toc55900604"/>
      <w:bookmarkStart w:id="15" w:name="_Toc55899929"/>
      <w:bookmarkStart w:id="16" w:name="_Toc55899751"/>
      <w:bookmarkStart w:id="17" w:name="_Toc55900316"/>
      <w:bookmarkStart w:id="18" w:name="_Toc55899187"/>
    </w:p>
    <w:p>
      <w:pPr>
        <w:pStyle w:val="2"/>
        <w:adjustRightInd w:val="0"/>
        <w:snapToGrid w:val="0"/>
        <w:spacing w:before="0" w:after="0" w:line="560" w:lineRule="exact"/>
        <w:rPr>
          <w:rFonts w:ascii="Times New Roman" w:hAnsi="Times New Roman" w:cs="Times New Roman"/>
          <w:bCs w:val="0"/>
        </w:rPr>
      </w:pPr>
      <w:r>
        <w:rPr>
          <w:rFonts w:hint="eastAsia" w:ascii="Times New Roman" w:hAnsi="Times New Roman" w:cs="Times New Roman"/>
          <w:bCs w:val="0"/>
        </w:rPr>
        <w:t>第一章</w:t>
      </w:r>
      <w:r>
        <w:rPr>
          <w:rFonts w:ascii="Times New Roman" w:hAnsi="Times New Roman" w:cs="Times New Roman"/>
          <w:bCs w:val="0"/>
        </w:rPr>
        <w:t xml:space="preserve"> </w:t>
      </w:r>
      <w:r>
        <w:rPr>
          <w:rFonts w:hint="eastAsia" w:ascii="Times New Roman" w:hAnsi="Times New Roman" w:cs="Times New Roman"/>
          <w:bCs w:val="0"/>
        </w:rPr>
        <w:t>高水平全面建成小康社会</w:t>
      </w:r>
      <w:bookmarkEnd w:id="12"/>
      <w:bookmarkEnd w:id="13"/>
      <w:bookmarkStart w:id="19" w:name="_Toc10748"/>
    </w:p>
    <w:p>
      <w:pPr>
        <w:pStyle w:val="2"/>
        <w:adjustRightInd w:val="0"/>
        <w:snapToGrid w:val="0"/>
        <w:spacing w:before="0" w:after="0" w:line="560" w:lineRule="exact"/>
        <w:rPr>
          <w:rFonts w:ascii="Times New Roman" w:hAnsi="Times New Roman" w:cs="Times New Roman"/>
          <w:bCs w:val="0"/>
        </w:rPr>
      </w:pPr>
      <w:r>
        <w:rPr>
          <w:rFonts w:hint="eastAsia" w:ascii="Times New Roman" w:hAnsi="Times New Roman" w:cs="Times New Roman"/>
          <w:bCs w:val="0"/>
        </w:rPr>
        <w:t>开启全面建设社会主义现代新征程</w:t>
      </w:r>
      <w:bookmarkEnd w:id="19"/>
    </w:p>
    <w:p>
      <w:pPr>
        <w:rPr>
          <w:rFonts w:ascii="Times New Roman" w:hAnsi="Times New Roman" w:eastAsia="方正仿宋_GBK" w:cs="Times New Roman"/>
          <w:sz w:val="32"/>
          <w:szCs w:val="36"/>
        </w:rPr>
      </w:pPr>
    </w:p>
    <w:p>
      <w:pPr>
        <w:pStyle w:val="3"/>
        <w:spacing w:line="580" w:lineRule="exact"/>
        <w:rPr>
          <w:rFonts w:ascii="Times New Roman" w:hAnsi="Times New Roman"/>
          <w:bCs w:val="0"/>
        </w:rPr>
      </w:pPr>
      <w:bookmarkStart w:id="20" w:name="_Toc12467"/>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发展基础</w:t>
      </w:r>
      <w:bookmarkEnd w:id="14"/>
      <w:bookmarkEnd w:id="15"/>
      <w:bookmarkEnd w:id="16"/>
      <w:bookmarkEnd w:id="17"/>
      <w:bookmarkEnd w:id="18"/>
      <w:bookmarkEnd w:id="20"/>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十三五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面对错综复杂的宏观环境和前所未有的风险挑战，特别是新冠肺炎疫情的严重冲击，句容全市上下坚持以习近平新时代中国特色社会主义思想为指导，全面贯彻党的十九大和十九届二中、三中、四中、五中全会以及习近平总书记在江苏考察时的讲话精神，落实镇江市委市政府、句容市委各项决策部署，统筹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五位一体</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总体布局，协调推进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四个全面</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战略布局，全面加强党的领导，紧紧围绕</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一福地四名城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城市定位和</w:t>
      </w:r>
      <w:r>
        <w:rPr>
          <w:rFonts w:ascii="Times New Roman" w:hAnsi="Times New Roman" w:eastAsia="方正仿宋_GBK" w:cs="Times New Roman"/>
          <w:sz w:val="32"/>
          <w:szCs w:val="32"/>
        </w:rPr>
        <w:t>“1355”</w:t>
      </w:r>
      <w:r>
        <w:rPr>
          <w:rFonts w:hint="eastAsia" w:ascii="Times New Roman" w:hAnsi="Times New Roman" w:eastAsia="方正仿宋_GBK" w:cs="Times New Roman"/>
          <w:sz w:val="32"/>
          <w:szCs w:val="32"/>
        </w:rPr>
        <w:t>战略部署，坚定不移</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抓风险、抓统筹、抓协调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，高质量发展取得重大成就，基本完成</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十三五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规划确定的主要目标任务，如期实现高水平全面建成小康社会的各项目标。</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综合实力迈上新台阶。</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十三五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期间，句容经济发展呈现出稳中有进的良好态势，逐渐迈向高质量发展。</w:t>
      </w:r>
      <w:r>
        <w:rPr>
          <w:rFonts w:ascii="Times New Roman" w:hAnsi="Times New Roman" w:eastAsia="方正仿宋_GBK" w:cs="Times New Roman"/>
          <w:sz w:val="32"/>
          <w:szCs w:val="32"/>
        </w:rPr>
        <w:t>2020</w:t>
      </w:r>
      <w:r>
        <w:rPr>
          <w:rFonts w:hint="eastAsia" w:ascii="Times New Roman" w:hAnsi="Times New Roman" w:eastAsia="方正仿宋_GBK" w:cs="Times New Roman"/>
          <w:sz w:val="32"/>
          <w:szCs w:val="32"/>
        </w:rPr>
        <w:t>年完成地区生产总值</w:t>
      </w:r>
      <w:r>
        <w:rPr>
          <w:rFonts w:ascii="Times New Roman" w:hAnsi="Times New Roman" w:eastAsia="方正仿宋_GBK" w:cs="Times New Roman"/>
          <w:sz w:val="32"/>
          <w:szCs w:val="32"/>
        </w:rPr>
        <w:t>675.5</w:t>
      </w:r>
      <w:r>
        <w:rPr>
          <w:rFonts w:hint="eastAsia" w:ascii="Times New Roman" w:hAnsi="Times New Roman" w:eastAsia="方正仿宋_GBK" w:cs="Times New Roman"/>
          <w:sz w:val="32"/>
          <w:szCs w:val="32"/>
        </w:rPr>
        <w:t>亿元，一般公共预算收入达到</w:t>
      </w:r>
      <w:r>
        <w:rPr>
          <w:rFonts w:ascii="Times New Roman" w:hAnsi="Times New Roman" w:eastAsia="方正仿宋_GBK" w:cs="Times New Roman"/>
          <w:sz w:val="32"/>
          <w:szCs w:val="32"/>
        </w:rPr>
        <w:t>54.85</w:t>
      </w:r>
      <w:r>
        <w:rPr>
          <w:rFonts w:hint="eastAsia" w:ascii="Times New Roman" w:hAnsi="Times New Roman" w:eastAsia="方正仿宋_GBK" w:cs="Times New Roman"/>
          <w:sz w:val="32"/>
          <w:szCs w:val="32"/>
        </w:rPr>
        <w:t>亿元，分别是</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十二五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末的</w:t>
      </w:r>
      <w:r>
        <w:rPr>
          <w:rFonts w:ascii="Times New Roman" w:hAnsi="Times New Roman" w:eastAsia="方正仿宋_GBK" w:cs="Times New Roman"/>
          <w:sz w:val="32"/>
          <w:szCs w:val="32"/>
        </w:rPr>
        <w:t>1.44</w:t>
      </w:r>
      <w:r>
        <w:rPr>
          <w:rFonts w:hint="eastAsia" w:ascii="Times New Roman" w:hAnsi="Times New Roman" w:eastAsia="方正仿宋_GBK" w:cs="Times New Roman"/>
          <w:sz w:val="32"/>
          <w:szCs w:val="32"/>
        </w:rPr>
        <w:t>倍和</w:t>
      </w:r>
      <w:r>
        <w:rPr>
          <w:rFonts w:ascii="Times New Roman" w:hAnsi="Times New Roman" w:eastAsia="方正仿宋_GBK" w:cs="Times New Roman"/>
          <w:sz w:val="32"/>
          <w:szCs w:val="32"/>
        </w:rPr>
        <w:t>1.37</w:t>
      </w:r>
      <w:r>
        <w:rPr>
          <w:rFonts w:hint="eastAsia" w:ascii="Times New Roman" w:hAnsi="Times New Roman" w:eastAsia="方正仿宋_GBK" w:cs="Times New Roman"/>
          <w:sz w:val="32"/>
          <w:szCs w:val="32"/>
        </w:rPr>
        <w:t>倍。城镇居民人均可支配收入和农村居民人均可支配收入分别达到</w:t>
      </w:r>
      <w:r>
        <w:rPr>
          <w:rFonts w:ascii="Times New Roman" w:hAnsi="Times New Roman" w:eastAsia="方正仿宋_GBK" w:cs="Times New Roman"/>
          <w:sz w:val="32"/>
          <w:szCs w:val="32"/>
        </w:rPr>
        <w:t>5.28</w:t>
      </w:r>
      <w:r>
        <w:rPr>
          <w:rFonts w:hint="eastAsia" w:ascii="Times New Roman" w:hAnsi="Times New Roman" w:eastAsia="方正仿宋_GBK" w:cs="Times New Roman"/>
          <w:sz w:val="32"/>
          <w:szCs w:val="32"/>
        </w:rPr>
        <w:t>万元和</w:t>
      </w:r>
      <w:r>
        <w:rPr>
          <w:rFonts w:ascii="Times New Roman" w:hAnsi="Times New Roman" w:eastAsia="方正仿宋_GBK" w:cs="Times New Roman"/>
          <w:sz w:val="32"/>
          <w:szCs w:val="32"/>
        </w:rPr>
        <w:t>2.57</w:t>
      </w:r>
      <w:r>
        <w:rPr>
          <w:rFonts w:hint="eastAsia" w:ascii="Times New Roman" w:hAnsi="Times New Roman" w:eastAsia="方正仿宋_GBK" w:cs="Times New Roman"/>
          <w:sz w:val="32"/>
          <w:szCs w:val="32"/>
        </w:rPr>
        <w:t>万元。</w:t>
      </w:r>
      <w:r>
        <w:rPr>
          <w:rFonts w:ascii="Times New Roman" w:hAnsi="Times New Roman" w:eastAsia="方正仿宋_GBK" w:cs="Times New Roman"/>
          <w:sz w:val="32"/>
          <w:szCs w:val="32"/>
        </w:rPr>
        <w:t>2020</w:t>
      </w:r>
      <w:r>
        <w:rPr>
          <w:rFonts w:hint="eastAsia" w:ascii="Times New Roman" w:hAnsi="Times New Roman" w:eastAsia="方正仿宋_GBK" w:cs="Times New Roman"/>
          <w:sz w:val="32"/>
          <w:szCs w:val="32"/>
        </w:rPr>
        <w:t>年全国乡村振兴百佳示范县、全国小康指数百强县、全国投资潜力百强县分别排名第</w:t>
      </w: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rPr>
        <w:t>位、第</w:t>
      </w:r>
      <w:r>
        <w:rPr>
          <w:rFonts w:ascii="Times New Roman" w:hAnsi="Times New Roman" w:eastAsia="方正仿宋_GBK" w:cs="Times New Roman"/>
          <w:sz w:val="32"/>
          <w:szCs w:val="32"/>
        </w:rPr>
        <w:t>37</w:t>
      </w:r>
    </w:p>
    <w:p>
      <w:pP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位、第</w:t>
      </w:r>
      <w:r>
        <w:rPr>
          <w:rFonts w:ascii="Times New Roman" w:hAnsi="Times New Roman" w:eastAsia="方正仿宋_GBK" w:cs="Times New Roman"/>
          <w:sz w:val="32"/>
          <w:szCs w:val="32"/>
        </w:rPr>
        <w:t>42</w:t>
      </w:r>
      <w:r>
        <w:rPr>
          <w:rFonts w:hint="eastAsia" w:ascii="Times New Roman" w:hAnsi="Times New Roman" w:eastAsia="方正仿宋_GBK" w:cs="Times New Roman"/>
          <w:sz w:val="32"/>
          <w:szCs w:val="32"/>
        </w:rPr>
        <w:t>位。</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产业转型升级成效显著。</w:t>
      </w:r>
      <w:r>
        <w:rPr>
          <w:rFonts w:hint="eastAsia" w:ascii="Times New Roman" w:hAnsi="Times New Roman" w:eastAsia="方正仿宋_GBK" w:cs="Times New Roman"/>
          <w:sz w:val="32"/>
          <w:szCs w:val="32"/>
        </w:rPr>
        <w:t>坚持践行新发展理念，努力构建新发展格局，强长板补短板，一二三产协同发展。坚持通盘谋划全市产业布局，中科物栖、中科视语、壹度科技、台湾半导体产业园等一批成长性强、带动力强的优质项目落户。各板块在优势领域持续发力，宝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桥头堡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、开发区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发动机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、郭庄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新引擎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、下蜀</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千斤顶</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功能进一步强化，环南京东部创新创业带加快形成。成功入选全国农村创新创业典型县。</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丁庄葡萄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西冯草坪</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戴庄大米</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成功创建国家地理标志，唐陵花木交易市场有限公司成为农业产业化国家重点龙头企业。</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三大攻坚战取得关键进展。</w:t>
      </w:r>
      <w:r>
        <w:rPr>
          <w:rFonts w:hint="eastAsia" w:ascii="Times New Roman" w:hAnsi="Times New Roman" w:eastAsia="方正仿宋_GBK" w:cs="Times New Roman"/>
          <w:sz w:val="32"/>
          <w:szCs w:val="32"/>
        </w:rPr>
        <w:t>完成镇江市下达的政府隐性债务化解年度目标任务，依法依规依纪处置一批存在重大风险隐患的问题。大力实施脱贫攻坚，制定出台低收入群体健康扶贫意见相关政策，</w:t>
      </w:r>
      <w:r>
        <w:rPr>
          <w:rFonts w:ascii="Times New Roman" w:hAnsi="Times New Roman" w:eastAsia="方正仿宋_GBK" w:cs="Times New Roman"/>
          <w:sz w:val="32"/>
          <w:szCs w:val="32"/>
        </w:rPr>
        <w:t>79</w:t>
      </w:r>
      <w:r>
        <w:rPr>
          <w:rFonts w:hint="eastAsia" w:ascii="Times New Roman" w:hAnsi="Times New Roman" w:eastAsia="方正仿宋_GBK" w:cs="Times New Roman"/>
          <w:sz w:val="32"/>
          <w:szCs w:val="32"/>
        </w:rPr>
        <w:t>个经济薄弱村、</w:t>
      </w:r>
      <w:r>
        <w:rPr>
          <w:rFonts w:ascii="Times New Roman" w:hAnsi="Times New Roman" w:eastAsia="方正仿宋_GBK" w:cs="Times New Roman"/>
          <w:sz w:val="32"/>
          <w:szCs w:val="32"/>
        </w:rPr>
        <w:t>6447</w:t>
      </w:r>
      <w:r>
        <w:rPr>
          <w:rFonts w:hint="eastAsia" w:ascii="Times New Roman" w:hAnsi="Times New Roman" w:eastAsia="方正仿宋_GBK" w:cs="Times New Roman"/>
          <w:sz w:val="32"/>
          <w:szCs w:val="32"/>
        </w:rPr>
        <w:t>户建档立卡低收入户全部达标脱贫，先后荣获</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省农办系统先进集体</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全省脱贫攻坚组织创新奖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。污染防治成效明显，</w:t>
      </w:r>
      <w:r>
        <w:rPr>
          <w:rFonts w:ascii="Times New Roman" w:hAnsi="Times New Roman" w:eastAsia="方正仿宋_GBK" w:cs="Times New Roman"/>
          <w:sz w:val="32"/>
          <w:szCs w:val="32"/>
        </w:rPr>
        <w:t>PM</w:t>
      </w:r>
      <w:r>
        <w:rPr>
          <w:rFonts w:ascii="Times New Roman" w:hAnsi="Times New Roman" w:eastAsia="方正仿宋_GBK" w:cs="Times New Roman"/>
          <w:sz w:val="32"/>
          <w:szCs w:val="32"/>
          <w:vertAlign w:val="subscript"/>
        </w:rPr>
        <w:t>2.5</w:t>
      </w:r>
      <w:r>
        <w:rPr>
          <w:rFonts w:hint="eastAsia" w:ascii="Times New Roman" w:hAnsi="Times New Roman" w:eastAsia="方正仿宋_GBK" w:cs="Times New Roman"/>
          <w:sz w:val="32"/>
          <w:szCs w:val="32"/>
        </w:rPr>
        <w:t>平均浓度逐年下降，创造性设立</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排口长制</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，基本实现晴天污水不入河，国省考断面水质稳定在</w:t>
      </w:r>
      <w:r>
        <w:rPr>
          <w:rFonts w:ascii="Times New Roman" w:hAnsi="Times New Roman" w:eastAsia="方正仿宋_GBK" w:cs="Times New Roman"/>
          <w:sz w:val="32"/>
          <w:szCs w:val="32"/>
        </w:rPr>
        <w:t>III</w:t>
      </w:r>
      <w:r>
        <w:rPr>
          <w:rFonts w:hint="eastAsia" w:ascii="Times New Roman" w:hAnsi="Times New Roman" w:eastAsia="方正仿宋_GBK" w:cs="Times New Roman"/>
          <w:sz w:val="32"/>
          <w:szCs w:val="32"/>
        </w:rPr>
        <w:t>类水以上。</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城乡区域协调快速推进。</w:t>
      </w:r>
      <w:r>
        <w:rPr>
          <w:rFonts w:hint="eastAsia" w:ascii="Times New Roman" w:hAnsi="Times New Roman" w:eastAsia="方正仿宋_GBK" w:cs="Times New Roman"/>
          <w:sz w:val="32"/>
          <w:szCs w:val="32"/>
        </w:rPr>
        <w:t>积极抢抓长三角一体化、宁镇扬一体化等重大战略机遇，南沿江城际铁路、宁句城际轨道交通等一批带动全局、影响长远的重大基础设施建设稳步推进，南京东部立体综合交通枢纽呼之欲出。新改建农村公路</w:t>
      </w:r>
      <w:r>
        <w:rPr>
          <w:rFonts w:ascii="Times New Roman" w:hAnsi="Times New Roman" w:eastAsia="方正仿宋_GBK" w:cs="Times New Roman"/>
          <w:sz w:val="32"/>
          <w:szCs w:val="32"/>
        </w:rPr>
        <w:t>300</w:t>
      </w:r>
      <w:r>
        <w:rPr>
          <w:rFonts w:hint="eastAsia" w:ascii="Times New Roman" w:hAnsi="Times New Roman" w:eastAsia="方正仿宋_GBK" w:cs="Times New Roman"/>
          <w:sz w:val="32"/>
          <w:szCs w:val="32"/>
        </w:rPr>
        <w:t>多公里，更新新能源公交车</w:t>
      </w:r>
      <w:r>
        <w:rPr>
          <w:rFonts w:ascii="Times New Roman" w:hAnsi="Times New Roman" w:eastAsia="方正仿宋_GBK" w:cs="Times New Roman"/>
          <w:sz w:val="32"/>
          <w:szCs w:val="32"/>
        </w:rPr>
        <w:t>225</w:t>
      </w:r>
      <w:r>
        <w:rPr>
          <w:rFonts w:hint="eastAsia" w:ascii="Times New Roman" w:hAnsi="Times New Roman" w:eastAsia="方正仿宋_GBK" w:cs="Times New Roman"/>
          <w:sz w:val="32"/>
          <w:szCs w:val="32"/>
        </w:rPr>
        <w:t>辆，开辟、优化公交线路</w:t>
      </w:r>
      <w:r>
        <w:rPr>
          <w:rFonts w:ascii="Times New Roman" w:hAnsi="Times New Roman" w:eastAsia="方正仿宋_GBK" w:cs="Times New Roman"/>
          <w:sz w:val="32"/>
          <w:szCs w:val="32"/>
        </w:rPr>
        <w:t>26</w:t>
      </w:r>
      <w:r>
        <w:rPr>
          <w:rFonts w:hint="eastAsia" w:ascii="Times New Roman" w:hAnsi="Times New Roman" w:eastAsia="方正仿宋_GBK" w:cs="Times New Roman"/>
          <w:sz w:val="32"/>
          <w:szCs w:val="32"/>
        </w:rPr>
        <w:t>条，实现乡镇公交全覆盖。顺利完成赤山湖蓄滞洪能力提升工程、肖杆河整治工程和句容河城区段水环境提升工程，进一步夯实基础设施。累计完成农业水价综合改革面积</w:t>
      </w:r>
      <w:r>
        <w:rPr>
          <w:rFonts w:ascii="Times New Roman" w:hAnsi="Times New Roman" w:eastAsia="方正仿宋_GBK" w:cs="Times New Roman"/>
          <w:sz w:val="32"/>
          <w:szCs w:val="32"/>
        </w:rPr>
        <w:t>54.48</w:t>
      </w:r>
      <w:r>
        <w:rPr>
          <w:rFonts w:hint="eastAsia" w:ascii="Times New Roman" w:hAnsi="Times New Roman" w:eastAsia="方正仿宋_GBK" w:cs="Times New Roman"/>
          <w:sz w:val="32"/>
          <w:szCs w:val="32"/>
        </w:rPr>
        <w:t>万亩，农村水利设施管护迈上新台阶。连续五年，一般公共预算支出四分之三以上用于民生。</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乡村振兴有序推进。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戴庄经验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全省再推广，生态农业特色彰显，创成全国首批农村产业融合发展示范园、国家电子商务进农村综合示范县和全国森林旅游示范县，建成全国首家农业互联网医院，成功申办第五届国际道教论坛，成功举办第十九届中国草莓文化旅游节，创成江苏省农产品质量安全示范县、首批省级全域旅游示范区，赤山湖创成国家湿地公园，天王镇唐陵村获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全国生态文化村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，丁庄葡萄产业融合发展入选江苏省乡村振兴典型案例。</w:t>
      </w:r>
    </w:p>
    <w:p>
      <w:pPr>
        <w:spacing w:line="560" w:lineRule="exact"/>
        <w:ind w:firstLine="640" w:firstLineChars="200"/>
        <w:rPr>
          <w:rFonts w:ascii="Times New Roman" w:hAnsi="Times New Roman" w:eastAsia="方正仿宋_GBK" w:cs="Times New Roman"/>
          <w:color w:val="FF0000"/>
          <w:sz w:val="32"/>
          <w:szCs w:val="32"/>
        </w:rPr>
      </w:pPr>
      <w:r>
        <w:rPr>
          <w:rFonts w:hint="eastAsia" w:ascii="Times New Roman" w:hAnsi="Times New Roman" w:eastAsia="方正楷体_GBK" w:cs="Times New Roman"/>
          <w:bCs/>
          <w:sz w:val="32"/>
          <w:szCs w:val="32"/>
        </w:rPr>
        <w:t>城市功能品质持续优化。</w:t>
      </w:r>
      <w:r>
        <w:rPr>
          <w:rFonts w:hint="eastAsia" w:ascii="Times New Roman" w:hAnsi="Times New Roman" w:eastAsia="方正仿宋_GBK" w:cs="Times New Roman"/>
          <w:sz w:val="32"/>
          <w:szCs w:val="32"/>
        </w:rPr>
        <w:t>深入挖掘句容历史文化元素，形成独具特色的城市战略品牌。正式批复</w:t>
      </w: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rPr>
        <w:t>个乡镇总规、</w:t>
      </w: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rPr>
        <w:t>个乡镇控规，完成中心城区</w:t>
      </w:r>
      <w:r>
        <w:rPr>
          <w:rFonts w:ascii="Times New Roman" w:hAnsi="Times New Roman" w:eastAsia="方正仿宋_GBK" w:cs="Times New Roman"/>
          <w:sz w:val="32"/>
          <w:szCs w:val="32"/>
        </w:rPr>
        <w:t>27</w:t>
      </w:r>
      <w:r>
        <w:rPr>
          <w:rFonts w:hint="eastAsia" w:ascii="Times New Roman" w:hAnsi="Times New Roman" w:eastAsia="方正仿宋_GBK" w:cs="Times New Roman"/>
          <w:sz w:val="32"/>
          <w:szCs w:val="32"/>
        </w:rPr>
        <w:t>个控规单元的规划编制。按照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三降两提</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要求，打造高品质楼盘，有序推进城市微改造，实施城市主次干道</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白改黑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工程、城市沿街立面改造提升，整治出新老旧小区居民楼，实施小区垃圾分类试点。创成国家节水型城市、第六届全国文明城市，</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葡萄架下的文明实践</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荣获全国学雷锋志愿服务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四个</w:t>
      </w:r>
      <w:r>
        <w:rPr>
          <w:rFonts w:ascii="Times New Roman" w:hAnsi="Times New Roman" w:eastAsia="方正仿宋_GBK" w:cs="Times New Roman"/>
          <w:sz w:val="32"/>
          <w:szCs w:val="32"/>
        </w:rPr>
        <w:t>100”</w:t>
      </w:r>
      <w:r>
        <w:rPr>
          <w:rFonts w:hint="eastAsia" w:ascii="Times New Roman" w:hAnsi="Times New Roman" w:eastAsia="方正仿宋_GBK" w:cs="Times New Roman"/>
          <w:sz w:val="32"/>
          <w:szCs w:val="32"/>
        </w:rPr>
        <w:t>最佳项目，群众共建共治共享人民城市的信心得到极大提振。</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深化改革实现重大突破。</w:t>
      </w:r>
      <w:r>
        <w:rPr>
          <w:rFonts w:hint="eastAsia" w:ascii="Times New Roman" w:hAnsi="Times New Roman" w:eastAsia="方正仿宋_GBK" w:cs="Times New Roman"/>
          <w:sz w:val="32"/>
          <w:szCs w:val="32"/>
        </w:rPr>
        <w:t>营商环境持续改善，开通</w:t>
      </w:r>
      <w:r>
        <w:rPr>
          <w:rFonts w:ascii="Times New Roman" w:hAnsi="Times New Roman" w:eastAsia="方正仿宋_GBK" w:cs="Times New Roman"/>
          <w:sz w:val="32"/>
          <w:szCs w:val="32"/>
        </w:rPr>
        <w:t>“12345”</w:t>
      </w:r>
      <w:r>
        <w:rPr>
          <w:rFonts w:hint="eastAsia" w:ascii="Times New Roman" w:hAnsi="Times New Roman" w:eastAsia="方正仿宋_GBK" w:cs="Times New Roman"/>
          <w:sz w:val="32"/>
          <w:szCs w:val="32"/>
        </w:rPr>
        <w:t>企业服务专线，推行企业设立全程电子化和代办服务，实行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一窗受理、全科服务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，试行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一件事一次办</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。放管服改革取得积极成效，基本实现</w:t>
      </w:r>
      <w:r>
        <w:rPr>
          <w:rFonts w:ascii="Times New Roman" w:hAnsi="Times New Roman" w:eastAsia="方正仿宋_GBK" w:cs="Times New Roman"/>
          <w:sz w:val="32"/>
          <w:szCs w:val="32"/>
        </w:rPr>
        <w:t>“1330”</w:t>
      </w:r>
      <w:r>
        <w:rPr>
          <w:rFonts w:hint="eastAsia" w:ascii="Times New Roman" w:hAnsi="Times New Roman" w:eastAsia="方正仿宋_GBK" w:cs="Times New Roman"/>
          <w:sz w:val="32"/>
          <w:szCs w:val="32"/>
        </w:rPr>
        <w:t>改革目标。全面推广</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交房（地）即发证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不动产登记模式。全面完成农村集体产权制度改革，新型经营主体适度规模经营面积达到</w:t>
      </w:r>
      <w:r>
        <w:rPr>
          <w:rFonts w:ascii="Times New Roman" w:hAnsi="Times New Roman" w:eastAsia="方正仿宋_GBK" w:cs="Times New Roman"/>
          <w:sz w:val="32"/>
          <w:szCs w:val="32"/>
        </w:rPr>
        <w:t>62</w:t>
      </w:r>
      <w:r>
        <w:rPr>
          <w:rFonts w:hint="eastAsia" w:ascii="Times New Roman" w:hAnsi="Times New Roman" w:eastAsia="方正仿宋_GBK" w:cs="Times New Roman"/>
          <w:sz w:val="32"/>
          <w:szCs w:val="32"/>
        </w:rPr>
        <w:t>万亩，比重达</w:t>
      </w:r>
      <w:r>
        <w:rPr>
          <w:rFonts w:ascii="Times New Roman" w:hAnsi="Times New Roman" w:eastAsia="方正仿宋_GBK" w:cs="Times New Roman"/>
          <w:sz w:val="32"/>
          <w:szCs w:val="32"/>
        </w:rPr>
        <w:t>70%</w:t>
      </w:r>
      <w:r>
        <w:rPr>
          <w:rFonts w:hint="eastAsia" w:ascii="Times New Roman" w:hAnsi="Times New Roman" w:eastAsia="方正仿宋_GBK" w:cs="Times New Roman"/>
          <w:sz w:val="32"/>
          <w:szCs w:val="32"/>
        </w:rPr>
        <w:t>。基层组织建设制度改革不断深化，农村基层党建标准化建设通过省级验收并成为镇江市地方标准，村书记专职化管理试点全省推广。村级小微权力清单制度持续推进，监察员办公室工作模式入选江苏省首届</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廉政与治理</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创新十佳案例。</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社会民生事业亮点频现。</w:t>
      </w:r>
      <w:r>
        <w:rPr>
          <w:rFonts w:hint="eastAsia" w:ascii="Times New Roman" w:hAnsi="Times New Roman" w:eastAsia="方正仿宋_GBK" w:cs="Times New Roman"/>
          <w:sz w:val="32"/>
          <w:szCs w:val="32"/>
        </w:rPr>
        <w:t>就业创业质量改善，连续开展五届</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福地青年英才</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创业大赛，建设各类创业载体</w:t>
      </w:r>
      <w:r>
        <w:rPr>
          <w:rFonts w:ascii="Times New Roman" w:hAnsi="Times New Roman" w:eastAsia="方正仿宋_GBK" w:cs="Times New Roman"/>
          <w:sz w:val="32"/>
          <w:szCs w:val="32"/>
        </w:rPr>
        <w:t>22</w:t>
      </w:r>
      <w:r>
        <w:rPr>
          <w:rFonts w:hint="eastAsia" w:ascii="Times New Roman" w:hAnsi="Times New Roman" w:eastAsia="方正仿宋_GBK" w:cs="Times New Roman"/>
          <w:sz w:val="32"/>
          <w:szCs w:val="32"/>
        </w:rPr>
        <w:t>家，城镇登记失业率控制在</w:t>
      </w: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以内。保障水平稳步提升，公共服务供给优化，省句中异地新建工程开工建设，完成异地新建市人民医院、妇幼保健院等卫生健康重点工程，与省人民医院达成</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院府合作</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并不断深化，组建市人民医院、市中医院医疗集团，分级诊疗制度有序落实。新建句容市社会福利中心，开展乡镇敬老院升级改造工程，南部应急水厂投入运营，开工建设长江引水暨城区水厂、下蜀水厂，省级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双拥模范城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摘得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六连冠</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社会文明程度不断提高。</w:t>
      </w:r>
      <w:r>
        <w:rPr>
          <w:rFonts w:hint="eastAsia" w:ascii="Times New Roman" w:hAnsi="Times New Roman" w:eastAsia="方正仿宋_GBK" w:cs="Times New Roman"/>
          <w:sz w:val="32"/>
          <w:szCs w:val="32"/>
        </w:rPr>
        <w:t>社会主义核心价值观深入人心，总结提炼</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尊上德、崇人文、勇拼搏、甘奉献</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的新时代句容精神，涌现全国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时代楷模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赵亚夫、全省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道德模范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糜林等一批榜样典型，句容成为道德高地、好人之城，福地底蕴、江南气质、本地特色进一步彰显，人民群众精神文化水平和思想道德素质显著提升。</w:t>
      </w:r>
    </w:p>
    <w:p>
      <w:pPr>
        <w:pStyle w:val="3"/>
        <w:spacing w:line="580" w:lineRule="exact"/>
        <w:jc w:val="center"/>
        <w:rPr>
          <w:rFonts w:ascii="Times New Roman" w:hAnsi="Times New Roman"/>
          <w:bCs w:val="0"/>
        </w:rPr>
      </w:pPr>
      <w:bookmarkStart w:id="21" w:name="_Toc6970"/>
      <w:bookmarkStart w:id="22" w:name="_Toc55899930"/>
      <w:bookmarkStart w:id="23" w:name="_Toc55899752"/>
      <w:bookmarkStart w:id="24" w:name="_Toc55900605"/>
      <w:bookmarkStart w:id="25" w:name="_Toc55899188"/>
      <w:bookmarkStart w:id="26" w:name="_Toc55900317"/>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发展环境</w:t>
      </w:r>
      <w:bookmarkEnd w:id="21"/>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时期，我国宏观环境将面临世界百年未有之大变局加速演变和社会主义现代化建设新征程开局起步的双重背景。中美博弈对我国经济结构、国家安全等领域提出了巨大挑战。与此同时，国家加快转型发展和构建新发展格局正带来新一轮政策机遇，</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美丽江苏</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建设引领全省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强富美高</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内涵不断深化。句容区域优势和自身实力加速提升，宁句同城化借势宁镇扬一体化迎来新一轮历史性机遇，句容有能力有条件抢抓更多机遇，实现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时期的跨越式发展。</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从国际看，世界百年未有之大变局正加速演变。</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十三五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国际力量对比深刻调整，和平与发展仍然是时代主题，人类命运共同体理念深入人心，国际环境日趋复杂，不稳定性和不确定性明显增加。特别是受疫情冲击，全球经济增长乏力，发达经济体与新兴经济体之间的矛盾和对抗愈演愈烈；全球科技革命和产业革命加速演变，科技创新进入活跃期，人工智能、大数据、量子信息、生物技术等新技术革命加速突破，产业突破变革进入快速演进期；世界经济在消费端和生产端的双向冲击将深度持续，产业链供应链循环受阻，显著改变世界经济格局。</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从国内看，我国正处在转型发展的重要机遇期。</w:t>
      </w:r>
      <w:r>
        <w:rPr>
          <w:rFonts w:hint="eastAsia" w:ascii="Times New Roman" w:hAnsi="Times New Roman" w:eastAsia="方正仿宋_GBK" w:cs="Times New Roman"/>
          <w:sz w:val="32"/>
          <w:szCs w:val="32"/>
        </w:rPr>
        <w:t>我国已转向高质量发展阶段，制度优势显著，治理效能提升，经济长期向好，物质基础雄厚，人力资源丰富，市场空间广阔，发展韧性强劲，社会大局稳定。同时国内发展不平衡不充分问题仍然突出，重点领域关键环节改革任务仍然艰巨，创新能力不适应高质量发展要求，农业基础还不够稳固，城乡区域发展和收入分配差距较大，生态环保任重道远，民生保障存在短板，社会治理还有弱项。</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十四五</w:t>
      </w:r>
      <w:r>
        <w:rPr>
          <w:rFonts w:ascii="Times New Roman" w:hAnsi="Times New Roman" w:eastAsia="方正仿宋_GBK" w:cs="Times New Roman"/>
          <w:bCs/>
          <w:sz w:val="32"/>
          <w:szCs w:val="32"/>
        </w:rPr>
        <w:t>”</w:t>
      </w:r>
      <w:r>
        <w:rPr>
          <w:rFonts w:hint="eastAsia" w:ascii="Times New Roman" w:hAnsi="Times New Roman" w:eastAsia="方正仿宋_GBK" w:cs="Times New Roman"/>
          <w:bCs/>
          <w:sz w:val="32"/>
          <w:szCs w:val="32"/>
        </w:rPr>
        <w:t>时期，我国将由中等收入国家总体迈入高收入国家，</w:t>
      </w:r>
      <w:r>
        <w:rPr>
          <w:rFonts w:hint="eastAsia" w:ascii="Times New Roman" w:hAnsi="Times New Roman" w:eastAsia="方正仿宋_GBK" w:cs="Times New Roman"/>
          <w:sz w:val="32"/>
          <w:szCs w:val="32"/>
        </w:rPr>
        <w:t>加快形成以国内大循环为主体、国内国际双循环相互促进的新发展格局，开启社会主义现代化建设新征程，是本阶段发展的重要使命。发展方式向高质量发展转变，新经济、新业态、新模式将蓬勃发展，数字经济对</w:t>
      </w:r>
      <w:r>
        <w:rPr>
          <w:rFonts w:ascii="Times New Roman" w:hAnsi="Times New Roman" w:eastAsia="方正仿宋_GBK" w:cs="Times New Roman"/>
          <w:sz w:val="32"/>
          <w:szCs w:val="32"/>
        </w:rPr>
        <w:t>GDP</w:t>
      </w:r>
      <w:r>
        <w:rPr>
          <w:rFonts w:hint="eastAsia" w:ascii="Times New Roman" w:hAnsi="Times New Roman" w:eastAsia="方正仿宋_GBK" w:cs="Times New Roman"/>
          <w:sz w:val="32"/>
          <w:szCs w:val="32"/>
        </w:rPr>
        <w:t>增长的贡献率将进一步提高，高技术产业将保持快速持续增长；发展动力向创新驱动转变，以创新为引领的新要素开始形成，将进一步促进</w:t>
      </w:r>
      <w:r>
        <w:rPr>
          <w:rFonts w:ascii="Times New Roman" w:hAnsi="Times New Roman" w:eastAsia="方正仿宋_GBK" w:cs="Times New Roman"/>
          <w:sz w:val="32"/>
          <w:szCs w:val="32"/>
        </w:rPr>
        <w:t>5G</w:t>
      </w:r>
      <w:r>
        <w:rPr>
          <w:rFonts w:hint="eastAsia" w:ascii="Times New Roman" w:hAnsi="Times New Roman" w:eastAsia="方正仿宋_GBK" w:cs="Times New Roman"/>
          <w:sz w:val="32"/>
          <w:szCs w:val="32"/>
        </w:rPr>
        <w:t>、大数据、云计算、区块链、人工智能、物联网、工业互联网等产业发展；日益强大的国内消费市场将成为经济发展的主支撑，居民对优质商品和服务的需求不断增加；发展布局向区域协调发展转变，以中心城市为核心的城市群、都市圈将成为人才、科技、资本、产业的集中承载区域，参与全球化竞争。国家有效应对疫情和迈入新发展阶段的一系列举措，必将带来新一轮发展机遇。</w:t>
      </w:r>
    </w:p>
    <w:p>
      <w:pPr>
        <w:spacing w:line="552"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bCs/>
          <w:sz w:val="32"/>
          <w:szCs w:val="32"/>
        </w:rPr>
        <w:t>从句容看，正处于内外部机遇要素叠加的发展窗口期。</w:t>
      </w:r>
      <w:r>
        <w:rPr>
          <w:rFonts w:hint="eastAsia" w:ascii="Times New Roman" w:hAnsi="Times New Roman" w:eastAsia="方正仿宋_GBK" w:cs="Times New Roman"/>
          <w:sz w:val="32"/>
          <w:szCs w:val="32"/>
        </w:rPr>
        <w:t>随着长三角区域一体化、宁镇扬一体化做深走实，融入一体化、服务一体化、推动一体化的格局逐渐明晰；产业链、供应链创新式近域化布局势在必行，创新驱动制造业动能转化，句容现有产业体系已经具备承接溢出、互动耦合的坚实基础。坚持打造生态名城</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持续提高城市绿色品质，已初步实践了</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绿水青山</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金山银山</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辩证转化的时代新路径，句容福地名城生态底色将得到进一步彰显。以创成全国文明城市为契机，城市文化价值有效彰显，社会文明度将持续提升。总之，在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期间，句容发展既有多重战略叠加机遇，又有都市圈互联互通带来的多向挤压，面对南京大都市的虹吸效应，人才要素的招不来、留不住的风险挑战，句容必须清醒认识、认真对待。</w:t>
      </w:r>
    </w:p>
    <w:p>
      <w:pPr>
        <w:pStyle w:val="3"/>
        <w:spacing w:line="552" w:lineRule="exact"/>
        <w:rPr>
          <w:rFonts w:ascii="Times New Roman" w:hAnsi="Times New Roman"/>
          <w:bCs w:val="0"/>
        </w:rPr>
      </w:pPr>
      <w:bookmarkStart w:id="27" w:name="_Toc24778"/>
      <w:r>
        <w:rPr>
          <w:rFonts w:hint="eastAsia" w:ascii="Times New Roman" w:hAnsi="Times New Roman"/>
          <w:bCs w:val="0"/>
        </w:rPr>
        <w:t>第三节</w:t>
      </w:r>
      <w:r>
        <w:rPr>
          <w:rFonts w:ascii="Times New Roman" w:hAnsi="Times New Roman"/>
          <w:bCs w:val="0"/>
        </w:rPr>
        <w:t xml:space="preserve"> </w:t>
      </w:r>
      <w:r>
        <w:rPr>
          <w:rFonts w:hint="eastAsia" w:ascii="Times New Roman" w:hAnsi="Times New Roman"/>
          <w:bCs w:val="0"/>
        </w:rPr>
        <w:t>二〇三五年远景目标</w:t>
      </w:r>
      <w:bookmarkEnd w:id="27"/>
    </w:p>
    <w:p>
      <w:pPr>
        <w:spacing w:line="552"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到二〇三五年，句容将全面建成体现新发展理念的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长三角最令人向往的山水田园福地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。综合实力和综合竞争力大幅提升，经济总量和居民收入在</w:t>
      </w:r>
      <w:r>
        <w:rPr>
          <w:rFonts w:ascii="Times New Roman" w:hAnsi="Times New Roman" w:eastAsia="方正仿宋_GBK" w:cs="Times New Roman"/>
          <w:sz w:val="32"/>
          <w:szCs w:val="32"/>
        </w:rPr>
        <w:t>2020</w:t>
      </w:r>
      <w:r>
        <w:rPr>
          <w:rFonts w:hint="eastAsia" w:ascii="Times New Roman" w:hAnsi="Times New Roman" w:eastAsia="方正仿宋_GBK" w:cs="Times New Roman"/>
          <w:sz w:val="32"/>
          <w:szCs w:val="32"/>
        </w:rPr>
        <w:t>年基础上翻一番，创新成为引领发展的第一动力；在产业链、创新链、基础设施、市场、绿色发展等方面全方位融入区域一体化发展格局，深度融入以国内大循环为主体、国内国际双循环相互促进的新发展格局；全面迈入绿色发展轨道，成为长三角生态文明典范城市；历史文化底蕴得到充分展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福地句容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文化品牌享誉全国，养生养老产业全国领先；市域治理体系和治理能力现代化水平实现大幅跃升，人民平等参与、平等发展权利得到充分保障，高质量全面建成法治句容，平安句容建设迈上新台阶；人均地区生产总值在</w:t>
      </w:r>
      <w:r>
        <w:rPr>
          <w:rFonts w:ascii="Times New Roman" w:hAnsi="Times New Roman" w:eastAsia="方正仿宋_GBK" w:cs="Times New Roman"/>
          <w:sz w:val="32"/>
          <w:szCs w:val="32"/>
        </w:rPr>
        <w:t>2020</w:t>
      </w:r>
      <w:r>
        <w:rPr>
          <w:rFonts w:hint="eastAsia" w:ascii="Times New Roman" w:hAnsi="Times New Roman" w:eastAsia="方正仿宋_GBK" w:cs="Times New Roman"/>
          <w:sz w:val="32"/>
          <w:szCs w:val="32"/>
        </w:rPr>
        <w:t>年基础上实现翻番，优质公共服务供给更加充分、布局更为均衡，城乡发展差距和居民生活水平差距显著缩小；市民生活更加美好，人的全面发展、全体市民共同富裕取得跨越性进步。</w:t>
      </w:r>
    </w:p>
    <w:bookmarkEnd w:id="22"/>
    <w:bookmarkEnd w:id="23"/>
    <w:bookmarkEnd w:id="24"/>
    <w:bookmarkEnd w:id="25"/>
    <w:bookmarkEnd w:id="26"/>
    <w:p>
      <w:pPr>
        <w:pStyle w:val="2"/>
        <w:adjustRightInd w:val="0"/>
        <w:snapToGrid w:val="0"/>
        <w:spacing w:before="0" w:after="0" w:line="540" w:lineRule="exact"/>
        <w:jc w:val="both"/>
        <w:rPr>
          <w:rFonts w:hint="eastAsia" w:ascii="Times New Roman" w:hAnsi="Times New Roman" w:eastAsia="方正小标宋_GBK" w:cs="Times New Roman"/>
          <w:bCs w:val="0"/>
          <w:lang w:eastAsia="zh-CN"/>
        </w:rPr>
      </w:pPr>
      <w:bookmarkStart w:id="28" w:name="_Toc15646"/>
    </w:p>
    <w:p>
      <w:pPr>
        <w:pStyle w:val="2"/>
        <w:adjustRightInd w:val="0"/>
        <w:snapToGrid w:val="0"/>
        <w:spacing w:before="0" w:after="0" w:line="540" w:lineRule="exact"/>
        <w:rPr>
          <w:rFonts w:ascii="Times New Roman" w:hAnsi="Times New Roman" w:cs="Times New Roman"/>
          <w:bCs w:val="0"/>
        </w:rPr>
      </w:pPr>
      <w:r>
        <w:rPr>
          <w:rFonts w:hint="eastAsia" w:ascii="Times New Roman" w:hAnsi="Times New Roman" w:cs="Times New Roman"/>
          <w:bCs w:val="0"/>
        </w:rPr>
        <w:t>第二章</w:t>
      </w:r>
      <w:r>
        <w:rPr>
          <w:rFonts w:ascii="Times New Roman" w:hAnsi="Times New Roman" w:cs="Times New Roman"/>
          <w:bCs w:val="0"/>
        </w:rPr>
        <w:t xml:space="preserve"> “</w:t>
      </w:r>
      <w:r>
        <w:rPr>
          <w:rFonts w:hint="eastAsia" w:ascii="Times New Roman" w:hAnsi="Times New Roman" w:cs="Times New Roman"/>
          <w:bCs w:val="0"/>
        </w:rPr>
        <w:t>十四五</w:t>
      </w:r>
      <w:r>
        <w:rPr>
          <w:rFonts w:ascii="Times New Roman" w:hAnsi="Times New Roman" w:cs="Times New Roman"/>
          <w:bCs w:val="0"/>
        </w:rPr>
        <w:t>”</w:t>
      </w:r>
      <w:r>
        <w:rPr>
          <w:rFonts w:hint="eastAsia" w:ascii="Times New Roman" w:hAnsi="Times New Roman" w:cs="Times New Roman"/>
          <w:bCs w:val="0"/>
        </w:rPr>
        <w:t>时期经济社会发展</w:t>
      </w:r>
      <w:bookmarkEnd w:id="28"/>
    </w:p>
    <w:p>
      <w:pPr>
        <w:pStyle w:val="2"/>
        <w:adjustRightInd w:val="0"/>
        <w:snapToGrid w:val="0"/>
        <w:spacing w:before="0" w:after="0" w:line="540" w:lineRule="exact"/>
        <w:rPr>
          <w:rFonts w:ascii="Times New Roman" w:hAnsi="Times New Roman" w:cs="Times New Roman"/>
          <w:bCs w:val="0"/>
        </w:rPr>
      </w:pPr>
      <w:r>
        <w:rPr>
          <w:rFonts w:ascii="Times New Roman" w:hAnsi="Times New Roman" w:cs="Times New Roman"/>
          <w:bCs w:val="0"/>
        </w:rPr>
        <w:tab/>
      </w:r>
      <w:r>
        <w:rPr>
          <w:rFonts w:ascii="Times New Roman" w:hAnsi="Times New Roman" w:cs="Times New Roman"/>
          <w:bCs w:val="0"/>
        </w:rPr>
        <w:tab/>
      </w:r>
      <w:bookmarkStart w:id="29" w:name="_Toc11209"/>
      <w:r>
        <w:rPr>
          <w:rFonts w:hint="eastAsia" w:ascii="Times New Roman" w:hAnsi="Times New Roman" w:cs="Times New Roman"/>
          <w:bCs w:val="0"/>
        </w:rPr>
        <w:t>指导方针和主要目标</w:t>
      </w:r>
      <w:bookmarkEnd w:id="29"/>
    </w:p>
    <w:p>
      <w:pPr>
        <w:spacing w:line="540" w:lineRule="exact"/>
        <w:rPr>
          <w:rFonts w:ascii="Times New Roman" w:hAnsi="Times New Roman" w:eastAsia="方正仿宋_GBK" w:cs="Times New Roman"/>
          <w:sz w:val="32"/>
          <w:szCs w:val="36"/>
        </w:rPr>
      </w:pPr>
    </w:p>
    <w:p>
      <w:pPr>
        <w:pStyle w:val="3"/>
        <w:spacing w:line="540" w:lineRule="exact"/>
        <w:rPr>
          <w:rFonts w:ascii="Times New Roman" w:hAnsi="Times New Roman"/>
          <w:bCs w:val="0"/>
        </w:rPr>
      </w:pPr>
      <w:bookmarkStart w:id="30" w:name="_Toc29889"/>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指导思想和基本原则</w:t>
      </w:r>
      <w:bookmarkEnd w:id="30"/>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高举中国特色社会主义伟大旗帜，坚持以习近平新时代中国特色社会主义思想为指导，全面贯彻党的十九大和十九届二中、三中、四中、五中全会以及习近平总书记在江苏考察时的讲话精神，统筹推进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五位一体</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总体布局和协调推进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四个全面</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战略布局，牢牢把握长三角一体化、宁镇扬一体化等重大战略机遇，坚定不移贯彻新发展理念，坚持稳中求进工作总基调，全力融入新发展格局，以加快推动高质量发展为主题，以改革创新为根本动力，以满足人民日益增长的美好生活需要为根本目的，深入实施</w:t>
      </w:r>
      <w:r>
        <w:rPr>
          <w:rFonts w:ascii="Times New Roman" w:hAnsi="Times New Roman" w:eastAsia="方正仿宋_GBK" w:cs="Times New Roman"/>
          <w:sz w:val="32"/>
          <w:szCs w:val="32"/>
        </w:rPr>
        <w:t>“1355”</w:t>
      </w:r>
      <w:r>
        <w:rPr>
          <w:rFonts w:hint="eastAsia" w:ascii="Times New Roman" w:hAnsi="Times New Roman" w:eastAsia="方正仿宋_GBK" w:cs="Times New Roman"/>
          <w:sz w:val="32"/>
          <w:szCs w:val="32"/>
        </w:rPr>
        <w:t>战略部署，聚力美丽句容建设，加快把</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一福地四名城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美好愿景向纵深推进，全力以赴在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争当表率、争做示范、走在前列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中扛起更大担当、展现更大作为。</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时期句容经济社会发展必须遵循以下基本原则：</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坚持党的全面领导。</w:t>
      </w:r>
      <w:r>
        <w:rPr>
          <w:rFonts w:hint="eastAsia" w:ascii="Times New Roman" w:hAnsi="Times New Roman" w:eastAsia="方正仿宋_GBK" w:cs="Times New Roman"/>
          <w:sz w:val="32"/>
          <w:szCs w:val="32"/>
        </w:rPr>
        <w:t>坚持将党的领导作为做好句容各项工作的根本保证，充分发挥党总揽全局、协调各方的领导核心作用，发挥好市委统筹协调领导小组等机制作用，加强前瞻性思考、全局性谋划、战略性布局，不断提高把握新发展阶段、贯彻新发展理念、服务新发展格局的能力和水平，系统谋划策划规划计划经济社会发展各项事业，为实现高质量发展提供根本保证。</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坚持</w:t>
      </w: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强富美高</w:t>
      </w: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两争一前列</w:t>
      </w: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总要求。</w:t>
      </w:r>
      <w:r>
        <w:rPr>
          <w:rFonts w:hint="eastAsia" w:ascii="Times New Roman" w:hAnsi="Times New Roman" w:eastAsia="方正仿宋_GBK" w:cs="Times New Roman"/>
          <w:sz w:val="32"/>
          <w:szCs w:val="32"/>
        </w:rPr>
        <w:t>突出把习近平总书记对江苏工作提出的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强富美高</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谆谆嘱托作为新思想在句容具体化、实践化的要求，更大力度提升经济实力、富民水平、美丽成色和社会文明程度，持续强化答卷意识、对标意识、争先意识，奋力谱写</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强富美高</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新句容建设新篇章、展现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两争一前列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担当作为。</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坚持以人民为中心。</w:t>
      </w:r>
      <w:r>
        <w:rPr>
          <w:rFonts w:hint="eastAsia" w:ascii="Times New Roman" w:hAnsi="Times New Roman" w:eastAsia="方正仿宋_GBK" w:cs="Times New Roman"/>
          <w:sz w:val="32"/>
          <w:szCs w:val="32"/>
        </w:rPr>
        <w:t>始终将人民的利益作为一切工作的出发点和落脚点，坚持人民主体地位，坚持共同富裕方向，始终做到发展为了人民、发展依靠人民、发展成果由人民共享，维护人民根本利益，激发全体人民积极性、主动性、创造性，促进社会公平，增进民生福祉，不断满足人民群众对美好生活的向往。</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坚持新发展理念。</w:t>
      </w:r>
      <w:r>
        <w:rPr>
          <w:rFonts w:hint="eastAsia" w:ascii="Times New Roman" w:hAnsi="Times New Roman" w:eastAsia="方正仿宋_GBK" w:cs="Times New Roman"/>
          <w:sz w:val="32"/>
          <w:szCs w:val="32"/>
        </w:rPr>
        <w:t>坚持将新发展理念贯穿句容发展的全过程和各领域，主动融入新发展格局，切实转变发展方式，推动质量变革、效率变革、动力变革，实现更高质量、更有效率、更加公平、更可持续、更为安全的发展。</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坚持融合发展。</w:t>
      </w:r>
      <w:r>
        <w:rPr>
          <w:rFonts w:hint="eastAsia" w:ascii="Times New Roman" w:hAnsi="Times New Roman" w:eastAsia="方正仿宋_GBK" w:cs="Times New Roman"/>
          <w:sz w:val="32"/>
          <w:szCs w:val="32"/>
        </w:rPr>
        <w:t>全方位推动城乡融合、产业融合、生产生活生态融合、军民融合、产教融合等各领域融合发展，放大整体效能。充分融入区域一体化发展，抢抓长江经济带、长三角一体化以及南京都市圈、宁镇扬一体化、宁句同城化等战略机遇，展现句容作为、放大句容价值。坚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融入南京、接力镇江</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新定位，加强统筹联动，调整优化国土空间开发和保护格局，健全城乡融合发展机制，促进各功能板块协调发展，全面放大协同效应。</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坚持深化改革开放。</w:t>
      </w:r>
      <w:r>
        <w:rPr>
          <w:rFonts w:hint="eastAsia" w:ascii="Times New Roman" w:hAnsi="Times New Roman" w:eastAsia="方正仿宋_GBK" w:cs="Times New Roman"/>
          <w:sz w:val="32"/>
          <w:szCs w:val="32"/>
        </w:rPr>
        <w:t>坚定不移推动改革走深走实，加强市域治理体系和治理能力现代化建设，破除制约高质量发展、高品质生活、高效能治理的体制机制障碍，强化有利于提高资源配置效率、有利于调动全社会积极性的重大改革开放举措，持续增强发展动力和活力。坚定不移全面扩大开放，优化升级生产、分配、流通、消费体系，深化对内对外经济联系，增加经济纵深。</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bCs/>
          <w:sz w:val="32"/>
          <w:szCs w:val="32"/>
        </w:rPr>
        <w:t>——</w:t>
      </w:r>
      <w:r>
        <w:rPr>
          <w:rFonts w:hint="eastAsia" w:ascii="Times New Roman" w:hAnsi="Times New Roman" w:eastAsia="方正楷体_GBK" w:cs="Times New Roman"/>
          <w:bCs/>
          <w:sz w:val="32"/>
          <w:szCs w:val="32"/>
        </w:rPr>
        <w:t>坚持系统观念。</w:t>
      </w:r>
      <w:r>
        <w:rPr>
          <w:rFonts w:hint="eastAsia" w:ascii="Times New Roman" w:hAnsi="Times New Roman" w:eastAsia="方正仿宋_GBK" w:cs="Times New Roman"/>
          <w:sz w:val="32"/>
          <w:szCs w:val="32"/>
        </w:rPr>
        <w:t>坚持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对国之大者心中有数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，全力以赴办好发展和安全两件大事，积极融入新格局，着力固根基、扬优势、补短板、强弱项，实现发展质量、结构、规模、速度、效益、安全相统一。</w:t>
      </w:r>
    </w:p>
    <w:p>
      <w:pPr>
        <w:pStyle w:val="3"/>
        <w:spacing w:line="540" w:lineRule="exact"/>
        <w:rPr>
          <w:rFonts w:ascii="Times New Roman" w:hAnsi="Times New Roman"/>
          <w:bCs w:val="0"/>
        </w:rPr>
      </w:pPr>
      <w:bookmarkStart w:id="31" w:name="_Toc15131"/>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发展定位与战略导向</w:t>
      </w:r>
      <w:bookmarkEnd w:id="31"/>
    </w:p>
    <w:p>
      <w:pPr>
        <w:spacing w:line="540" w:lineRule="exact"/>
        <w:ind w:firstLine="640" w:firstLineChars="200"/>
        <w:rPr>
          <w:rFonts w:hint="default" w:ascii="Times New Roman" w:hAnsi="Times New Roman" w:eastAsia="方正仿宋_GBK" w:cs="Times New Roman"/>
          <w:sz w:val="32"/>
          <w:szCs w:val="32"/>
        </w:rPr>
      </w:pPr>
      <w:r>
        <w:rPr>
          <w:rFonts w:ascii="Times New Roman" w:hAnsi="Times New Roman" w:eastAsia="方正仿宋_GBK" w:cs="Times New Roman"/>
          <w:sz w:val="32"/>
          <w:szCs w:val="32"/>
        </w:rPr>
        <w:t>2018</w:t>
      </w:r>
      <w:r>
        <w:rPr>
          <w:rFonts w:hint="eastAsia" w:ascii="Times New Roman" w:hAnsi="Times New Roman" w:eastAsia="方正仿宋_GBK" w:cs="Times New Roman"/>
          <w:sz w:val="32"/>
          <w:szCs w:val="32"/>
        </w:rPr>
        <w:t>年，句容市明确</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一福地四名城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城市定位以来，先后从工作的体制机制上进行优化，从美丽城市、产业强市进行重点突破，从城市精神、干部队伍层面予以保障，</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一福地四名城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建设已经全面起势，取得良好成效。两年来的实践证明，句容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一福地四名城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城市定位，高度契合党的十九届五中全会和习近平总书记视察江苏重要讲话指示精神，与镇江</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创新创业福地、山水花园名城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的城市新定位不谋而合，完全走在科学正确的轨道上，是管根本、管长远</w:t>
      </w:r>
      <w:r>
        <w:rPr>
          <w:rFonts w:hint="default" w:ascii="Times New Roman" w:hAnsi="Times New Roman" w:eastAsia="方正仿宋_GBK" w:cs="Times New Roman"/>
          <w:sz w:val="32"/>
          <w:szCs w:val="32"/>
        </w:rPr>
        <w:t>的战略考量，必须更加深刻认识和把握其内在规律、逻辑内涵，以水滴石穿、绳锯木断的韧劲长期坚持、长期奋斗、长期努力。围绕将“一福地四名城”美好蓝图演绎成现实，明确“十四五”期间“一体化”与“自主性”两大发展战略。</w:t>
      </w:r>
    </w:p>
    <w:p>
      <w:pPr>
        <w:snapToGrid w:val="0"/>
        <w:spacing w:line="540" w:lineRule="exact"/>
        <w:ind w:firstLine="640" w:firstLineChars="200"/>
        <w:contextualSpacing/>
        <w:textAlignment w:val="baseline"/>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——一体化战略。</w:t>
      </w:r>
      <w:r>
        <w:rPr>
          <w:rFonts w:hint="default" w:ascii="Times New Roman" w:hAnsi="Times New Roman" w:eastAsia="方正仿宋_GBK" w:cs="Times New Roman"/>
          <w:sz w:val="32"/>
          <w:szCs w:val="32"/>
        </w:rPr>
        <w:t>全面拥抱长三角“大三角”，紧抓宁镇扬“小三角”，围绕“七个一”，建设宁镇扬一体化发展先行示范区。在战略谋划上登高望远、以我为主，聚焦“融入长三角、唱好双城记”，坚持“跳出句容看句容、跳出句容发展句容”，在融入、服务、推动一体化中扛起句容责任、展现句容作为。在战术推进上扬我所长、采石攻玉，聚焦“融入南京、接力镇江”，突出区域内循环，全力把一批重大项目、重大工程、重大平台融入一体化各项规划中去，既干好“自己”的事，也做好“一起”的事。在战斗实施上时不我待、只争朝夕，聚焦“在南京挣钱，到句容花钱”，积极培育大农业、大旅游、大健康、大文化产业，以高品质农产品、高层次旅游产品供给，抢滩高端市场、形成高端效益，实现优势互补、整体提升。</w:t>
      </w:r>
    </w:p>
    <w:p>
      <w:pPr>
        <w:snapToGrid w:val="0"/>
        <w:spacing w:line="540" w:lineRule="exact"/>
        <w:ind w:firstLine="640" w:firstLineChars="200"/>
        <w:contextualSpacing/>
        <w:textAlignment w:val="baseline"/>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——自主性战略。</w:t>
      </w:r>
      <w:r>
        <w:rPr>
          <w:rFonts w:hint="default" w:ascii="Times New Roman" w:hAnsi="Times New Roman" w:eastAsia="方正仿宋_GBK" w:cs="Times New Roman"/>
          <w:sz w:val="32"/>
          <w:szCs w:val="32"/>
        </w:rPr>
        <w:t>围绕“一福地四名城”城市定位，始终坚持自主谋划、以我为主，借力借势南京大都市区，兼顾好都市圈产业链和自身产业体系壮大发展、人口服务体系之间健康有机关系，加强产业体系、公共服务、治理现代化等方面自主可控能力的建设，快速实现市域发展自立自强。</w:t>
      </w:r>
    </w:p>
    <w:p>
      <w:pPr>
        <w:snapToGrid w:val="0"/>
        <w:spacing w:line="540" w:lineRule="exact"/>
        <w:ind w:firstLine="640" w:firstLineChars="200"/>
        <w:contextualSpacing/>
        <w:textAlignment w:val="baseline"/>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更加聚焦创新发展，释放最新转型动能。</w:t>
      </w:r>
      <w:r>
        <w:rPr>
          <w:rFonts w:hint="default" w:ascii="Times New Roman" w:hAnsi="Times New Roman" w:eastAsia="方正仿宋_GBK" w:cs="Times New Roman"/>
          <w:sz w:val="32"/>
          <w:szCs w:val="32"/>
        </w:rPr>
        <w:t>立足建设最优营商环境的创新创业名城，强化区域借力、创新驱动、集群发展，持续夯实句容制造业的基本盘，打造自主可控的现代产业体系。突出“科技园+产业园”两大形态、双轮驱动，形成龙头引领、产业链配套成熟的制造业体系和园区形态。</w:t>
      </w:r>
    </w:p>
    <w:p>
      <w:pPr>
        <w:snapToGrid w:val="0"/>
        <w:spacing w:line="540" w:lineRule="exact"/>
        <w:ind w:firstLine="640" w:firstLineChars="200"/>
        <w:contextualSpacing/>
        <w:textAlignment w:val="baseline"/>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更加聚焦协调发展，彰显最美文化生态。</w:t>
      </w:r>
      <w:r>
        <w:rPr>
          <w:rFonts w:hint="default" w:ascii="Times New Roman" w:hAnsi="Times New Roman" w:eastAsia="方正仿宋_GBK" w:cs="Times New Roman"/>
          <w:sz w:val="32"/>
          <w:szCs w:val="32"/>
        </w:rPr>
        <w:t>推动具有最美生态环境的养生养老名城和最有味道的历史文化名城相嵌融合，立足丰厚的历史文化底蕴和良好的生态资源本底，讲好福地底蕴、江南气质、本地特色、国际魅力的“句容故事”。</w:t>
      </w:r>
    </w:p>
    <w:p>
      <w:pPr>
        <w:snapToGrid w:val="0"/>
        <w:spacing w:line="540" w:lineRule="exact"/>
        <w:ind w:firstLine="640" w:firstLineChars="200"/>
        <w:contextualSpacing/>
        <w:textAlignment w:val="baseline"/>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更加聚焦绿色发展，涵养最优生态环境。</w:t>
      </w:r>
      <w:r>
        <w:rPr>
          <w:rFonts w:hint="default" w:ascii="Times New Roman" w:hAnsi="Times New Roman" w:eastAsia="方正仿宋_GBK" w:cs="Times New Roman"/>
          <w:sz w:val="32"/>
          <w:szCs w:val="32"/>
        </w:rPr>
        <w:t>将长三角最令人向往的山水福地名城与最美生态环境的养生养老名城定位有机结合，以最美碧水蓝天净土为生态本底，进一步擦亮句容生态底色，涵养特色生态资源，激发生态资源动能，引领全域生产生活方式绿色转型，争创国家生态文明建设示范区、“两山理论”实践先行区。</w:t>
      </w:r>
    </w:p>
    <w:p>
      <w:pPr>
        <w:snapToGrid w:val="0"/>
        <w:spacing w:line="540" w:lineRule="exact"/>
        <w:ind w:firstLine="640" w:firstLineChars="200"/>
        <w:contextualSpacing/>
        <w:textAlignment w:val="baseline"/>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更加聚焦开放发展，打造最强枢纽经济。</w:t>
      </w:r>
      <w:r>
        <w:rPr>
          <w:rFonts w:hint="default" w:ascii="Times New Roman" w:hAnsi="Times New Roman" w:eastAsia="方正仿宋_GBK" w:cs="Times New Roman"/>
          <w:sz w:val="32"/>
          <w:szCs w:val="32"/>
        </w:rPr>
        <w:t>进一步强化开放意识，融入新发展格局，以交通格局的重塑发展壮大枢纽经济，优先精准布局一批枢纽型产业、培育引进一批枢纽型企业，真正将区位优势转化为开放优势，将开放优势转化为发展胜势。</w:t>
      </w:r>
    </w:p>
    <w:p>
      <w:pPr>
        <w:spacing w:line="54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更加聚焦共享发展，创造最高品质生活。</w:t>
      </w:r>
      <w:r>
        <w:rPr>
          <w:rFonts w:hint="default" w:ascii="Times New Roman" w:hAnsi="Times New Roman" w:eastAsia="方正仿宋_GBK" w:cs="Times New Roman"/>
          <w:sz w:val="32"/>
          <w:szCs w:val="32"/>
        </w:rPr>
        <w:t>坚持以人民为中心的发展理念，持续兴办民生实事，加快补齐民生短板，着力解决人民群众最关心最直接最现实的问题，推动教育更优质、工作更稳定、收入更满意、社会保障更可靠、医疗卫生服务水平更高、居住条件更舒适、环境更优美、精神文化生活更丰富，增强人民群众对美好生活的获得感。</w:t>
      </w:r>
    </w:p>
    <w:p>
      <w:pPr>
        <w:pStyle w:val="3"/>
        <w:spacing w:line="540" w:lineRule="exact"/>
        <w:rPr>
          <w:rFonts w:ascii="Times New Roman" w:hAnsi="Times New Roman"/>
          <w:bCs w:val="0"/>
        </w:rPr>
      </w:pPr>
      <w:bookmarkStart w:id="32" w:name="_Toc9146"/>
      <w:r>
        <w:rPr>
          <w:rFonts w:hint="eastAsia" w:ascii="Times New Roman" w:hAnsi="Times New Roman"/>
          <w:bCs w:val="0"/>
        </w:rPr>
        <w:t>第三节</w:t>
      </w:r>
      <w:r>
        <w:rPr>
          <w:rFonts w:ascii="Times New Roman" w:hAnsi="Times New Roman"/>
          <w:bCs w:val="0"/>
        </w:rPr>
        <w:t xml:space="preserve"> </w:t>
      </w:r>
      <w:r>
        <w:rPr>
          <w:rFonts w:hint="eastAsia" w:ascii="Times New Roman" w:hAnsi="Times New Roman"/>
          <w:bCs w:val="0"/>
        </w:rPr>
        <w:t>主要</w:t>
      </w:r>
      <w:r>
        <w:rPr>
          <w:rFonts w:hint="eastAsia" w:ascii="Times New Roman" w:hAnsi="Times New Roman"/>
          <w:bCs w:val="0"/>
          <w:lang w:eastAsia="zh-CN"/>
        </w:rPr>
        <w:t>目</w:t>
      </w:r>
      <w:r>
        <w:rPr>
          <w:rFonts w:hint="eastAsia" w:ascii="Times New Roman" w:hAnsi="Times New Roman"/>
          <w:bCs w:val="0"/>
        </w:rPr>
        <w:t>标和工作抓手</w:t>
      </w:r>
      <w:bookmarkEnd w:id="32"/>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遵循经济社会发展客观规律，综合考虑内外环境的不确定性不稳定性，锚定二〇三五年远景目标，合理审慎确定未来五年经济社会发展预期目标。系统把握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一福地四名城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之间的内在逻辑和丰富内涵，坚持从生产生活生态文化等不同维度，不断发挥优势、彰显特色、争创一流，让</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最令人向往的山水田园福地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美好蓝图演绎成现实。</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创新创业名城更有动力。</w:t>
      </w:r>
      <w:r>
        <w:rPr>
          <w:rFonts w:hint="eastAsia" w:ascii="Times New Roman" w:hAnsi="Times New Roman" w:eastAsia="方正仿宋_GBK" w:cs="Times New Roman"/>
          <w:sz w:val="32"/>
          <w:szCs w:val="32"/>
        </w:rPr>
        <w:t>围绕现有产业体系，深入实施产业强市战略，加快推动产业基础高级化、产业链条现代化，形成错位发展、各具特色、结构合理的产业体系。</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w:t>
      </w:r>
      <w:r>
        <w:rPr>
          <w:rFonts w:ascii="Times New Roman" w:hAnsi="Times New Roman" w:eastAsia="方正仿宋_GBK" w:cs="Times New Roman"/>
          <w:sz w:val="32"/>
          <w:szCs w:val="32"/>
        </w:rPr>
        <w:t>GDP</w:t>
      </w:r>
      <w:r>
        <w:rPr>
          <w:rFonts w:hint="eastAsia" w:ascii="Times New Roman" w:hAnsi="Times New Roman" w:eastAsia="方正仿宋_GBK" w:cs="Times New Roman"/>
          <w:sz w:val="32"/>
          <w:szCs w:val="32"/>
        </w:rPr>
        <w:t>年均增长</w:t>
      </w:r>
      <w:r>
        <w:rPr>
          <w:rFonts w:ascii="Times New Roman" w:hAnsi="Times New Roman" w:eastAsia="方正仿宋_GBK" w:cs="Times New Roman"/>
          <w:sz w:val="32"/>
          <w:szCs w:val="32"/>
        </w:rPr>
        <w:t>6.5%</w:t>
      </w:r>
      <w:r>
        <w:rPr>
          <w:rFonts w:hint="eastAsia" w:ascii="Times New Roman" w:hAnsi="Times New Roman" w:eastAsia="方正仿宋_GBK" w:cs="Times New Roman"/>
          <w:sz w:val="32"/>
          <w:szCs w:val="32"/>
        </w:rPr>
        <w:t>左右，社会消费品零售总额年均增长</w:t>
      </w: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。坚持改革开放，到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年，实际利用外资总额达到</w:t>
      </w:r>
      <w:r>
        <w:rPr>
          <w:rFonts w:ascii="Times New Roman" w:hAnsi="Times New Roman" w:eastAsia="方正仿宋_GBK" w:cs="Times New Roman"/>
          <w:sz w:val="32"/>
          <w:szCs w:val="32"/>
        </w:rPr>
        <w:t>2.3</w:t>
      </w:r>
      <w:r>
        <w:rPr>
          <w:rFonts w:hint="eastAsia" w:ascii="Times New Roman" w:hAnsi="Times New Roman" w:eastAsia="方正仿宋_GBK" w:cs="Times New Roman"/>
          <w:sz w:val="32"/>
          <w:szCs w:val="32"/>
        </w:rPr>
        <w:t>亿美元，促进服务外包产业成为发展新亮点。坚持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一特三提升</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，深入实施园区升级工程，成功打造一批有知名度、影响力和竞争力的高端载体平台。创新浓度和密度全面提升，形成更好的创新创业生态。</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宜居宜游名城更有活力。</w:t>
      </w:r>
      <w:r>
        <w:rPr>
          <w:rFonts w:hint="eastAsia" w:ascii="Times New Roman" w:hAnsi="Times New Roman" w:eastAsia="方正仿宋_GBK" w:cs="Times New Roman"/>
          <w:sz w:val="32"/>
          <w:szCs w:val="32"/>
        </w:rPr>
        <w:t>统筹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三生</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空间布局，城市更有空间立体性、平面协调性、风貌整体性和文脉延续性。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期间，城乡居民人均可支配收入增长与经济发展同步，城乡基本养老保险参保缴费率稳定在</w:t>
      </w:r>
      <w:r>
        <w:rPr>
          <w:rFonts w:ascii="Times New Roman" w:hAnsi="Times New Roman" w:eastAsia="方正仿宋_GBK" w:cs="Times New Roman"/>
          <w:sz w:val="32"/>
          <w:szCs w:val="32"/>
        </w:rPr>
        <w:t>98%</w:t>
      </w:r>
      <w:r>
        <w:rPr>
          <w:rFonts w:hint="eastAsia" w:ascii="Times New Roman" w:hAnsi="Times New Roman" w:eastAsia="方正仿宋_GBK" w:cs="Times New Roman"/>
          <w:sz w:val="32"/>
          <w:szCs w:val="32"/>
        </w:rPr>
        <w:t>以上，教育、医疗、文化、体育等公共服务设施建设不断优化，形成</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快进慢游</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旅游交通体系，实现一日游向多日游、观光游向深度游、景点游向全域游转变，文旅产业附加值和消费体验度全面提升。</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养生养老名城更有引力。</w:t>
      </w:r>
      <w:r>
        <w:rPr>
          <w:rFonts w:hint="eastAsia" w:ascii="Times New Roman" w:hAnsi="Times New Roman" w:eastAsia="方正仿宋_GBK" w:cs="Times New Roman"/>
          <w:sz w:val="32"/>
          <w:szCs w:val="32"/>
        </w:rPr>
        <w:t>优质养生养老资源不断整合扩容、区域布局更加均衡。到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年，每千人口执业（助理）医师数达到</w:t>
      </w:r>
      <w:r>
        <w:rPr>
          <w:rFonts w:ascii="Times New Roman" w:hAnsi="Times New Roman" w:eastAsia="方正仿宋_GBK" w:cs="Times New Roman"/>
          <w:sz w:val="32"/>
          <w:szCs w:val="32"/>
        </w:rPr>
        <w:t>2.75</w:t>
      </w:r>
      <w:r>
        <w:rPr>
          <w:rFonts w:hint="eastAsia" w:ascii="Times New Roman" w:hAnsi="Times New Roman" w:eastAsia="方正仿宋_GBK" w:cs="Times New Roman"/>
          <w:sz w:val="32"/>
          <w:szCs w:val="32"/>
        </w:rPr>
        <w:t>人，人均预期寿命达到</w:t>
      </w:r>
      <w:r>
        <w:rPr>
          <w:rFonts w:ascii="Times New Roman" w:hAnsi="Times New Roman" w:eastAsia="方正仿宋_GBK" w:cs="Times New Roman"/>
          <w:sz w:val="32"/>
          <w:szCs w:val="32"/>
        </w:rPr>
        <w:t>80</w:t>
      </w:r>
      <w:r>
        <w:rPr>
          <w:rFonts w:hint="eastAsia" w:ascii="Times New Roman" w:hAnsi="Times New Roman" w:eastAsia="方正仿宋_GBK" w:cs="Times New Roman"/>
          <w:sz w:val="32"/>
          <w:szCs w:val="32"/>
        </w:rPr>
        <w:t>岁</w:t>
      </w:r>
      <w:r>
        <w:rPr>
          <w:rFonts w:hint="eastAsia" w:ascii="Times New Roman" w:hAnsi="Times New Roman" w:eastAsia="方正仿宋_GBK" w:cs="Times New Roman"/>
          <w:sz w:val="32"/>
          <w:szCs w:val="32"/>
          <w:lang w:eastAsia="zh-CN"/>
        </w:rPr>
        <w:t>左右</w:t>
      </w:r>
      <w:r>
        <w:rPr>
          <w:rFonts w:hint="eastAsia" w:ascii="Times New Roman" w:hAnsi="Times New Roman" w:eastAsia="方正仿宋_GBK" w:cs="Times New Roman"/>
          <w:sz w:val="32"/>
          <w:szCs w:val="32"/>
        </w:rPr>
        <w:t>。丰富发展以养融医、以医融养、养医合作、医养联动、医养一体等模式，形成低端有保障、中端有市场、高端有选择的多层次养生养老服务格局。</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历史文化名城更有魅力。</w:t>
      </w:r>
      <w:r>
        <w:rPr>
          <w:rFonts w:hint="eastAsia" w:ascii="Times New Roman" w:hAnsi="Times New Roman" w:eastAsia="方正仿宋_GBK" w:cs="Times New Roman"/>
          <w:sz w:val="32"/>
          <w:szCs w:val="32"/>
        </w:rPr>
        <w:t>全面贯彻</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文化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理念，</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双抢</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工程不断深化，发掘打造一批特色历史文化街区，具有显著地域特色和丰富内涵的城市文化名片持续擦亮。</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期间，社会文明程度测评指数保持在</w:t>
      </w:r>
      <w:r>
        <w:rPr>
          <w:rFonts w:ascii="Times New Roman" w:hAnsi="Times New Roman" w:eastAsia="方正仿宋_GBK" w:cs="Times New Roman"/>
          <w:sz w:val="32"/>
          <w:szCs w:val="32"/>
        </w:rPr>
        <w:t>90</w:t>
      </w:r>
      <w:r>
        <w:rPr>
          <w:rFonts w:hint="eastAsia" w:ascii="Times New Roman" w:hAnsi="Times New Roman" w:eastAsia="方正仿宋_GBK" w:cs="Times New Roman"/>
          <w:sz w:val="32"/>
          <w:szCs w:val="32"/>
        </w:rPr>
        <w:t>以上。农文康旅深度融合发展，实现以文带商、以商兴文，历史文化资源加快变成竞争优势、产业优势。</w:t>
      </w:r>
      <w:bookmarkStart w:id="33" w:name="_Hlk60649656"/>
    </w:p>
    <w:p>
      <w:pPr>
        <w:spacing w:line="540" w:lineRule="exact"/>
        <w:ind w:firstLine="640" w:firstLineChars="200"/>
        <w:rPr>
          <w:rFonts w:hint="eastAsia" w:ascii="Times New Roman" w:hAnsi="Times New Roman" w:eastAsia="方正仿宋_GBK" w:cs="Times New Roman"/>
          <w:sz w:val="32"/>
          <w:szCs w:val="32"/>
        </w:rPr>
      </w:pPr>
      <w:r>
        <w:rPr>
          <w:rFonts w:hint="eastAsia" w:ascii="方正仿宋_GBK" w:hAnsi="方正仿宋_GBK" w:eastAsia="方正仿宋_GBK" w:cs="方正仿宋_GBK"/>
          <w:sz w:val="32"/>
          <w:szCs w:val="32"/>
        </w:rPr>
        <w:t>立足新阶段、贯彻新理念、融入新格局，工作</w:t>
      </w:r>
      <w:r>
        <w:rPr>
          <w:rFonts w:hint="eastAsia" w:ascii="Times New Roman" w:hAnsi="Times New Roman" w:eastAsia="方正仿宋_GBK" w:cs="Times New Roman"/>
          <w:sz w:val="32"/>
          <w:szCs w:val="32"/>
        </w:rPr>
        <w:t>必须更加聚焦、抓手必须更加具体。美丽句容建设与城市定位一脉相通，既是贯彻中央、省委关于美丽中国、美丽江苏决策部署的生动实践，也是对城市定位认识的再深化、方向的再聚焦、责任的再压实；既是把握区域一体化发展机遇的关键抓手，也是经营城市推动城市增值的必由之路。要深刻把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美丽宜居空间、美丽绿色产业、美丽生态环境、美丽人居生活、美丽文明风尚、美丽人文体验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六大内涵，坚持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标准为王、空间为基、产业为核、颜值为要、文化为魂、体验为本</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让美丽句容美的有形态，能够望得见山、看得到水、记得住乡愁；美的有韵味，能够触摸到自然肌理、历史脉络和文化记忆；美的更有温度，新时代句容精神浸润人心；美的有质感，衣食住行娱购游学都能感受到美丽美好、品质品味。让每一个生活在这里的和来到</w:t>
      </w:r>
      <w:r>
        <w:rPr>
          <w:rFonts w:hint="eastAsia" w:ascii="Times New Roman" w:hAnsi="Times New Roman" w:eastAsia="方正仿宋_GBK" w:cs="Times New Roman"/>
          <w:sz w:val="32"/>
          <w:szCs w:val="32"/>
          <w:lang w:eastAsia="zh-CN"/>
        </w:rPr>
        <w:t>这里</w:t>
      </w:r>
      <w:r>
        <w:rPr>
          <w:rFonts w:hint="eastAsia" w:ascii="Times New Roman" w:hAnsi="Times New Roman" w:eastAsia="方正仿宋_GBK" w:cs="Times New Roman"/>
          <w:sz w:val="32"/>
          <w:szCs w:val="32"/>
        </w:rPr>
        <w:t>的人，都能找到心中最美的</w:t>
      </w:r>
      <w:r>
        <w:rPr>
          <w:rFonts w:hint="eastAsia" w:ascii="Times New Roman" w:hAnsi="Times New Roman" w:eastAsia="方正仿宋_GBK" w:cs="Times New Roman"/>
          <w:sz w:val="32"/>
          <w:szCs w:val="32"/>
          <w:lang w:eastAsia="zh-CN"/>
        </w:rPr>
        <w:t>句</w:t>
      </w:r>
      <w:r>
        <w:rPr>
          <w:rFonts w:hint="eastAsia" w:ascii="Times New Roman" w:hAnsi="Times New Roman" w:eastAsia="方正仿宋_GBK" w:cs="Times New Roman"/>
          <w:sz w:val="32"/>
          <w:szCs w:val="32"/>
        </w:rPr>
        <w:t>容。</w:t>
      </w:r>
      <w:bookmarkEnd w:id="33"/>
    </w:p>
    <w:p>
      <w:pPr>
        <w:spacing w:line="540" w:lineRule="exact"/>
        <w:rPr>
          <w:rFonts w:hint="eastAsia" w:ascii="Times New Roman" w:hAnsi="Times New Roman" w:eastAsia="方正仿宋_GBK" w:cs="Times New Roman"/>
          <w:sz w:val="32"/>
          <w:szCs w:val="32"/>
        </w:rPr>
      </w:pPr>
    </w:p>
    <w:p>
      <w:pPr>
        <w:spacing w:line="540" w:lineRule="exact"/>
        <w:rPr>
          <w:rFonts w:hint="eastAsia" w:ascii="Times New Roman" w:hAnsi="Times New Roman" w:eastAsia="方正仿宋_GBK" w:cs="Times New Roman"/>
          <w:sz w:val="32"/>
          <w:szCs w:val="32"/>
        </w:rPr>
      </w:pPr>
    </w:p>
    <w:p>
      <w:pPr>
        <w:spacing w:line="540" w:lineRule="exact"/>
        <w:rPr>
          <w:rFonts w:hint="eastAsia" w:ascii="Times New Roman" w:hAnsi="Times New Roman" w:eastAsia="方正仿宋_GBK" w:cs="Times New Roman"/>
          <w:sz w:val="32"/>
          <w:szCs w:val="32"/>
        </w:rPr>
      </w:pPr>
    </w:p>
    <w:p>
      <w:pPr>
        <w:spacing w:line="540" w:lineRule="exact"/>
        <w:rPr>
          <w:rFonts w:hint="eastAsia" w:ascii="Times New Roman" w:hAnsi="Times New Roman" w:eastAsia="方正仿宋_GBK" w:cs="Times New Roman"/>
          <w:sz w:val="32"/>
          <w:szCs w:val="32"/>
        </w:rPr>
      </w:pPr>
    </w:p>
    <w:p>
      <w:pPr>
        <w:spacing w:line="540" w:lineRule="exact"/>
        <w:rPr>
          <w:rFonts w:hint="eastAsia" w:ascii="方正小标宋_GBK" w:hAnsi="Times New Roman" w:eastAsia="方正小标宋_GBK" w:cs="Times New Roman"/>
          <w:sz w:val="44"/>
          <w:szCs w:val="44"/>
        </w:rPr>
      </w:pPr>
    </w:p>
    <w:p>
      <w:pPr>
        <w:spacing w:line="540" w:lineRule="exact"/>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句容市“十四五”经济社会发展主要指标</w:t>
      </w:r>
    </w:p>
    <w:p>
      <w:pPr>
        <w:spacing w:line="480" w:lineRule="exact"/>
        <w:rPr>
          <w:rFonts w:ascii="Times New Roman" w:hAnsi="Times New Roman" w:eastAsia="方正黑体_GBK" w:cs="Times New Roman"/>
          <w:sz w:val="32"/>
          <w:szCs w:val="32"/>
          <w:lang w:val="zh-CN"/>
        </w:rPr>
      </w:pPr>
    </w:p>
    <w:tbl>
      <w:tblPr>
        <w:tblStyle w:val="22"/>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3"/>
        <w:gridCol w:w="4727"/>
        <w:gridCol w:w="1049"/>
        <w:gridCol w:w="1215"/>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563" w:type="dxa"/>
            <w:vMerge w:val="restart"/>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sz w:val="22"/>
              </w:rPr>
            </w:pPr>
            <w:r>
              <w:rPr>
                <w:rFonts w:hint="eastAsia" w:ascii="Times New Roman" w:hAnsi="Times New Roman" w:eastAsia="方正黑体简体" w:cs="Times New Roman"/>
                <w:color w:val="000000"/>
                <w:kern w:val="0"/>
                <w:sz w:val="22"/>
              </w:rPr>
              <w:t>序号</w:t>
            </w:r>
          </w:p>
        </w:tc>
        <w:tc>
          <w:tcPr>
            <w:tcW w:w="4727" w:type="dxa"/>
            <w:vMerge w:val="restart"/>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sz w:val="22"/>
              </w:rPr>
            </w:pPr>
            <w:r>
              <w:rPr>
                <w:rFonts w:hint="eastAsia" w:ascii="Times New Roman" w:hAnsi="Times New Roman" w:eastAsia="方正黑体简体" w:cs="Times New Roman"/>
                <w:color w:val="000000"/>
                <w:kern w:val="0"/>
                <w:sz w:val="22"/>
              </w:rPr>
              <w:t>指标名称</w:t>
            </w:r>
          </w:p>
        </w:tc>
        <w:tc>
          <w:tcPr>
            <w:tcW w:w="2264" w:type="dxa"/>
            <w:gridSpan w:val="2"/>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sz w:val="22"/>
              </w:rPr>
            </w:pPr>
            <w:r>
              <w:rPr>
                <w:rFonts w:hint="eastAsia" w:ascii="Times New Roman" w:hAnsi="Times New Roman" w:eastAsia="方正黑体简体" w:cs="Times New Roman"/>
                <w:color w:val="000000"/>
                <w:kern w:val="0"/>
                <w:sz w:val="22"/>
              </w:rPr>
              <w:t>规划目标</w:t>
            </w:r>
          </w:p>
        </w:tc>
        <w:tc>
          <w:tcPr>
            <w:tcW w:w="906" w:type="dxa"/>
            <w:vMerge w:val="restart"/>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sz w:val="22"/>
              </w:rPr>
            </w:pPr>
            <w:r>
              <w:rPr>
                <w:rFonts w:hint="eastAsia" w:ascii="Times New Roman" w:hAnsi="Times New Roman" w:eastAsia="方正黑体简体" w:cs="Times New Roman"/>
                <w:color w:val="000000"/>
                <w:kern w:val="0"/>
                <w:sz w:val="22"/>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563" w:type="dxa"/>
            <w:vMerge w:val="continue"/>
            <w:tcMar>
              <w:top w:w="15" w:type="dxa"/>
              <w:left w:w="15" w:type="dxa"/>
              <w:bottom w:w="0" w:type="dxa"/>
              <w:right w:w="15" w:type="dxa"/>
            </w:tcMar>
            <w:vAlign w:val="center"/>
          </w:tcPr>
          <w:p>
            <w:pPr>
              <w:widowControl/>
              <w:spacing w:line="300" w:lineRule="exact"/>
              <w:jc w:val="center"/>
              <w:rPr>
                <w:rFonts w:ascii="Times New Roman" w:hAnsi="Times New Roman" w:eastAsia="方正黑体简体" w:cs="Times New Roman"/>
                <w:color w:val="000000"/>
                <w:sz w:val="22"/>
              </w:rPr>
            </w:pPr>
          </w:p>
        </w:tc>
        <w:tc>
          <w:tcPr>
            <w:tcW w:w="4727" w:type="dxa"/>
            <w:vMerge w:val="continue"/>
            <w:tcMar>
              <w:top w:w="15" w:type="dxa"/>
              <w:left w:w="15" w:type="dxa"/>
              <w:bottom w:w="0" w:type="dxa"/>
              <w:right w:w="15" w:type="dxa"/>
            </w:tcMar>
            <w:vAlign w:val="center"/>
          </w:tcPr>
          <w:p>
            <w:pPr>
              <w:widowControl/>
              <w:spacing w:line="300" w:lineRule="exact"/>
              <w:jc w:val="center"/>
              <w:rPr>
                <w:rFonts w:ascii="Times New Roman" w:hAnsi="Times New Roman" w:eastAsia="方正黑体简体" w:cs="Times New Roman"/>
                <w:color w:val="000000"/>
                <w:sz w:val="22"/>
              </w:rPr>
            </w:pP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sz w:val="22"/>
              </w:rPr>
            </w:pPr>
            <w:r>
              <w:rPr>
                <w:rStyle w:val="48"/>
                <w:rFonts w:eastAsia="方正黑体简体"/>
                <w:sz w:val="22"/>
                <w:szCs w:val="22"/>
              </w:rPr>
              <w:t>2025</w:t>
            </w:r>
            <w:r>
              <w:rPr>
                <w:rStyle w:val="49"/>
                <w:rFonts w:hint="eastAsia" w:ascii="Times New Roman" w:hAnsi="Times New Roman" w:eastAsia="方正黑体简体" w:cs="Times New Roman"/>
                <w:sz w:val="22"/>
                <w:szCs w:val="22"/>
              </w:rPr>
              <w:t>年</w:t>
            </w: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sz w:val="22"/>
              </w:rPr>
            </w:pPr>
            <w:r>
              <w:rPr>
                <w:rStyle w:val="49"/>
                <w:rFonts w:hint="eastAsia" w:ascii="Times New Roman" w:hAnsi="Times New Roman" w:eastAsia="方正黑体简体" w:cs="Times New Roman"/>
                <w:sz w:val="22"/>
                <w:szCs w:val="22"/>
              </w:rPr>
              <w:t>年均增速</w:t>
            </w:r>
          </w:p>
        </w:tc>
        <w:tc>
          <w:tcPr>
            <w:tcW w:w="906" w:type="dxa"/>
            <w:vMerge w:val="continue"/>
            <w:tcMar>
              <w:top w:w="15" w:type="dxa"/>
              <w:left w:w="15" w:type="dxa"/>
              <w:bottom w:w="0" w:type="dxa"/>
              <w:right w:w="15" w:type="dxa"/>
            </w:tcMar>
            <w:vAlign w:val="center"/>
          </w:tcPr>
          <w:p>
            <w:pPr>
              <w:widowControl/>
              <w:spacing w:line="300" w:lineRule="exact"/>
              <w:jc w:val="center"/>
              <w:rPr>
                <w:rFonts w:ascii="Times New Roman" w:hAnsi="Times New Roman" w:eastAsia="方正黑体简体" w:cs="Times New Roman"/>
                <w:color w:val="00000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1</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Fonts w:hint="eastAsia" w:ascii="Times New Roman" w:hAnsi="Times New Roman" w:eastAsia="方正仿宋_GBK" w:cs="Times New Roman"/>
                <w:color w:val="000000"/>
                <w:kern w:val="0"/>
                <w:sz w:val="22"/>
              </w:rPr>
              <w:t>地区生产总值增长（</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color w:val="000000"/>
                <w:sz w:val="22"/>
              </w:rPr>
            </w:pP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sz w:val="22"/>
              </w:rPr>
            </w:pPr>
            <w:r>
              <w:rPr>
                <w:rStyle w:val="50"/>
                <w:rFonts w:eastAsia="方正仿宋_GBK"/>
                <w:sz w:val="22"/>
                <w:szCs w:val="22"/>
              </w:rPr>
              <w:t>6.5</w:t>
            </w:r>
            <w:r>
              <w:rPr>
                <w:rStyle w:val="51"/>
                <w:rFonts w:hint="eastAsia" w:ascii="Times New Roman" w:hAnsi="Times New Roman" w:cs="Times New Roman"/>
                <w:sz w:val="22"/>
                <w:szCs w:val="22"/>
              </w:rPr>
              <w:t>左右</w:t>
            </w: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2</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Fonts w:hint="eastAsia" w:ascii="Times New Roman" w:hAnsi="Times New Roman" w:eastAsia="方正仿宋_GBK" w:cs="Times New Roman"/>
                <w:color w:val="000000"/>
                <w:kern w:val="0"/>
                <w:sz w:val="22"/>
              </w:rPr>
              <w:t>全员劳动生产率增长（</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color w:val="000000"/>
                <w:sz w:val="22"/>
              </w:rPr>
            </w:pP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sz w:val="22"/>
              </w:rPr>
            </w:pPr>
            <w:r>
              <w:rPr>
                <w:rStyle w:val="50"/>
                <w:rFonts w:eastAsia="方正仿宋_GBK"/>
                <w:sz w:val="22"/>
                <w:szCs w:val="22"/>
              </w:rPr>
              <w:t>6.5</w:t>
            </w:r>
            <w:r>
              <w:rPr>
                <w:rStyle w:val="51"/>
                <w:rFonts w:hint="eastAsia" w:ascii="Times New Roman" w:hAnsi="Times New Roman" w:cs="Times New Roman"/>
                <w:sz w:val="22"/>
                <w:szCs w:val="22"/>
              </w:rPr>
              <w:t>左右</w:t>
            </w: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3</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一般公共预算收入增速（</w:t>
            </w:r>
            <w:r>
              <w:rPr>
                <w:rStyle w:val="50"/>
                <w:rFonts w:eastAsia="方正仿宋_GBK"/>
                <w:sz w:val="22"/>
                <w:szCs w:val="22"/>
              </w:rPr>
              <w:t>%</w:t>
            </w:r>
            <w:r>
              <w:rPr>
                <w:rStyle w:val="51"/>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color w:val="000000"/>
                <w:sz w:val="22"/>
              </w:rPr>
            </w:pP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sz w:val="22"/>
              </w:rPr>
            </w:pPr>
            <w:r>
              <w:rPr>
                <w:rStyle w:val="51"/>
                <w:rFonts w:hint="eastAsia" w:ascii="Times New Roman" w:hAnsi="Times New Roman" w:cs="Times New Roman"/>
                <w:sz w:val="22"/>
                <w:szCs w:val="22"/>
              </w:rPr>
              <w:t>与</w:t>
            </w:r>
            <w:r>
              <w:rPr>
                <w:rStyle w:val="50"/>
                <w:rFonts w:eastAsia="方正仿宋_GBK"/>
                <w:sz w:val="22"/>
                <w:szCs w:val="22"/>
              </w:rPr>
              <w:t>GDP</w:t>
            </w:r>
            <w:r>
              <w:rPr>
                <w:rStyle w:val="51"/>
                <w:rFonts w:hint="eastAsia" w:ascii="Times New Roman" w:hAnsi="Times New Roman" w:cs="Times New Roman"/>
                <w:sz w:val="22"/>
                <w:szCs w:val="22"/>
              </w:rPr>
              <w:t>增幅相适应</w:t>
            </w: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4</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固定资产投资增速（</w:t>
            </w:r>
            <w:r>
              <w:rPr>
                <w:rStyle w:val="50"/>
                <w:rFonts w:eastAsia="方正仿宋_GBK"/>
                <w:sz w:val="22"/>
                <w:szCs w:val="22"/>
              </w:rPr>
              <w:t>%</w:t>
            </w:r>
            <w:r>
              <w:rPr>
                <w:rStyle w:val="51"/>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color w:val="000000"/>
                <w:sz w:val="22"/>
              </w:rPr>
            </w:pP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sz w:val="22"/>
              </w:rPr>
            </w:pPr>
            <w:r>
              <w:rPr>
                <w:rFonts w:ascii="Times New Roman" w:hAnsi="Times New Roman" w:eastAsia="方正仿宋_GBK" w:cs="Times New Roman"/>
                <w:color w:val="000000"/>
                <w:kern w:val="0"/>
                <w:sz w:val="22"/>
              </w:rPr>
              <w:t>8</w:t>
            </w: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5</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制造业增加值占比（</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32</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6</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Fonts w:hint="eastAsia" w:ascii="Times New Roman" w:hAnsi="Times New Roman" w:eastAsia="方正仿宋_GBK" w:cs="Times New Roman"/>
                <w:color w:val="000000"/>
                <w:kern w:val="0"/>
                <w:sz w:val="22"/>
                <w:lang w:eastAsia="zh-CN"/>
              </w:rPr>
              <w:t>高新技术产业产值占规模以上工业产值比重</w:t>
            </w:r>
            <w:r>
              <w:rPr>
                <w:rFonts w:hint="eastAsia" w:ascii="Times New Roman" w:hAnsi="Times New Roman" w:eastAsia="方正仿宋_GBK" w:cs="Times New Roman"/>
                <w:color w:val="000000"/>
                <w:kern w:val="0"/>
                <w:sz w:val="22"/>
              </w:rPr>
              <w:t>（</w:t>
            </w:r>
            <w:r>
              <w:rPr>
                <w:rStyle w:val="52"/>
                <w:rFonts w:eastAsia="方正仿宋_GBK"/>
                <w:sz w:val="22"/>
                <w:szCs w:val="22"/>
              </w:rPr>
              <w:t>%</w:t>
            </w:r>
            <w:r>
              <w:rPr>
                <w:rStyle w:val="53"/>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kern w:val="0"/>
                <w:sz w:val="22"/>
                <w:lang w:val="en-US" w:eastAsia="zh-CN"/>
              </w:rPr>
              <w:t>45</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7</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Fonts w:hint="eastAsia" w:ascii="Times New Roman" w:hAnsi="Times New Roman" w:eastAsia="方正仿宋_GBK" w:cs="Times New Roman"/>
                <w:color w:val="000000"/>
                <w:kern w:val="0"/>
                <w:sz w:val="22"/>
              </w:rPr>
              <w:t>研发经费投入增长（</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color w:val="000000"/>
                <w:sz w:val="22"/>
              </w:rPr>
            </w:pP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sz w:val="22"/>
              </w:rPr>
            </w:pPr>
            <w:r>
              <w:rPr>
                <w:rStyle w:val="52"/>
                <w:rFonts w:eastAsia="方正仿宋_GBK"/>
                <w:sz w:val="22"/>
                <w:szCs w:val="22"/>
              </w:rPr>
              <w:t>7</w:t>
            </w:r>
            <w:r>
              <w:rPr>
                <w:rStyle w:val="53"/>
                <w:rFonts w:hint="eastAsia" w:ascii="Times New Roman" w:hAnsi="Times New Roman" w:cs="Times New Roman"/>
                <w:sz w:val="22"/>
                <w:szCs w:val="22"/>
              </w:rPr>
              <w:t>左右</w:t>
            </w: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8</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Fonts w:hint="eastAsia" w:ascii="Times New Roman" w:hAnsi="Times New Roman" w:eastAsia="方正仿宋_GBK" w:cs="Times New Roman"/>
                <w:color w:val="000000"/>
                <w:kern w:val="0"/>
                <w:sz w:val="22"/>
              </w:rPr>
              <w:t>每万人口高价值发明专利拥有量（件）</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8</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kern w:val="0"/>
                <w:sz w:val="22"/>
                <w:lang w:val="en-US" w:eastAsia="zh-CN"/>
              </w:rPr>
            </w:pPr>
            <w:r>
              <w:rPr>
                <w:rFonts w:hint="eastAsia" w:ascii="Times New Roman" w:hAnsi="Times New Roman" w:eastAsia="方正仿宋_GBK" w:cs="Times New Roman"/>
                <w:color w:val="000000"/>
                <w:kern w:val="0"/>
                <w:sz w:val="22"/>
                <w:lang w:val="en-US" w:eastAsia="zh-CN"/>
              </w:rPr>
              <w:t>9</w:t>
            </w:r>
          </w:p>
        </w:tc>
        <w:tc>
          <w:tcPr>
            <w:tcW w:w="4727" w:type="dxa"/>
            <w:tcMar>
              <w:top w:w="15" w:type="dxa"/>
              <w:left w:w="15" w:type="dxa"/>
              <w:bottom w:w="0" w:type="dxa"/>
              <w:right w:w="15" w:type="dxa"/>
            </w:tcMar>
            <w:vAlign w:val="center"/>
          </w:tcPr>
          <w:p>
            <w:pPr>
              <w:widowControl/>
              <w:spacing w:line="300" w:lineRule="exact"/>
              <w:jc w:val="left"/>
              <w:textAlignment w:val="center"/>
              <w:rPr>
                <w:rStyle w:val="51"/>
                <w:rFonts w:hint="eastAsia" w:ascii="Times New Roman" w:hAnsi="Times New Roman" w:eastAsia="方正仿宋_GBK" w:cs="Times New Roman"/>
                <w:sz w:val="22"/>
                <w:szCs w:val="22"/>
                <w:lang w:eastAsia="zh-CN"/>
              </w:rPr>
            </w:pPr>
            <w:r>
              <w:rPr>
                <w:rStyle w:val="51"/>
                <w:rFonts w:hint="eastAsia" w:ascii="Times New Roman" w:hAnsi="Times New Roman" w:eastAsia="方正仿宋_GBK" w:cs="Times New Roman"/>
                <w:sz w:val="22"/>
                <w:szCs w:val="22"/>
                <w:lang w:eastAsia="zh-CN"/>
              </w:rPr>
              <w:t>常住人口城镇化率</w:t>
            </w:r>
            <w:r>
              <w:rPr>
                <w:rStyle w:val="51"/>
                <w:rFonts w:hint="eastAsia" w:ascii="Times New Roman" w:hAnsi="Times New Roman" w:cs="Times New Roman"/>
                <w:sz w:val="22"/>
                <w:szCs w:val="22"/>
              </w:rPr>
              <w:t>（</w:t>
            </w:r>
            <w:r>
              <w:rPr>
                <w:rStyle w:val="50"/>
                <w:rFonts w:eastAsia="方正仿宋_GBK"/>
                <w:sz w:val="22"/>
                <w:szCs w:val="22"/>
              </w:rPr>
              <w:t>%</w:t>
            </w:r>
            <w:r>
              <w:rPr>
                <w:rStyle w:val="51"/>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sz w:val="22"/>
                <w:lang w:val="en-US" w:eastAsia="zh-CN"/>
              </w:rPr>
              <w:t>65左右</w:t>
            </w: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kern w:val="0"/>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Style w:val="51"/>
                <w:rFonts w:hint="eastAsia" w:ascii="Times New Roman" w:hAnsi="Times New Roman" w:cs="Times New Roman"/>
                <w:sz w:val="22"/>
                <w:szCs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kern w:val="0"/>
                <w:sz w:val="22"/>
                <w:lang w:val="en-US" w:eastAsia="zh-CN"/>
              </w:rPr>
              <w:t>10</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社会消费品零售总额增长率（</w:t>
            </w:r>
            <w:r>
              <w:rPr>
                <w:rStyle w:val="50"/>
                <w:rFonts w:eastAsia="方正仿宋_GBK"/>
                <w:sz w:val="22"/>
                <w:szCs w:val="22"/>
              </w:rPr>
              <w:t>%</w:t>
            </w:r>
            <w:r>
              <w:rPr>
                <w:rStyle w:val="51"/>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color w:val="000000"/>
                <w:sz w:val="22"/>
              </w:rPr>
            </w:pP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sz w:val="22"/>
              </w:rPr>
            </w:pPr>
            <w:r>
              <w:rPr>
                <w:rFonts w:ascii="Times New Roman" w:hAnsi="Times New Roman" w:eastAsia="方正仿宋_GBK" w:cs="Times New Roman"/>
                <w:color w:val="000000"/>
                <w:kern w:val="0"/>
                <w:sz w:val="22"/>
              </w:rPr>
              <w:t>6</w:t>
            </w: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1</w:t>
            </w:r>
            <w:r>
              <w:rPr>
                <w:rFonts w:hint="eastAsia" w:ascii="Times New Roman" w:hAnsi="Times New Roman" w:eastAsia="方正仿宋_GBK" w:cs="Times New Roman"/>
                <w:color w:val="000000"/>
                <w:kern w:val="0"/>
                <w:sz w:val="22"/>
                <w:lang w:val="en-US" w:eastAsia="zh-CN"/>
              </w:rPr>
              <w:t>1</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实际利用外资总额（</w:t>
            </w:r>
            <w:r>
              <w:rPr>
                <w:rStyle w:val="50"/>
                <w:rFonts w:hint="eastAsia" w:eastAsia="方正仿宋_GBK"/>
                <w:sz w:val="22"/>
                <w:szCs w:val="22"/>
              </w:rPr>
              <w:t>亿美元</w:t>
            </w:r>
            <w:r>
              <w:rPr>
                <w:rStyle w:val="51"/>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2.3</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1</w:t>
            </w:r>
            <w:r>
              <w:rPr>
                <w:rFonts w:hint="eastAsia" w:ascii="Times New Roman" w:hAnsi="Times New Roman" w:eastAsia="方正仿宋_GBK" w:cs="Times New Roman"/>
                <w:color w:val="000000"/>
                <w:kern w:val="0"/>
                <w:sz w:val="22"/>
                <w:lang w:val="en-US" w:eastAsia="zh-CN"/>
              </w:rPr>
              <w:t>2</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居民人均可支配收入增长（</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color w:val="000000"/>
                <w:sz w:val="22"/>
              </w:rPr>
            </w:pP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sz w:val="22"/>
              </w:rPr>
            </w:pPr>
            <w:r>
              <w:rPr>
                <w:rStyle w:val="51"/>
                <w:rFonts w:hint="eastAsia" w:ascii="Times New Roman" w:hAnsi="Times New Roman" w:cs="Times New Roman"/>
                <w:sz w:val="22"/>
                <w:szCs w:val="22"/>
              </w:rPr>
              <w:t>与经济发展同步</w:t>
            </w: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1</w:t>
            </w:r>
            <w:r>
              <w:rPr>
                <w:rFonts w:hint="eastAsia" w:ascii="Times New Roman" w:hAnsi="Times New Roman" w:eastAsia="方正仿宋_GBK" w:cs="Times New Roman"/>
                <w:color w:val="000000"/>
                <w:kern w:val="0"/>
                <w:sz w:val="22"/>
                <w:lang w:val="en-US" w:eastAsia="zh-CN"/>
              </w:rPr>
              <w:t>3</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城镇登记失业率（</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0"/>
                <w:rFonts w:eastAsia="方正仿宋_GBK"/>
                <w:sz w:val="22"/>
                <w:szCs w:val="22"/>
              </w:rPr>
              <w:t>3</w:t>
            </w:r>
            <w:r>
              <w:rPr>
                <w:rStyle w:val="51"/>
                <w:rFonts w:hint="eastAsia" w:ascii="Times New Roman" w:hAnsi="Times New Roman" w:cs="Times New Roman"/>
                <w:sz w:val="22"/>
                <w:szCs w:val="22"/>
              </w:rPr>
              <w:t>以内</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1</w:t>
            </w:r>
            <w:r>
              <w:rPr>
                <w:rFonts w:hint="eastAsia" w:ascii="Times New Roman" w:hAnsi="Times New Roman" w:eastAsia="方正仿宋_GBK" w:cs="Times New Roman"/>
                <w:color w:val="000000"/>
                <w:kern w:val="0"/>
                <w:sz w:val="22"/>
                <w:lang w:val="en-US" w:eastAsia="zh-CN"/>
              </w:rPr>
              <w:t>4</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人均预期寿命（岁）</w:t>
            </w:r>
          </w:p>
        </w:tc>
        <w:tc>
          <w:tcPr>
            <w:tcW w:w="1049"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80</w:t>
            </w:r>
            <w:r>
              <w:rPr>
                <w:rFonts w:hint="eastAsia" w:ascii="Times New Roman" w:hAnsi="Times New Roman" w:eastAsia="方正仿宋_GBK" w:cs="Times New Roman"/>
                <w:color w:val="000000"/>
                <w:kern w:val="0"/>
                <w:sz w:val="22"/>
                <w:lang w:eastAsia="zh-CN"/>
              </w:rPr>
              <w:t>左右</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1</w:t>
            </w:r>
            <w:r>
              <w:rPr>
                <w:rFonts w:hint="eastAsia" w:ascii="Times New Roman" w:hAnsi="Times New Roman" w:eastAsia="方正仿宋_GBK" w:cs="Times New Roman"/>
                <w:color w:val="000000"/>
                <w:kern w:val="0"/>
                <w:sz w:val="22"/>
                <w:lang w:val="en-US" w:eastAsia="zh-CN"/>
              </w:rPr>
              <w:t>5</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每千人口拥有执业（助理）医师数（人）</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2.75</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1</w:t>
            </w:r>
            <w:r>
              <w:rPr>
                <w:rFonts w:hint="eastAsia" w:ascii="Times New Roman" w:hAnsi="Times New Roman" w:eastAsia="方正仿宋_GBK" w:cs="Times New Roman"/>
                <w:color w:val="000000"/>
                <w:kern w:val="0"/>
                <w:sz w:val="22"/>
                <w:lang w:val="en-US" w:eastAsia="zh-CN"/>
              </w:rPr>
              <w:t>6</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城乡基本养老保险参保缴费率（</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&gt;98</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1</w:t>
            </w:r>
            <w:r>
              <w:rPr>
                <w:rFonts w:hint="eastAsia" w:ascii="Times New Roman" w:hAnsi="Times New Roman" w:eastAsia="方正仿宋_GBK" w:cs="Times New Roman"/>
                <w:color w:val="000000"/>
                <w:kern w:val="0"/>
                <w:sz w:val="22"/>
                <w:lang w:val="en-US" w:eastAsia="zh-CN"/>
              </w:rPr>
              <w:t>7</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每千人口拥有</w:t>
            </w:r>
            <w:r>
              <w:rPr>
                <w:rStyle w:val="48"/>
                <w:rFonts w:eastAsia="方正仿宋_GBK"/>
                <w:sz w:val="22"/>
                <w:szCs w:val="22"/>
              </w:rPr>
              <w:t>3</w:t>
            </w:r>
            <w:r>
              <w:rPr>
                <w:rStyle w:val="49"/>
                <w:rFonts w:hint="eastAsia" w:ascii="Times New Roman" w:hAnsi="Times New Roman" w:cs="Times New Roman"/>
                <w:sz w:val="22"/>
                <w:szCs w:val="22"/>
              </w:rPr>
              <w:t>岁以下婴幼儿托位数（个）</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2"/>
                <w:rFonts w:eastAsia="方正仿宋_GBK"/>
                <w:sz w:val="22"/>
                <w:szCs w:val="22"/>
              </w:rPr>
              <w:t>4.5</w:t>
            </w:r>
            <w:r>
              <w:rPr>
                <w:rStyle w:val="53"/>
                <w:rFonts w:hint="eastAsia" w:ascii="Times New Roman" w:hAnsi="Times New Roman" w:cs="Times New Roman"/>
                <w:sz w:val="22"/>
                <w:szCs w:val="22"/>
              </w:rPr>
              <w:t>左右</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1</w:t>
            </w:r>
            <w:r>
              <w:rPr>
                <w:rFonts w:hint="eastAsia" w:ascii="Times New Roman" w:hAnsi="Times New Roman" w:eastAsia="方正仿宋_GBK" w:cs="Times New Roman"/>
                <w:color w:val="000000"/>
                <w:kern w:val="0"/>
                <w:sz w:val="22"/>
                <w:lang w:val="en-US" w:eastAsia="zh-CN"/>
              </w:rPr>
              <w:t>8</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接受上门服务的居家老年人数占比（</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kern w:val="0"/>
                <w:sz w:val="22"/>
                <w:lang w:val="en-US" w:eastAsia="zh-CN"/>
              </w:rPr>
              <w:t>18左右</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563" w:type="dxa"/>
            <w:vMerge w:val="restart"/>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kern w:val="0"/>
                <w:sz w:val="22"/>
              </w:rPr>
            </w:pPr>
            <w:r>
              <w:rPr>
                <w:rFonts w:hint="eastAsia" w:ascii="Times New Roman" w:hAnsi="Times New Roman" w:eastAsia="方正黑体简体" w:cs="Times New Roman"/>
                <w:color w:val="000000"/>
                <w:kern w:val="0"/>
                <w:sz w:val="22"/>
              </w:rPr>
              <w:t>序号</w:t>
            </w:r>
          </w:p>
        </w:tc>
        <w:tc>
          <w:tcPr>
            <w:tcW w:w="4727" w:type="dxa"/>
            <w:vMerge w:val="restart"/>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kern w:val="0"/>
                <w:sz w:val="22"/>
              </w:rPr>
            </w:pPr>
            <w:r>
              <w:rPr>
                <w:rFonts w:hint="eastAsia" w:ascii="Times New Roman" w:hAnsi="Times New Roman" w:eastAsia="方正黑体简体" w:cs="Times New Roman"/>
                <w:color w:val="000000"/>
                <w:kern w:val="0"/>
                <w:sz w:val="22"/>
              </w:rPr>
              <w:t>指标名称</w:t>
            </w:r>
          </w:p>
        </w:tc>
        <w:tc>
          <w:tcPr>
            <w:tcW w:w="2264" w:type="dxa"/>
            <w:gridSpan w:val="2"/>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kern w:val="0"/>
                <w:sz w:val="22"/>
              </w:rPr>
            </w:pPr>
            <w:r>
              <w:rPr>
                <w:rFonts w:hint="eastAsia" w:ascii="Times New Roman" w:hAnsi="Times New Roman" w:eastAsia="方正黑体简体" w:cs="Times New Roman"/>
                <w:color w:val="000000"/>
                <w:kern w:val="0"/>
                <w:sz w:val="22"/>
              </w:rPr>
              <w:t>规划目标</w:t>
            </w:r>
          </w:p>
        </w:tc>
        <w:tc>
          <w:tcPr>
            <w:tcW w:w="906" w:type="dxa"/>
            <w:vMerge w:val="restart"/>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kern w:val="0"/>
                <w:sz w:val="22"/>
              </w:rPr>
            </w:pPr>
            <w:r>
              <w:rPr>
                <w:rFonts w:hint="eastAsia" w:ascii="Times New Roman" w:hAnsi="Times New Roman" w:eastAsia="方正黑体简体" w:cs="Times New Roman"/>
                <w:color w:val="000000"/>
                <w:kern w:val="0"/>
                <w:sz w:val="22"/>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8" w:hRule="atLeast"/>
          <w:jc w:val="center"/>
        </w:trPr>
        <w:tc>
          <w:tcPr>
            <w:tcW w:w="563" w:type="dxa"/>
            <w:vMerge w:val="continue"/>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kern w:val="0"/>
                <w:sz w:val="22"/>
              </w:rPr>
            </w:pPr>
          </w:p>
        </w:tc>
        <w:tc>
          <w:tcPr>
            <w:tcW w:w="4727" w:type="dxa"/>
            <w:vMerge w:val="continue"/>
            <w:tcMar>
              <w:top w:w="15" w:type="dxa"/>
              <w:left w:w="15" w:type="dxa"/>
              <w:bottom w:w="0" w:type="dxa"/>
              <w:right w:w="15" w:type="dxa"/>
            </w:tcMar>
            <w:vAlign w:val="center"/>
          </w:tcPr>
          <w:p>
            <w:pPr>
              <w:widowControl/>
              <w:spacing w:line="300" w:lineRule="exact"/>
              <w:jc w:val="left"/>
              <w:textAlignment w:val="center"/>
              <w:rPr>
                <w:rStyle w:val="49"/>
                <w:rFonts w:ascii="Times New Roman" w:hAnsi="Times New Roman" w:cs="Times New Roman"/>
                <w:sz w:val="22"/>
                <w:szCs w:val="22"/>
              </w:rPr>
            </w:pP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color w:val="000000"/>
                <w:sz w:val="22"/>
              </w:rPr>
            </w:pPr>
            <w:r>
              <w:rPr>
                <w:rStyle w:val="48"/>
                <w:rFonts w:eastAsia="方正黑体简体"/>
                <w:sz w:val="22"/>
                <w:szCs w:val="22"/>
              </w:rPr>
              <w:t>2025</w:t>
            </w:r>
            <w:r>
              <w:rPr>
                <w:rStyle w:val="49"/>
                <w:rFonts w:hint="eastAsia" w:ascii="Times New Roman" w:hAnsi="Times New Roman" w:eastAsia="方正黑体简体" w:cs="Times New Roman"/>
                <w:sz w:val="22"/>
                <w:szCs w:val="22"/>
              </w:rPr>
              <w:t>年</w:t>
            </w: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黑体简体" w:cs="Times New Roman"/>
                <w:sz w:val="22"/>
              </w:rPr>
            </w:pPr>
            <w:r>
              <w:rPr>
                <w:rStyle w:val="49"/>
                <w:rFonts w:hint="eastAsia" w:ascii="Times New Roman" w:hAnsi="Times New Roman" w:eastAsia="方正黑体简体" w:cs="Times New Roman"/>
                <w:sz w:val="22"/>
                <w:szCs w:val="22"/>
              </w:rPr>
              <w:t>年均增速</w:t>
            </w:r>
          </w:p>
        </w:tc>
        <w:tc>
          <w:tcPr>
            <w:tcW w:w="906" w:type="dxa"/>
            <w:vMerge w:val="continue"/>
            <w:tcMar>
              <w:top w:w="15" w:type="dxa"/>
              <w:left w:w="15" w:type="dxa"/>
              <w:bottom w:w="0" w:type="dxa"/>
              <w:right w:w="15" w:type="dxa"/>
            </w:tcMar>
            <w:vAlign w:val="center"/>
          </w:tcPr>
          <w:p>
            <w:pPr>
              <w:widowControl/>
              <w:spacing w:line="300" w:lineRule="exact"/>
              <w:jc w:val="center"/>
              <w:textAlignment w:val="center"/>
              <w:rPr>
                <w:rStyle w:val="51"/>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kern w:val="2"/>
                <w:sz w:val="22"/>
                <w:szCs w:val="22"/>
                <w:lang w:val="en-US" w:eastAsia="zh-CN" w:bidi="ar-SA"/>
              </w:rPr>
            </w:pPr>
            <w:r>
              <w:rPr>
                <w:rFonts w:ascii="Times New Roman" w:hAnsi="Times New Roman" w:eastAsia="方正仿宋_GBK" w:cs="Times New Roman"/>
                <w:color w:val="000000"/>
                <w:kern w:val="0"/>
                <w:sz w:val="22"/>
              </w:rPr>
              <w:t>1</w:t>
            </w:r>
            <w:r>
              <w:rPr>
                <w:rFonts w:hint="eastAsia" w:ascii="Times New Roman" w:hAnsi="Times New Roman" w:eastAsia="方正仿宋_GBK" w:cs="Times New Roman"/>
                <w:color w:val="000000"/>
                <w:kern w:val="0"/>
                <w:sz w:val="22"/>
                <w:lang w:val="en-US" w:eastAsia="zh-CN"/>
              </w:rPr>
              <w:t>9</w:t>
            </w:r>
          </w:p>
        </w:tc>
        <w:tc>
          <w:tcPr>
            <w:tcW w:w="4727" w:type="dxa"/>
            <w:tcMar>
              <w:top w:w="15" w:type="dxa"/>
              <w:left w:w="15" w:type="dxa"/>
              <w:bottom w:w="0" w:type="dxa"/>
              <w:right w:w="15" w:type="dxa"/>
            </w:tcMar>
            <w:vAlign w:val="center"/>
          </w:tcPr>
          <w:p>
            <w:pPr>
              <w:widowControl/>
              <w:spacing w:line="300" w:lineRule="exact"/>
              <w:jc w:val="left"/>
              <w:textAlignment w:val="center"/>
              <w:rPr>
                <w:rFonts w:hint="eastAsia" w:ascii="Times New Roman" w:hAnsi="Times New Roman" w:eastAsia="方正仿宋_GBK" w:cs="Times New Roman"/>
                <w:color w:val="000000"/>
                <w:kern w:val="2"/>
                <w:sz w:val="22"/>
                <w:szCs w:val="22"/>
                <w:lang w:val="en-US" w:eastAsia="zh-CN" w:bidi="ar-SA"/>
              </w:rPr>
            </w:pPr>
            <w:r>
              <w:rPr>
                <w:rStyle w:val="49"/>
                <w:rFonts w:hint="eastAsia" w:ascii="Times New Roman" w:hAnsi="Times New Roman" w:cs="Times New Roman"/>
                <w:sz w:val="22"/>
                <w:szCs w:val="22"/>
              </w:rPr>
              <w:t>单位地区生产总值能源消耗降低（</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Style w:val="51"/>
                <w:rFonts w:ascii="Times New Roman" w:hAnsi="Times New Roman" w:cs="Times New Roman"/>
                <w:sz w:val="22"/>
                <w:szCs w:val="22"/>
              </w:rPr>
            </w:pPr>
            <w:r>
              <w:rPr>
                <w:rStyle w:val="51"/>
                <w:rFonts w:hint="eastAsia" w:ascii="Times New Roman" w:hAnsi="Times New Roman" w:cs="Times New Roman"/>
                <w:sz w:val="22"/>
                <w:szCs w:val="22"/>
              </w:rPr>
              <w:t>完成上级</w:t>
            </w:r>
          </w:p>
          <w:p>
            <w:pPr>
              <w:widowControl/>
              <w:spacing w:line="300" w:lineRule="exact"/>
              <w:jc w:val="center"/>
              <w:rPr>
                <w:rFonts w:ascii="Times New Roman" w:hAnsi="Times New Roman" w:eastAsia="方正仿宋_GBK" w:cs="Times New Roman"/>
                <w:color w:val="000000"/>
                <w:kern w:val="2"/>
                <w:sz w:val="22"/>
                <w:szCs w:val="22"/>
                <w:lang w:val="en-US" w:eastAsia="zh-CN" w:bidi="ar-SA"/>
              </w:rPr>
            </w:pPr>
            <w:r>
              <w:rPr>
                <w:rStyle w:val="51"/>
                <w:rFonts w:hint="eastAsia" w:ascii="Times New Roman" w:hAnsi="Times New Roman" w:cs="Times New Roman"/>
                <w:sz w:val="22"/>
                <w:szCs w:val="22"/>
              </w:rPr>
              <w:t>下达任务</w:t>
            </w:r>
          </w:p>
        </w:tc>
        <w:tc>
          <w:tcPr>
            <w:tcW w:w="1215"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kern w:val="2"/>
                <w:sz w:val="22"/>
                <w:szCs w:val="22"/>
                <w:lang w:val="en-US" w:eastAsia="zh-CN" w:bidi="ar-SA"/>
              </w:rPr>
            </w:pPr>
          </w:p>
        </w:tc>
        <w:tc>
          <w:tcPr>
            <w:tcW w:w="906"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kern w:val="2"/>
                <w:sz w:val="22"/>
                <w:szCs w:val="22"/>
                <w:lang w:val="en-US" w:eastAsia="zh-CN" w:bidi="ar-SA"/>
              </w:rPr>
            </w:pPr>
            <w:r>
              <w:rPr>
                <w:rStyle w:val="51"/>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kern w:val="0"/>
                <w:sz w:val="22"/>
                <w:lang w:val="en-US" w:eastAsia="zh-CN"/>
              </w:rPr>
              <w:t>20</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单位地区生产总值二氧化碳排放降低（</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Style w:val="51"/>
                <w:rFonts w:ascii="Times New Roman" w:hAnsi="Times New Roman" w:cs="Times New Roman"/>
                <w:sz w:val="22"/>
                <w:szCs w:val="22"/>
              </w:rPr>
            </w:pPr>
            <w:r>
              <w:rPr>
                <w:rStyle w:val="51"/>
                <w:rFonts w:hint="eastAsia" w:ascii="Times New Roman" w:hAnsi="Times New Roman" w:cs="Times New Roman"/>
                <w:sz w:val="22"/>
                <w:szCs w:val="22"/>
              </w:rPr>
              <w:t>完成上级</w:t>
            </w:r>
          </w:p>
          <w:p>
            <w:pPr>
              <w:widowControl/>
              <w:spacing w:line="300" w:lineRule="exact"/>
              <w:jc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下达任务</w:t>
            </w: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2</w:t>
            </w:r>
            <w:r>
              <w:rPr>
                <w:rFonts w:hint="eastAsia" w:ascii="Times New Roman" w:hAnsi="Times New Roman" w:eastAsia="方正仿宋_GBK" w:cs="Times New Roman"/>
                <w:color w:val="000000"/>
                <w:kern w:val="0"/>
                <w:sz w:val="22"/>
                <w:lang w:val="en-US" w:eastAsia="zh-CN"/>
              </w:rPr>
              <w:t>1</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非化石能源发电装机容量（万千瓦时）</w:t>
            </w:r>
          </w:p>
        </w:tc>
        <w:tc>
          <w:tcPr>
            <w:tcW w:w="1049" w:type="dxa"/>
            <w:tcMar>
              <w:top w:w="15" w:type="dxa"/>
              <w:left w:w="15" w:type="dxa"/>
              <w:bottom w:w="0" w:type="dxa"/>
              <w:right w:w="15" w:type="dxa"/>
            </w:tcMar>
            <w:vAlign w:val="center"/>
          </w:tcPr>
          <w:p>
            <w:pPr>
              <w:widowControl/>
              <w:spacing w:line="300" w:lineRule="exact"/>
              <w:jc w:val="center"/>
              <w:textAlignment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kern w:val="0"/>
                <w:sz w:val="22"/>
                <w:lang w:val="en-US" w:eastAsia="zh-CN"/>
              </w:rPr>
              <w:t>30</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2</w:t>
            </w:r>
            <w:r>
              <w:rPr>
                <w:rFonts w:hint="eastAsia" w:ascii="Times New Roman" w:hAnsi="Times New Roman" w:eastAsia="方正仿宋_GBK" w:cs="Times New Roman"/>
                <w:color w:val="000000"/>
                <w:kern w:val="0"/>
                <w:sz w:val="22"/>
                <w:lang w:val="en-US" w:eastAsia="zh-CN"/>
              </w:rPr>
              <w:t>2</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地表水国考断面水质达到或优于</w:t>
            </w:r>
            <w:r>
              <w:rPr>
                <w:rStyle w:val="49"/>
                <w:rFonts w:hint="eastAsia" w:ascii="宋体" w:hAnsi="宋体" w:eastAsia="宋体" w:cs="宋体"/>
                <w:sz w:val="22"/>
                <w:szCs w:val="22"/>
              </w:rPr>
              <w:t>Ⅲ</w:t>
            </w:r>
            <w:r>
              <w:rPr>
                <w:rStyle w:val="49"/>
                <w:rFonts w:hint="eastAsia" w:ascii="Times New Roman" w:hAnsi="Times New Roman" w:cs="Times New Roman"/>
                <w:sz w:val="22"/>
                <w:szCs w:val="22"/>
              </w:rPr>
              <w:t>类比例（</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完成上级下达任务</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2</w:t>
            </w:r>
            <w:r>
              <w:rPr>
                <w:rFonts w:hint="eastAsia" w:ascii="Times New Roman" w:hAnsi="Times New Roman" w:eastAsia="方正仿宋_GBK" w:cs="Times New Roman"/>
                <w:color w:val="000000"/>
                <w:kern w:val="0"/>
                <w:sz w:val="22"/>
                <w:lang w:val="en-US" w:eastAsia="zh-CN"/>
              </w:rPr>
              <w:t>3</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空气质量达到优良天数比率（</w:t>
            </w:r>
            <w:r>
              <w:rPr>
                <w:rStyle w:val="50"/>
                <w:rFonts w:eastAsia="方正仿宋_GBK"/>
                <w:sz w:val="22"/>
                <w:szCs w:val="22"/>
              </w:rPr>
              <w:t>%</w:t>
            </w:r>
            <w:r>
              <w:rPr>
                <w:rStyle w:val="51"/>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完成上级下达任务</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2</w:t>
            </w:r>
            <w:r>
              <w:rPr>
                <w:rFonts w:hint="eastAsia" w:ascii="Times New Roman" w:hAnsi="Times New Roman" w:eastAsia="方正仿宋_GBK" w:cs="Times New Roman"/>
                <w:color w:val="000000"/>
                <w:kern w:val="0"/>
                <w:sz w:val="22"/>
                <w:lang w:val="en-US" w:eastAsia="zh-CN"/>
              </w:rPr>
              <w:t>4</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林木覆盖率（</w:t>
            </w:r>
            <w:r>
              <w:rPr>
                <w:rStyle w:val="50"/>
                <w:rFonts w:eastAsia="方正仿宋_GBK"/>
                <w:sz w:val="22"/>
                <w:szCs w:val="22"/>
              </w:rPr>
              <w:t>%</w:t>
            </w:r>
            <w:r>
              <w:rPr>
                <w:rStyle w:val="51"/>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&gt;29.8</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2</w:t>
            </w:r>
            <w:r>
              <w:rPr>
                <w:rFonts w:hint="eastAsia" w:ascii="Times New Roman" w:hAnsi="Times New Roman" w:eastAsia="方正仿宋_GBK" w:cs="Times New Roman"/>
                <w:color w:val="000000"/>
                <w:kern w:val="0"/>
                <w:sz w:val="22"/>
                <w:lang w:val="en-US" w:eastAsia="zh-CN"/>
              </w:rPr>
              <w:t>5</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劳动年龄人口平均受教育年限（年）</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Fonts w:ascii="Times New Roman" w:hAnsi="Times New Roman" w:eastAsia="方正仿宋_GBK" w:cs="Times New Roman"/>
                <w:color w:val="000000"/>
                <w:kern w:val="0"/>
                <w:sz w:val="22"/>
              </w:rPr>
              <w:t>12.2</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0"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2</w:t>
            </w:r>
            <w:r>
              <w:rPr>
                <w:rFonts w:hint="eastAsia" w:ascii="Times New Roman" w:hAnsi="Times New Roman" w:eastAsia="方正仿宋_GBK" w:cs="Times New Roman"/>
                <w:color w:val="000000"/>
                <w:kern w:val="0"/>
                <w:sz w:val="22"/>
                <w:lang w:val="en-US" w:eastAsia="zh-CN"/>
              </w:rPr>
              <w:t>6</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法治建设满意度</w:t>
            </w:r>
          </w:p>
        </w:tc>
        <w:tc>
          <w:tcPr>
            <w:tcW w:w="1049"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Style w:val="51"/>
                <w:rFonts w:hint="eastAsia" w:ascii="Times New Roman" w:hAnsi="Times New Roman" w:cs="Times New Roman"/>
                <w:sz w:val="22"/>
                <w:szCs w:val="22"/>
              </w:rPr>
              <w:t>＞</w:t>
            </w:r>
            <w:r>
              <w:rPr>
                <w:rStyle w:val="50"/>
                <w:rFonts w:eastAsia="方正仿宋_GBK"/>
                <w:sz w:val="22"/>
                <w:szCs w:val="22"/>
              </w:rPr>
              <w:t>90</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2</w:t>
            </w:r>
            <w:r>
              <w:rPr>
                <w:rFonts w:hint="eastAsia" w:ascii="Times New Roman" w:hAnsi="Times New Roman" w:eastAsia="方正仿宋_GBK" w:cs="Times New Roman"/>
                <w:color w:val="000000"/>
                <w:kern w:val="0"/>
                <w:sz w:val="22"/>
                <w:lang w:val="en-US" w:eastAsia="zh-CN"/>
              </w:rPr>
              <w:t>7</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社会文明程度测评指数</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w:t>
            </w:r>
            <w:r>
              <w:rPr>
                <w:rStyle w:val="50"/>
                <w:rFonts w:eastAsia="方正仿宋_GBK"/>
                <w:sz w:val="22"/>
                <w:szCs w:val="22"/>
              </w:rPr>
              <w:t>90</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2</w:t>
            </w:r>
            <w:r>
              <w:rPr>
                <w:rFonts w:hint="eastAsia" w:ascii="Times New Roman" w:hAnsi="Times New Roman" w:eastAsia="方正仿宋_GBK" w:cs="Times New Roman"/>
                <w:color w:val="000000"/>
                <w:kern w:val="0"/>
                <w:sz w:val="22"/>
                <w:lang w:val="en-US" w:eastAsia="zh-CN"/>
              </w:rPr>
              <w:t>8</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耕地保有量（万公顷）</w:t>
            </w:r>
          </w:p>
        </w:tc>
        <w:tc>
          <w:tcPr>
            <w:tcW w:w="1049"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完成上级下达任务</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kern w:val="0"/>
                <w:sz w:val="22"/>
                <w:lang w:val="en-US" w:eastAsia="zh-CN"/>
              </w:rPr>
              <w:t>29</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Fonts w:hint="eastAsia" w:ascii="Times New Roman" w:hAnsi="Times New Roman" w:eastAsia="方正仿宋_GBK" w:cs="Times New Roman"/>
                <w:color w:val="000000"/>
                <w:kern w:val="0"/>
                <w:sz w:val="22"/>
              </w:rPr>
              <w:t>粮食综合生产能力（万吨）</w:t>
            </w:r>
          </w:p>
        </w:tc>
        <w:tc>
          <w:tcPr>
            <w:tcW w:w="1049" w:type="dxa"/>
            <w:tcMar>
              <w:top w:w="15" w:type="dxa"/>
              <w:left w:w="15" w:type="dxa"/>
              <w:bottom w:w="0" w:type="dxa"/>
              <w:right w:w="15" w:type="dxa"/>
            </w:tcMar>
            <w:vAlign w:val="center"/>
          </w:tcPr>
          <w:p>
            <w:pPr>
              <w:widowControl/>
              <w:spacing w:line="300" w:lineRule="exact"/>
              <w:jc w:val="center"/>
              <w:textAlignment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kern w:val="0"/>
                <w:sz w:val="22"/>
                <w:lang w:eastAsia="zh-CN"/>
              </w:rPr>
              <w:t>稳定在</w:t>
            </w:r>
            <w:r>
              <w:rPr>
                <w:rFonts w:hint="eastAsia" w:ascii="Times New Roman" w:hAnsi="Times New Roman" w:eastAsia="方正仿宋_GBK" w:cs="Times New Roman"/>
                <w:color w:val="000000"/>
                <w:kern w:val="0"/>
                <w:sz w:val="22"/>
                <w:lang w:val="en-US" w:eastAsia="zh-CN"/>
              </w:rPr>
              <w:t>25.5左右</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kern w:val="0"/>
                <w:sz w:val="22"/>
                <w:lang w:val="en-US" w:eastAsia="zh-CN"/>
              </w:rPr>
              <w:t>30</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生产安全事故起数和死亡人数</w:t>
            </w:r>
          </w:p>
        </w:tc>
        <w:tc>
          <w:tcPr>
            <w:tcW w:w="1049"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color w:val="000000"/>
                <w:sz w:val="22"/>
              </w:rPr>
            </w:pPr>
          </w:p>
        </w:tc>
        <w:tc>
          <w:tcPr>
            <w:tcW w:w="1215"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sz w:val="22"/>
              </w:rPr>
            </w:pPr>
            <w:r>
              <w:rPr>
                <w:rStyle w:val="49"/>
                <w:rFonts w:hint="eastAsia" w:ascii="Times New Roman" w:hAnsi="Times New Roman" w:cs="Times New Roman"/>
                <w:sz w:val="22"/>
                <w:szCs w:val="22"/>
              </w:rPr>
              <w:t>杜绝较大以上生产安全事故，严控一般生产安全事故</w:t>
            </w: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563" w:type="dxa"/>
            <w:tcMar>
              <w:top w:w="15" w:type="dxa"/>
              <w:left w:w="15" w:type="dxa"/>
              <w:bottom w:w="0" w:type="dxa"/>
              <w:right w:w="15" w:type="dxa"/>
            </w:tcMar>
            <w:vAlign w:val="center"/>
          </w:tcPr>
          <w:p>
            <w:pPr>
              <w:widowControl/>
              <w:spacing w:line="300" w:lineRule="exact"/>
              <w:jc w:val="center"/>
              <w:textAlignment w:val="center"/>
              <w:rPr>
                <w:rFonts w:hint="default" w:ascii="Times New Roman" w:hAnsi="Times New Roman" w:eastAsia="方正仿宋_GBK" w:cs="Times New Roman"/>
                <w:color w:val="000000"/>
                <w:sz w:val="22"/>
                <w:lang w:val="en-US" w:eastAsia="zh-CN"/>
              </w:rPr>
            </w:pPr>
            <w:r>
              <w:rPr>
                <w:rFonts w:hint="eastAsia" w:ascii="Times New Roman" w:hAnsi="Times New Roman" w:eastAsia="方正仿宋_GBK" w:cs="Times New Roman"/>
                <w:color w:val="000000"/>
                <w:kern w:val="0"/>
                <w:sz w:val="22"/>
                <w:lang w:val="en-US" w:eastAsia="zh-CN"/>
              </w:rPr>
              <w:t>31</w:t>
            </w:r>
          </w:p>
        </w:tc>
        <w:tc>
          <w:tcPr>
            <w:tcW w:w="4727" w:type="dxa"/>
            <w:tcMar>
              <w:top w:w="15" w:type="dxa"/>
              <w:left w:w="15" w:type="dxa"/>
              <w:bottom w:w="0" w:type="dxa"/>
              <w:right w:w="15" w:type="dxa"/>
            </w:tcMar>
            <w:vAlign w:val="center"/>
          </w:tcPr>
          <w:p>
            <w:pPr>
              <w:widowControl/>
              <w:spacing w:line="300" w:lineRule="exact"/>
              <w:jc w:val="left"/>
              <w:textAlignment w:val="center"/>
              <w:rPr>
                <w:rFonts w:ascii="Times New Roman" w:hAnsi="Times New Roman" w:eastAsia="方正仿宋_GBK" w:cs="Times New Roman"/>
                <w:color w:val="000000"/>
                <w:sz w:val="22"/>
              </w:rPr>
            </w:pPr>
            <w:r>
              <w:rPr>
                <w:rStyle w:val="49"/>
                <w:rFonts w:hint="eastAsia" w:ascii="Times New Roman" w:hAnsi="Times New Roman" w:cs="Times New Roman"/>
                <w:sz w:val="22"/>
                <w:szCs w:val="22"/>
              </w:rPr>
              <w:t>公众安全感（</w:t>
            </w:r>
            <w:r>
              <w:rPr>
                <w:rStyle w:val="48"/>
                <w:rFonts w:eastAsia="方正仿宋_GBK"/>
                <w:sz w:val="22"/>
                <w:szCs w:val="22"/>
              </w:rPr>
              <w:t>%</w:t>
            </w:r>
            <w:r>
              <w:rPr>
                <w:rStyle w:val="49"/>
                <w:rFonts w:hint="eastAsia" w:ascii="Times New Roman" w:hAnsi="Times New Roman" w:cs="Times New Roman"/>
                <w:sz w:val="22"/>
                <w:szCs w:val="22"/>
              </w:rPr>
              <w:t>）</w:t>
            </w:r>
          </w:p>
        </w:tc>
        <w:tc>
          <w:tcPr>
            <w:tcW w:w="1049" w:type="dxa"/>
            <w:tcMar>
              <w:top w:w="15" w:type="dxa"/>
              <w:left w:w="15" w:type="dxa"/>
              <w:bottom w:w="0" w:type="dxa"/>
              <w:right w:w="15" w:type="dxa"/>
            </w:tcMar>
            <w:vAlign w:val="center"/>
          </w:tcPr>
          <w:p>
            <w:pPr>
              <w:widowControl/>
              <w:spacing w:line="300" w:lineRule="exact"/>
              <w:jc w:val="center"/>
              <w:textAlignment w:val="center"/>
              <w:rPr>
                <w:rFonts w:hint="eastAsia" w:ascii="Times New Roman" w:hAnsi="Times New Roman" w:eastAsia="方正仿宋_GBK" w:cs="Times New Roman"/>
                <w:color w:val="000000"/>
                <w:sz w:val="22"/>
                <w:lang w:eastAsia="zh-CN"/>
              </w:rPr>
            </w:pPr>
            <w:r>
              <w:rPr>
                <w:rFonts w:ascii="Times New Roman" w:hAnsi="Times New Roman" w:eastAsia="方正仿宋_GBK" w:cs="Times New Roman"/>
                <w:color w:val="000000"/>
                <w:kern w:val="0"/>
                <w:sz w:val="22"/>
              </w:rPr>
              <w:t>&gt;9</w:t>
            </w:r>
            <w:r>
              <w:rPr>
                <w:rFonts w:hint="eastAsia" w:ascii="Times New Roman" w:hAnsi="Times New Roman" w:eastAsia="方正仿宋_GBK" w:cs="Times New Roman"/>
                <w:color w:val="000000"/>
                <w:kern w:val="0"/>
                <w:sz w:val="22"/>
                <w:lang w:val="en-US" w:eastAsia="zh-CN"/>
              </w:rPr>
              <w:t>6</w:t>
            </w:r>
          </w:p>
        </w:tc>
        <w:tc>
          <w:tcPr>
            <w:tcW w:w="1215" w:type="dxa"/>
            <w:tcMar>
              <w:top w:w="15" w:type="dxa"/>
              <w:left w:w="15" w:type="dxa"/>
              <w:bottom w:w="0" w:type="dxa"/>
              <w:right w:w="15" w:type="dxa"/>
            </w:tcMar>
            <w:vAlign w:val="center"/>
          </w:tcPr>
          <w:p>
            <w:pPr>
              <w:widowControl/>
              <w:spacing w:line="300" w:lineRule="exact"/>
              <w:jc w:val="center"/>
              <w:rPr>
                <w:rFonts w:ascii="Times New Roman" w:hAnsi="Times New Roman" w:eastAsia="方正仿宋_GBK" w:cs="Times New Roman"/>
                <w:sz w:val="22"/>
              </w:rPr>
            </w:pPr>
          </w:p>
        </w:tc>
        <w:tc>
          <w:tcPr>
            <w:tcW w:w="906" w:type="dxa"/>
            <w:tcMar>
              <w:top w:w="15" w:type="dxa"/>
              <w:left w:w="15" w:type="dxa"/>
              <w:bottom w:w="0" w:type="dxa"/>
              <w:right w:w="15" w:type="dxa"/>
            </w:tcMar>
            <w:vAlign w:val="center"/>
          </w:tcPr>
          <w:p>
            <w:pPr>
              <w:widowControl/>
              <w:spacing w:line="300" w:lineRule="exact"/>
              <w:jc w:val="center"/>
              <w:textAlignment w:val="center"/>
              <w:rPr>
                <w:rFonts w:ascii="Times New Roman" w:hAnsi="Times New Roman" w:eastAsia="方正仿宋_GBK" w:cs="Times New Roman"/>
                <w:color w:val="000000"/>
                <w:sz w:val="22"/>
              </w:rPr>
            </w:pPr>
            <w:r>
              <w:rPr>
                <w:rStyle w:val="51"/>
                <w:rFonts w:hint="eastAsia" w:ascii="Times New Roman" w:hAnsi="Times New Roman" w:cs="Times New Roman"/>
                <w:sz w:val="22"/>
                <w:szCs w:val="22"/>
              </w:rPr>
              <w:t>预期性</w:t>
            </w:r>
          </w:p>
        </w:tc>
      </w:tr>
    </w:tbl>
    <w:p>
      <w:pPr>
        <w:pStyle w:val="2"/>
        <w:adjustRightInd w:val="0"/>
        <w:snapToGrid w:val="0"/>
        <w:spacing w:before="0" w:after="0" w:line="560" w:lineRule="exact"/>
        <w:jc w:val="both"/>
        <w:rPr>
          <w:rFonts w:hint="eastAsia" w:ascii="Times New Roman" w:hAnsi="Times New Roman" w:cs="Times New Roman"/>
          <w:bCs w:val="0"/>
        </w:rPr>
      </w:pPr>
      <w:bookmarkStart w:id="34" w:name="_Toc6278"/>
    </w:p>
    <w:p>
      <w:pPr>
        <w:rPr>
          <w:rFonts w:hint="eastAsia" w:ascii="Times New Roman" w:hAnsi="Times New Roman" w:cs="Times New Roman"/>
          <w:bCs w:val="0"/>
        </w:rPr>
      </w:pPr>
    </w:p>
    <w:p>
      <w:pPr>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ascii="Times New Roman" w:hAnsi="Times New Roman" w:cs="Times New Roman"/>
          <w:bCs w:val="0"/>
        </w:rPr>
      </w:pPr>
      <w:r>
        <w:rPr>
          <w:rFonts w:hint="eastAsia" w:ascii="Times New Roman" w:hAnsi="Times New Roman" w:cs="Times New Roman"/>
          <w:bCs w:val="0"/>
        </w:rPr>
        <w:t>第三章</w:t>
      </w:r>
      <w:r>
        <w:rPr>
          <w:rFonts w:ascii="Times New Roman" w:hAnsi="Times New Roman" w:cs="Times New Roman"/>
          <w:bCs w:val="0"/>
        </w:rPr>
        <w:t xml:space="preserve"> </w:t>
      </w:r>
      <w:r>
        <w:rPr>
          <w:rFonts w:hint="eastAsia" w:ascii="Times New Roman" w:hAnsi="Times New Roman" w:cs="Times New Roman"/>
          <w:bCs w:val="0"/>
        </w:rPr>
        <w:t>抢抓多重战略叠加机遇</w:t>
      </w:r>
      <w:bookmarkEnd w:id="34"/>
    </w:p>
    <w:p>
      <w:pPr>
        <w:pStyle w:val="2"/>
        <w:adjustRightInd w:val="0"/>
        <w:snapToGrid w:val="0"/>
        <w:spacing w:before="0" w:after="0" w:line="560" w:lineRule="exact"/>
        <w:rPr>
          <w:rFonts w:ascii="Times New Roman" w:hAnsi="Times New Roman" w:cs="Times New Roman"/>
          <w:bCs w:val="0"/>
        </w:rPr>
      </w:pPr>
      <w:bookmarkStart w:id="35" w:name="_Toc18708"/>
      <w:r>
        <w:rPr>
          <w:rFonts w:hint="eastAsia" w:ascii="Times New Roman" w:hAnsi="Times New Roman" w:cs="Times New Roman"/>
          <w:bCs w:val="0"/>
        </w:rPr>
        <w:t>全方位融入区域一体化发展大局</w:t>
      </w:r>
      <w:bookmarkEnd w:id="35"/>
    </w:p>
    <w:p>
      <w:pPr>
        <w:rPr>
          <w:rFonts w:ascii="Times New Roman" w:hAnsi="Times New Roman" w:cs="Times New Roman"/>
          <w:sz w:val="44"/>
          <w:szCs w:val="48"/>
        </w:rPr>
      </w:pPr>
    </w:p>
    <w:p>
      <w:pPr>
        <w:spacing w:line="560" w:lineRule="exact"/>
        <w:ind w:firstLine="640" w:firstLineChars="200"/>
        <w:rPr>
          <w:rFonts w:ascii="Times New Roman" w:hAnsi="Times New Roman" w:eastAsia="方正仿宋_GBK" w:cs="Times New Roman"/>
          <w:sz w:val="32"/>
          <w:szCs w:val="32"/>
        </w:rPr>
      </w:pPr>
      <w:bookmarkStart w:id="36" w:name="_Toc55900322"/>
      <w:bookmarkStart w:id="37" w:name="_Toc55899193"/>
      <w:bookmarkStart w:id="38" w:name="_Toc55900610"/>
      <w:bookmarkStart w:id="39" w:name="_Toc55899935"/>
      <w:bookmarkStart w:id="40" w:name="_Toc55899757"/>
      <w:r>
        <w:rPr>
          <w:rFonts w:hint="eastAsia" w:ascii="Times New Roman" w:hAnsi="Times New Roman" w:eastAsia="方正仿宋_GBK" w:cs="Times New Roman"/>
          <w:sz w:val="32"/>
          <w:szCs w:val="32"/>
        </w:rPr>
        <w:t>积极抢抓长三角、宁镇扬一体化等多重战略叠加机遇，建设宁镇扬一体化发展先行示范区，持续在镇江争雄、在苏南亮剑、在全省进位。</w:t>
      </w:r>
    </w:p>
    <w:p>
      <w:pPr>
        <w:pStyle w:val="3"/>
        <w:spacing w:line="580" w:lineRule="exact"/>
        <w:rPr>
          <w:rFonts w:ascii="Times New Roman" w:hAnsi="Times New Roman"/>
          <w:bCs w:val="0"/>
        </w:rPr>
      </w:pPr>
      <w:bookmarkStart w:id="41" w:name="_Toc31173"/>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落实重大区域发展战略</w:t>
      </w:r>
      <w:bookmarkEnd w:id="41"/>
    </w:p>
    <w:bookmarkEnd w:id="36"/>
    <w:bookmarkEnd w:id="37"/>
    <w:bookmarkEnd w:id="38"/>
    <w:bookmarkEnd w:id="39"/>
    <w:bookmarkEnd w:id="40"/>
    <w:p>
      <w:pPr>
        <w:spacing w:line="560" w:lineRule="exact"/>
        <w:ind w:firstLine="640" w:firstLineChars="200"/>
        <w:rPr>
          <w:rFonts w:ascii="Times New Roman" w:hAnsi="Times New Roman" w:eastAsia="方正仿宋_GBK" w:cs="Times New Roman"/>
          <w:sz w:val="32"/>
          <w:szCs w:val="32"/>
        </w:rPr>
      </w:pPr>
      <w:bookmarkStart w:id="42" w:name="_Hlk54098847"/>
      <w:r>
        <w:rPr>
          <w:rFonts w:hint="eastAsia" w:ascii="Times New Roman" w:hAnsi="Times New Roman" w:eastAsia="方正楷体_GBK" w:cs="Times New Roman"/>
          <w:sz w:val="32"/>
          <w:szCs w:val="32"/>
        </w:rPr>
        <w:t>全面融入长三角区域一体化。</w:t>
      </w:r>
      <w:r>
        <w:rPr>
          <w:rFonts w:hint="eastAsia" w:ascii="Times New Roman" w:hAnsi="Times New Roman" w:eastAsia="方正仿宋_GBK" w:cs="Times New Roman"/>
          <w:sz w:val="32"/>
          <w:szCs w:val="32"/>
        </w:rPr>
        <w:t>以习近平总书记推进长三角一体化最新重要讲话精神作为思想和行动的统一纲领，把牢</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一体化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高质量</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关键要求，精准把脉句容在长三角一体化中的定位，充分发挥经济、生态等综合比较优势，在推动长三角一体化高质量发展中扛起担当、走在前列。向西充分把握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家门口</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机遇，积极对接紫东、融入南京，推动宁句一体化发展；向东接力镇江，积极对接上海、苏州等城市，深度融入长三角区域一体化发展；向北强化与扬州等地区串联，助推宁镇扬一体化发展，助力长江经济带高质量发展；向南对接南京禄口空港经济区，融入宁杭生态经济带。</w:t>
      </w:r>
    </w:p>
    <w:bookmarkEnd w:id="42"/>
    <w:p>
      <w:pPr>
        <w:spacing w:line="560" w:lineRule="exact"/>
        <w:ind w:firstLine="640" w:firstLineChars="200"/>
        <w:rPr>
          <w:rFonts w:ascii="Times New Roman" w:hAnsi="Times New Roman" w:eastAsia="方正仿宋_GBK" w:cs="Times New Roman"/>
          <w:sz w:val="32"/>
          <w:szCs w:val="32"/>
        </w:rPr>
      </w:pPr>
      <w:bookmarkStart w:id="43" w:name="_Toc55900324"/>
      <w:bookmarkStart w:id="44" w:name="_Toc55900612"/>
      <w:bookmarkStart w:id="45" w:name="_Toc55899195"/>
      <w:bookmarkStart w:id="46" w:name="_Toc55899937"/>
      <w:bookmarkStart w:id="47" w:name="_Toc55899759"/>
      <w:r>
        <w:rPr>
          <w:rFonts w:hint="eastAsia" w:ascii="Times New Roman" w:hAnsi="Times New Roman" w:eastAsia="方正楷体_GBK" w:cs="Times New Roman"/>
          <w:sz w:val="32"/>
          <w:szCs w:val="32"/>
        </w:rPr>
        <w:t>助力长江经济带高质量发展</w:t>
      </w:r>
      <w:bookmarkEnd w:id="43"/>
      <w:bookmarkEnd w:id="44"/>
      <w:bookmarkEnd w:id="45"/>
      <w:bookmarkEnd w:id="46"/>
      <w:bookmarkEnd w:id="47"/>
      <w:r>
        <w:rPr>
          <w:rFonts w:hint="eastAsia" w:ascii="Times New Roman" w:hAnsi="Times New Roman" w:eastAsia="方正楷体_GBK" w:cs="Times New Roman"/>
          <w:sz w:val="32"/>
          <w:szCs w:val="32"/>
        </w:rPr>
        <w:t>。</w:t>
      </w:r>
      <w:r>
        <w:rPr>
          <w:rFonts w:hint="eastAsia" w:ascii="Times New Roman" w:hAnsi="Times New Roman" w:eastAsia="方正仿宋_GBK" w:cs="Times New Roman"/>
          <w:sz w:val="32"/>
          <w:szCs w:val="32"/>
        </w:rPr>
        <w:t>积极响应总书记关于建立健全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以产业生态化和生态产业化为主体的生态经济体系</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要求，坚决贯彻</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共抓大保护，不搞大开发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战略指示，坚决落实长江十年禁渔任务，推进常态监管和渔民安置保障，科学指导推进临港工业集中区发展，系统谋划句容长江岸线开发规划与用途管制，支持下蜀临港先进制造业集聚区和现代化新城的建设，实现产业生态化以及绿色生态产业体系的转型升级。</w:t>
      </w:r>
    </w:p>
    <w:p>
      <w:pPr>
        <w:pStyle w:val="3"/>
        <w:spacing w:line="580" w:lineRule="exact"/>
        <w:rPr>
          <w:rFonts w:ascii="Times New Roman" w:hAnsi="Times New Roman"/>
          <w:bCs w:val="0"/>
        </w:rPr>
      </w:pPr>
      <w:bookmarkStart w:id="48" w:name="_Toc4885"/>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加快产业协作一体化</w:t>
      </w:r>
      <w:bookmarkEnd w:id="48"/>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深度融入区域产业体系。</w:t>
      </w:r>
      <w:r>
        <w:rPr>
          <w:rFonts w:hint="eastAsia" w:ascii="Times New Roman" w:hAnsi="Times New Roman" w:eastAsia="方正仿宋_GBK" w:cs="Times New Roman"/>
          <w:sz w:val="32"/>
          <w:szCs w:val="32"/>
        </w:rPr>
        <w:t>牢牢把握紧邻南京的区域格局基本盘，瞄准南京产业地标，加强产业分工协作。优先承接科技含量高、环境污染小的制造业，加快推进技术转移，助力本地技术进步与制造业结构升级。加快区域产业合作顶层制度设计，推进相关举措落地见效。进一步优化惠企政策结构，将有限政策资源精准投放到产业融合的关键环节。</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把握产业协作重点方向。</w:t>
      </w:r>
      <w:r>
        <w:rPr>
          <w:rFonts w:hint="eastAsia" w:ascii="Times New Roman" w:hAnsi="Times New Roman" w:eastAsia="方正仿宋_GBK" w:cs="Times New Roman"/>
          <w:sz w:val="32"/>
          <w:szCs w:val="32"/>
        </w:rPr>
        <w:t>抓住南京打造</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千亿芯都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契机，围绕南京市五大地标产业、八大产业链延链补链，通过企业主体与产业要素的融合，实现要素集中集聚、企业裂变扩张、项目集群发展、产业延链扩面。软件和信息服务产业，保持集成电路设计的基本优势，拓展嵌入式软件、系统集成方面的配套软件服务。新能源汽车产业，重点将产业链向上游延伸，大力发展核心零部件产业，聚焦</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三电</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重点技术培育和引入，以光伏动力电池为基础，大力发展电机、电控、充电桩设备等新能源汽车核心零部件的生产制造。新医药与生命健康产业，依托天晟药业等医药高新技术企业，加强和南京中医药研发方面的技术交流；同时依托良好生态环境发展医养结合的健康养老产业，深度协同都市圈大健康产业格局。集成电路产业，在芯片设计、制造、封装、测试等方面同南京相关产业链形成对接，建设先进晶圆制造线，强化先进封测业支撑。人工智能产业，主动对接南京科研机构，争取科研成果在句容转化。优先发展基础支撑设备，强化传感器、芯片等基础硬件制造，积极拓展云计算等生产性配套服务。智能电网产业，重点发展以智达电气为代表的超高压电器等产业，与南京相关产业协同发展。轨道交通产业，重点打造边城镇交通新材料产业基地，向原材料生产、零配件制造等产业链上游环节延伸发展。智能制造装备产业，依托现有的工业机器人制造产业集群，加强与南京的合作研发和技术引进，重点发展数控机床领域，增强大型制造装备供应能力。</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打造产业协作示范载体。</w:t>
      </w:r>
      <w:r>
        <w:rPr>
          <w:rFonts w:hint="eastAsia" w:ascii="Times New Roman" w:hAnsi="Times New Roman" w:eastAsia="方正仿宋_GBK" w:cs="Times New Roman"/>
          <w:sz w:val="32"/>
          <w:szCs w:val="32"/>
        </w:rPr>
        <w:t>紧抓南京土地拆迁置换、产业用地紧张的机遇期，在产业协同、园区合作、产业分工方面发力，精准谋划，实现共赢。产业协同方面，围绕南京紫东地区发展定位，以开发区、郭庄镇为产业对接的前沿阵地，整合现有孵化基地、在建项目、龙头骨干企业。同时，充分利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双铁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即将开通的契机，推进宝华镇西部干线沿线、宁句城际线周边沿线区域开发，通过科研机构的引入，布局研发创意、软件和信息服务产业，为融入南京提供信息服务和智力支撑。园区合作方面，借鉴</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宁淮特别合作区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经验，打造以特定产业为主导的合作示范区，自下而上完善工作协调机制，建立产业共育、设施共建、环境共治和利益共享机制。产业分工方面，按照总部、营销中心在南京，金融后台、呼叫中心、工业设计等配套产业在句容的模式，降低企业的建设成本和运营成本。</w:t>
      </w:r>
    </w:p>
    <w:p>
      <w:pPr>
        <w:pStyle w:val="3"/>
        <w:spacing w:line="580" w:lineRule="exact"/>
        <w:rPr>
          <w:rFonts w:ascii="Times New Roman" w:hAnsi="Times New Roman"/>
          <w:bCs w:val="0"/>
        </w:rPr>
      </w:pPr>
      <w:bookmarkStart w:id="49" w:name="_Toc11693"/>
      <w:bookmarkStart w:id="50" w:name="_Hlk54091836"/>
      <w:r>
        <w:rPr>
          <w:rFonts w:hint="eastAsia" w:ascii="Times New Roman" w:hAnsi="Times New Roman"/>
          <w:bCs w:val="0"/>
        </w:rPr>
        <w:t>第三节</w:t>
      </w:r>
      <w:r>
        <w:rPr>
          <w:rFonts w:ascii="Times New Roman" w:hAnsi="Times New Roman"/>
          <w:bCs w:val="0"/>
        </w:rPr>
        <w:t xml:space="preserve"> </w:t>
      </w:r>
      <w:r>
        <w:rPr>
          <w:rFonts w:hint="eastAsia" w:ascii="Times New Roman" w:hAnsi="Times New Roman"/>
          <w:bCs w:val="0"/>
        </w:rPr>
        <w:t>推进区域创新一体化</w:t>
      </w:r>
      <w:bookmarkEnd w:id="49"/>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主动承接区域创新资源。</w:t>
      </w:r>
      <w:r>
        <w:rPr>
          <w:rFonts w:hint="eastAsia" w:ascii="Times New Roman" w:hAnsi="Times New Roman" w:eastAsia="方正仿宋_GBK" w:cs="Times New Roman"/>
          <w:sz w:val="32"/>
          <w:szCs w:val="32"/>
        </w:rPr>
        <w:t>努力实现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科技研发在南京，技术转化在句容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争做南京科教优势资源转化的前沿阵地。利用南京前端创新优势，争取中试、孵化等创新环节本土转化，主攻一批在南京落不下、落不起的中试级以上创新成果，推动更多科研成果在句容产业化。用好用活区域科创资源，深化与上海大学国家科技园、上海交大零号湾孵化器、同济大学零到壹孵化平台合作。继续开展</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海外院士句容行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活动，从拓展国际视野，转向利用好东欧国家高性价比科创资源，对接企业，服务项目，务求实效。开展好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高校院所句容行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活动，充分利用南京高校科研部门资源，开展校地对接。加快创新链与产业链整合提升，形成区域性竞争优势的产业集群和创新生态。借助南京紫东新区基础研发、科技创新和文旅商务等优势，强化句容在科创、文旅、商务住宅等方面的服务能力，与南京错位发展、形成互补。依托南京仙林大学城和麒麟科技城，以紫东地区创新智谷建设为引领，打造以科教研发、技术应用研发、高技术制造等创新经济以及现代生产性服务为主要功能的科技创新高地。</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联动打造区域创新走廊。</w:t>
      </w:r>
      <w:r>
        <w:rPr>
          <w:rFonts w:hint="eastAsia" w:ascii="Times New Roman" w:hAnsi="Times New Roman" w:eastAsia="方正仿宋_GBK" w:cs="Times New Roman"/>
          <w:sz w:val="32"/>
          <w:szCs w:val="32"/>
        </w:rPr>
        <w:t>主动融入</w:t>
      </w:r>
      <w:r>
        <w:rPr>
          <w:rFonts w:ascii="Times New Roman" w:hAnsi="Times New Roman" w:eastAsia="方正仿宋_GBK" w:cs="Times New Roman"/>
          <w:sz w:val="32"/>
          <w:szCs w:val="32"/>
        </w:rPr>
        <w:t>G312</w:t>
      </w:r>
      <w:r>
        <w:rPr>
          <w:rFonts w:hint="eastAsia" w:ascii="Times New Roman" w:hAnsi="Times New Roman" w:eastAsia="方正仿宋_GBK" w:cs="Times New Roman"/>
          <w:sz w:val="32"/>
          <w:szCs w:val="32"/>
        </w:rPr>
        <w:t>科创走廊。充分利用南京中心城市的带动作用和镇江的比较优势，发挥宝华科创、临港工业及沿线生态环境特色，进一步优化</w:t>
      </w:r>
      <w:r>
        <w:rPr>
          <w:rFonts w:ascii="Times New Roman" w:hAnsi="Times New Roman" w:eastAsia="方正仿宋_GBK" w:cs="Times New Roman"/>
          <w:sz w:val="32"/>
          <w:szCs w:val="32"/>
        </w:rPr>
        <w:t>G312</w:t>
      </w:r>
      <w:r>
        <w:rPr>
          <w:rFonts w:hint="eastAsia" w:ascii="Times New Roman" w:hAnsi="Times New Roman" w:eastAsia="方正仿宋_GBK" w:cs="Times New Roman"/>
          <w:sz w:val="32"/>
          <w:szCs w:val="32"/>
        </w:rPr>
        <w:t>创新走廊句容段的区域空间布局，统筹创新资源，发展壮大创新产业，助力打造科技创新、绿色发展、协同发展、先行先试的科创大走廊，努力通过产业溢出成为宁镇地区新的战略增长极。培育</w:t>
      </w:r>
      <w:r>
        <w:rPr>
          <w:rFonts w:ascii="Times New Roman" w:hAnsi="Times New Roman" w:eastAsia="方正仿宋_GBK" w:cs="Times New Roman"/>
          <w:sz w:val="32"/>
          <w:szCs w:val="32"/>
        </w:rPr>
        <w:t>S122</w:t>
      </w:r>
      <w:r>
        <w:rPr>
          <w:rFonts w:hint="eastAsia" w:ascii="Times New Roman" w:hAnsi="Times New Roman" w:eastAsia="方正仿宋_GBK" w:cs="Times New Roman"/>
          <w:sz w:val="32"/>
          <w:szCs w:val="32"/>
        </w:rPr>
        <w:t>创新走廊。依托</w:t>
      </w:r>
      <w:r>
        <w:rPr>
          <w:rFonts w:ascii="Times New Roman" w:hAnsi="Times New Roman" w:eastAsia="方正仿宋_GBK" w:cs="Times New Roman"/>
          <w:sz w:val="32"/>
          <w:szCs w:val="32"/>
        </w:rPr>
        <w:t>S122</w:t>
      </w:r>
      <w:r>
        <w:rPr>
          <w:rFonts w:hint="eastAsia" w:ascii="Times New Roman" w:hAnsi="Times New Roman" w:eastAsia="方正仿宋_GBK" w:cs="Times New Roman"/>
          <w:sz w:val="32"/>
          <w:szCs w:val="32"/>
        </w:rPr>
        <w:t>、宁句城际，利用省高创句容孵化基地、华东科技新城等科创平台，按照产城融合的布局方式，促进经济开发区转型升级。助力宁杭生态经济带建设。充分发挥临近禄口机场区位优势，以及宁杭公路和宁杭高铁的通勤优势，瞄准一流科技前沿和产业制高点，将句容打造成为南京都市圈重要的人才创新创业策源地。</w:t>
      </w:r>
    </w:p>
    <w:p>
      <w:pPr>
        <w:pStyle w:val="3"/>
        <w:spacing w:line="580" w:lineRule="exact"/>
        <w:rPr>
          <w:rFonts w:ascii="Times New Roman" w:hAnsi="Times New Roman"/>
          <w:bCs w:val="0"/>
        </w:rPr>
      </w:pPr>
      <w:bookmarkStart w:id="51" w:name="_Toc12347"/>
      <w:r>
        <w:rPr>
          <w:rFonts w:hint="eastAsia" w:ascii="Times New Roman" w:hAnsi="Times New Roman"/>
          <w:bCs w:val="0"/>
        </w:rPr>
        <w:t>第四节</w:t>
      </w:r>
      <w:r>
        <w:rPr>
          <w:rFonts w:ascii="Times New Roman" w:hAnsi="Times New Roman"/>
          <w:bCs w:val="0"/>
        </w:rPr>
        <w:t xml:space="preserve"> </w:t>
      </w:r>
      <w:r>
        <w:rPr>
          <w:rFonts w:hint="eastAsia" w:ascii="Times New Roman" w:hAnsi="Times New Roman"/>
          <w:bCs w:val="0"/>
        </w:rPr>
        <w:t>落实基础设施一体化</w:t>
      </w:r>
      <w:bookmarkEnd w:id="51"/>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建设</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轨道上的句容</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w:t>
      </w:r>
      <w:r>
        <w:rPr>
          <w:rFonts w:hint="eastAsia" w:ascii="Times New Roman" w:hAnsi="Times New Roman" w:eastAsia="方正仿宋_GBK" w:cs="Times New Roman"/>
          <w:sz w:val="32"/>
          <w:szCs w:val="32"/>
        </w:rPr>
        <w:t>聚焦</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内聚成核、外联快通、城乡一体</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理念，全力建设句容综合立体交通枢纽，完善功能配套，优化市内交通体系。充分利用南沿江城际铁路、宁句城际轨道交通、扬镇宁马城际铁路、市域（郊）铁路句容至茅山线</w:t>
      </w: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rPr>
        <w:t>条铁路的交汇优势，推动句容全面融入长三角一体化大格局。以禄口机场与句容西站为依托，促进空港高铁枢纽高效联动，加快融入区域现代流通体系。开展市域（郊）铁路句容至茅山线等前期工作研究，实现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内全面开工建设，强化主城区与茅山景区的交通联系，打造句容自主可控的发展空间。</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构建多层次复合交通格局。</w:t>
      </w:r>
      <w:r>
        <w:rPr>
          <w:rFonts w:hint="eastAsia" w:ascii="Times New Roman" w:hAnsi="Times New Roman" w:eastAsia="方正仿宋_GBK" w:cs="Times New Roman"/>
          <w:sz w:val="32"/>
          <w:szCs w:val="32"/>
        </w:rPr>
        <w:t>推进仪禄高速公路建设，积极开展</w:t>
      </w:r>
      <w:r>
        <w:rPr>
          <w:rFonts w:ascii="Times New Roman" w:hAnsi="Times New Roman" w:eastAsia="方正仿宋_GBK" w:cs="Times New Roman"/>
          <w:sz w:val="32"/>
          <w:szCs w:val="32"/>
        </w:rPr>
        <w:t>243</w:t>
      </w:r>
      <w:r>
        <w:rPr>
          <w:rFonts w:hint="eastAsia" w:ascii="Times New Roman" w:hAnsi="Times New Roman" w:eastAsia="方正仿宋_GBK" w:cs="Times New Roman"/>
          <w:sz w:val="32"/>
          <w:szCs w:val="32"/>
        </w:rPr>
        <w:t>省道快速化改造、</w:t>
      </w:r>
      <w:r>
        <w:rPr>
          <w:rFonts w:ascii="Times New Roman" w:hAnsi="Times New Roman" w:eastAsia="方正仿宋_GBK" w:cs="Times New Roman"/>
          <w:sz w:val="32"/>
          <w:szCs w:val="32"/>
        </w:rPr>
        <w:t>266</w:t>
      </w:r>
      <w:r>
        <w:rPr>
          <w:rFonts w:hint="eastAsia" w:ascii="Times New Roman" w:hAnsi="Times New Roman" w:eastAsia="方正仿宋_GBK" w:cs="Times New Roman"/>
          <w:sz w:val="32"/>
          <w:szCs w:val="32"/>
        </w:rPr>
        <w:t>省道新改建工程，</w:t>
      </w:r>
      <w:r>
        <w:rPr>
          <w:rFonts w:ascii="Times New Roman" w:hAnsi="Times New Roman" w:eastAsia="方正仿宋_GBK" w:cs="Times New Roman"/>
          <w:sz w:val="32"/>
          <w:szCs w:val="32"/>
        </w:rPr>
        <w:t>340</w:t>
      </w:r>
      <w:r>
        <w:rPr>
          <w:rFonts w:hint="eastAsia" w:ascii="Times New Roman" w:hAnsi="Times New Roman" w:eastAsia="方正仿宋_GBK" w:cs="Times New Roman"/>
          <w:sz w:val="32"/>
          <w:szCs w:val="32"/>
        </w:rPr>
        <w:t>省道、</w:t>
      </w:r>
      <w:r>
        <w:rPr>
          <w:rFonts w:ascii="Times New Roman" w:hAnsi="Times New Roman" w:eastAsia="方正仿宋_GBK" w:cs="Times New Roman"/>
          <w:sz w:val="32"/>
          <w:szCs w:val="32"/>
        </w:rPr>
        <w:t>122</w:t>
      </w:r>
      <w:r>
        <w:rPr>
          <w:rFonts w:hint="eastAsia" w:ascii="Times New Roman" w:hAnsi="Times New Roman" w:eastAsia="方正仿宋_GBK" w:cs="Times New Roman"/>
          <w:sz w:val="32"/>
          <w:szCs w:val="32"/>
        </w:rPr>
        <w:t>省道、</w:t>
      </w:r>
      <w:r>
        <w:rPr>
          <w:rFonts w:ascii="Times New Roman" w:hAnsi="Times New Roman" w:eastAsia="方正仿宋_GBK" w:cs="Times New Roman"/>
          <w:sz w:val="32"/>
          <w:szCs w:val="32"/>
        </w:rPr>
        <w:t>002</w:t>
      </w:r>
      <w:r>
        <w:rPr>
          <w:rFonts w:hint="eastAsia" w:ascii="Times New Roman" w:hAnsi="Times New Roman" w:eastAsia="方正仿宋_GBK" w:cs="Times New Roman"/>
          <w:sz w:val="32"/>
          <w:szCs w:val="32"/>
        </w:rPr>
        <w:t>省道改扩建工程。加强与区域交通系统的整合衔接，构建与宁镇主城区和重大交通枢纽间的快速公路网络，重点推进扬镇宁马城际铁路镇江至马鞍山段建设，争取规划</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仙林－宝华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江宁大学城（药科大学站）－湖熟－郭庄（句容西站、新城区站）－溧水</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轨道交通线。打通城市断头路，重点优化仙林－宝华片区、龙潭－下蜀片区、汤山－黄梅片区、湖熟禄口－郭庄片区城市主次干路对接。</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0"/>
              <w:pBdr>
                <w:bottom w:val="single" w:color="auto" w:sz="4" w:space="1"/>
              </w:pBdr>
              <w:spacing w:beforeLines="50" w:beforeAutospacing="0" w:afterLines="50" w:afterAutospacing="0"/>
              <w:ind w:left="-141" w:leftChars="-67" w:right="-197" w:rightChars="-94"/>
              <w:jc w:val="center"/>
              <w:rPr>
                <w:rFonts w:eastAsia="方正黑体_GBK"/>
                <w:kern w:val="2"/>
                <w:szCs w:val="24"/>
                <w:lang w:val="zh-CN"/>
              </w:rPr>
            </w:pPr>
            <w:r>
              <w:rPr>
                <w:rFonts w:hint="eastAsia" w:eastAsia="方正黑体_GBK"/>
                <w:kern w:val="2"/>
                <w:szCs w:val="24"/>
                <w:lang w:val="zh-CN"/>
              </w:rPr>
              <w:t>专栏</w:t>
            </w:r>
            <w:r>
              <w:rPr>
                <w:rFonts w:eastAsia="方正黑体_GBK"/>
                <w:kern w:val="2"/>
                <w:szCs w:val="24"/>
              </w:rPr>
              <w:t xml:space="preserve">1 </w:t>
            </w:r>
            <w:r>
              <w:rPr>
                <w:rFonts w:hint="eastAsia" w:eastAsia="方正黑体_GBK"/>
                <w:kern w:val="2"/>
                <w:szCs w:val="24"/>
                <w:lang w:val="zh-CN"/>
              </w:rPr>
              <w:t>基础设施一体化重点交通建设工程</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交通枢纽：句容高铁站、句容西站（预留）</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铁路交通：南沿江城际铁路、扬镇宁马城际铁路</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轨道交通：宁句城际轨道、市域（郊）铁路句容至茅山线</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公路干线：仪禄高速、宁常高速、</w:t>
            </w:r>
            <w:r>
              <w:rPr>
                <w:kern w:val="2"/>
                <w:szCs w:val="24"/>
                <w:lang w:val="zh-CN"/>
              </w:rPr>
              <w:t>243</w:t>
            </w:r>
            <w:r>
              <w:rPr>
                <w:rFonts w:hint="eastAsia"/>
                <w:kern w:val="2"/>
                <w:szCs w:val="24"/>
                <w:lang w:val="zh-CN"/>
              </w:rPr>
              <w:t>省道快速化改造、</w:t>
            </w:r>
            <w:r>
              <w:rPr>
                <w:kern w:val="2"/>
                <w:szCs w:val="24"/>
                <w:lang w:val="zh-CN"/>
              </w:rPr>
              <w:t>266</w:t>
            </w:r>
            <w:r>
              <w:rPr>
                <w:rFonts w:hint="eastAsia"/>
                <w:kern w:val="2"/>
                <w:szCs w:val="24"/>
                <w:lang w:val="zh-CN"/>
              </w:rPr>
              <w:t>省道新改建工程、</w:t>
            </w:r>
            <w:r>
              <w:rPr>
                <w:kern w:val="2"/>
                <w:szCs w:val="24"/>
              </w:rPr>
              <w:t>340</w:t>
            </w:r>
            <w:r>
              <w:rPr>
                <w:rFonts w:hint="eastAsia"/>
                <w:kern w:val="2"/>
                <w:szCs w:val="24"/>
                <w:lang w:val="zh-CN"/>
              </w:rPr>
              <w:t>省道改扩建工程、</w:t>
            </w:r>
            <w:r>
              <w:rPr>
                <w:kern w:val="2"/>
                <w:szCs w:val="24"/>
                <w:lang w:val="zh-CN"/>
              </w:rPr>
              <w:t>122</w:t>
            </w:r>
            <w:r>
              <w:rPr>
                <w:rFonts w:hint="eastAsia"/>
                <w:kern w:val="2"/>
                <w:szCs w:val="24"/>
                <w:lang w:val="zh-CN"/>
              </w:rPr>
              <w:t>省道改扩建工程、</w:t>
            </w:r>
            <w:r>
              <w:rPr>
                <w:kern w:val="2"/>
                <w:szCs w:val="24"/>
                <w:lang w:val="zh-CN"/>
              </w:rPr>
              <w:t>002</w:t>
            </w:r>
            <w:r>
              <w:rPr>
                <w:rFonts w:hint="eastAsia"/>
                <w:kern w:val="2"/>
                <w:szCs w:val="24"/>
                <w:lang w:val="zh-CN"/>
              </w:rPr>
              <w:t>省道改扩建工程</w:t>
            </w:r>
          </w:p>
          <w:p>
            <w:pPr>
              <w:pStyle w:val="20"/>
              <w:spacing w:before="0" w:beforeAutospacing="0" w:afterLines="50" w:afterAutospacing="0" w:line="288" w:lineRule="auto"/>
              <w:ind w:firstLine="480" w:firstLineChars="200"/>
              <w:jc w:val="both"/>
              <w:rPr>
                <w:rFonts w:eastAsia="Times New Roman"/>
                <w:kern w:val="2"/>
                <w:sz w:val="28"/>
                <w:szCs w:val="28"/>
              </w:rPr>
            </w:pPr>
            <w:r>
              <w:rPr>
                <w:rFonts w:hint="eastAsia"/>
                <w:kern w:val="2"/>
                <w:szCs w:val="24"/>
                <w:lang w:val="zh-CN"/>
              </w:rPr>
              <w:t>交界断头路：城市主次干路对接，包括仙林－宝华片区、龙潭－下蜀片区、汤山－黄梅片区、湖熟禄口－郭庄片区</w:t>
            </w:r>
          </w:p>
        </w:tc>
      </w:tr>
    </w:tbl>
    <w:p>
      <w:pPr>
        <w:spacing w:line="560" w:lineRule="exact"/>
        <w:rPr>
          <w:rFonts w:ascii="Times New Roman" w:hAnsi="Times New Roman" w:eastAsia="方正仿宋_GBK" w:cs="Times New Roman"/>
          <w:sz w:val="32"/>
          <w:szCs w:val="32"/>
        </w:rPr>
      </w:pPr>
    </w:p>
    <w:p>
      <w:pPr>
        <w:pStyle w:val="3"/>
        <w:spacing w:line="580" w:lineRule="exact"/>
        <w:rPr>
          <w:rFonts w:ascii="Times New Roman" w:hAnsi="Times New Roman"/>
          <w:bCs w:val="0"/>
        </w:rPr>
      </w:pPr>
      <w:bookmarkStart w:id="52" w:name="_Toc24513"/>
      <w:r>
        <w:rPr>
          <w:rFonts w:hint="eastAsia" w:ascii="Times New Roman" w:hAnsi="Times New Roman"/>
          <w:bCs w:val="0"/>
        </w:rPr>
        <w:t>第五节</w:t>
      </w:r>
      <w:r>
        <w:rPr>
          <w:rFonts w:ascii="Times New Roman" w:hAnsi="Times New Roman"/>
          <w:bCs w:val="0"/>
        </w:rPr>
        <w:t xml:space="preserve"> </w:t>
      </w:r>
      <w:r>
        <w:rPr>
          <w:rFonts w:hint="eastAsia" w:ascii="Times New Roman" w:hAnsi="Times New Roman"/>
          <w:bCs w:val="0"/>
        </w:rPr>
        <w:t>构建区域市场一体化</w:t>
      </w:r>
      <w:bookmarkEnd w:id="52"/>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打造长三角消费新高地。</w:t>
      </w:r>
      <w:r>
        <w:rPr>
          <w:rFonts w:hint="eastAsia" w:ascii="Times New Roman" w:hAnsi="Times New Roman" w:eastAsia="方正仿宋_GBK" w:cs="Times New Roman"/>
          <w:sz w:val="32"/>
          <w:szCs w:val="32"/>
        </w:rPr>
        <w:t>重点聚焦面向南京都市圈及长三角的周末、小长假文旅及其衍生的餐饮、住宿、娱乐、文化消费需求，大力发展花园、菜园、果园、茶园、田园、家园、健身园、会展园、养生园、养老园等</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十园</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经济，争创国家全域旅游示范区、国家文化和旅游消费示范城市。依托句容现有基础，深入挖掘田园、生态、历史文化资源潜力，进一步引入市场主体，推进大农业、大旅游、大文化、大健康产业有机融合，高标准做活做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全域、全时、全景</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旅游。联合溧水、溧阳、宜兴等宁杭沿线城市共同建设享誉国内外的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国家魅力区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，打造享誉长三角乃至全国的健康养生、休闲度假圣地和赛事会议基地。</w:t>
      </w:r>
    </w:p>
    <w:p>
      <w:pPr>
        <w:spacing w:line="560" w:lineRule="exact"/>
        <w:ind w:firstLine="640" w:firstLineChars="200"/>
        <w:rPr>
          <w:rFonts w:ascii="Times New Roman" w:hAnsi="Times New Roman" w:eastAsia="方正仿宋_GBK" w:cs="Times New Roman"/>
          <w:sz w:val="32"/>
          <w:szCs w:val="32"/>
        </w:rPr>
      </w:pPr>
      <w:bookmarkStart w:id="53" w:name="_Toc55899952"/>
      <w:bookmarkStart w:id="54" w:name="_Hlk54092119"/>
      <w:bookmarkStart w:id="55" w:name="_Toc55900339"/>
      <w:bookmarkStart w:id="56" w:name="_Toc55900627"/>
      <w:r>
        <w:rPr>
          <w:rFonts w:hint="eastAsia" w:ascii="Times New Roman" w:hAnsi="Times New Roman" w:eastAsia="方正楷体_GBK" w:cs="Times New Roman"/>
          <w:sz w:val="32"/>
          <w:szCs w:val="32"/>
        </w:rPr>
        <w:t>大力发展枢纽经济。</w:t>
      </w:r>
      <w:r>
        <w:rPr>
          <w:rFonts w:hint="eastAsia" w:ascii="Times New Roman" w:hAnsi="Times New Roman" w:eastAsia="方正仿宋_GBK" w:cs="Times New Roman"/>
          <w:sz w:val="32"/>
          <w:szCs w:val="32"/>
        </w:rPr>
        <w:t>发挥句容在南京都市圈通达优势，放大枢纽要素集聚效应，优先布局、引进、培育一批生产型服务企业，兼顾抓好信息服务平台、综合商务平台、管理运营服务平台等无形枢纽平台建设。利用枢纽经济加快要素集聚与产业融合，支持高铁快运、商务会展、健康养老、科技服务等新兴业态发展。强化铁路交通和轨道交通的一体衔接，依托地铁站点发展消费型服务业。激发具有未来市场潜力的新兴消费业态，延伸</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枢纽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商圈</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模式，提升句容消费供给水平，瞄准不同年龄段人群多元消费需求，推动深度消费，打好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交通枢纽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会议会奖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高品质服务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牌，建设多元业态融合的消费福地。</w:t>
      </w:r>
    </w:p>
    <w:bookmarkEnd w:id="50"/>
    <w:bookmarkEnd w:id="53"/>
    <w:bookmarkEnd w:id="54"/>
    <w:bookmarkEnd w:id="55"/>
    <w:bookmarkEnd w:id="56"/>
    <w:p>
      <w:pPr>
        <w:pStyle w:val="3"/>
        <w:spacing w:line="580" w:lineRule="exact"/>
        <w:rPr>
          <w:rFonts w:ascii="Times New Roman" w:hAnsi="Times New Roman"/>
          <w:bCs w:val="0"/>
        </w:rPr>
      </w:pPr>
      <w:bookmarkStart w:id="57" w:name="_Toc24850"/>
      <w:r>
        <w:rPr>
          <w:rFonts w:hint="eastAsia" w:ascii="Times New Roman" w:hAnsi="Times New Roman"/>
          <w:bCs w:val="0"/>
        </w:rPr>
        <w:t>第六节</w:t>
      </w:r>
      <w:r>
        <w:rPr>
          <w:rFonts w:ascii="Times New Roman" w:hAnsi="Times New Roman"/>
          <w:bCs w:val="0"/>
        </w:rPr>
        <w:t xml:space="preserve"> </w:t>
      </w:r>
      <w:r>
        <w:rPr>
          <w:rFonts w:hint="eastAsia" w:ascii="Times New Roman" w:hAnsi="Times New Roman"/>
          <w:bCs w:val="0"/>
        </w:rPr>
        <w:t>实现绿色发展一体化</w:t>
      </w:r>
      <w:bookmarkEnd w:id="57"/>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坚决落实长江大保护要求。</w:t>
      </w:r>
      <w:r>
        <w:rPr>
          <w:rFonts w:hint="eastAsia" w:ascii="Times New Roman" w:hAnsi="Times New Roman" w:eastAsia="方正仿宋_GBK" w:cs="Times New Roman"/>
          <w:sz w:val="32"/>
          <w:szCs w:val="32"/>
        </w:rPr>
        <w:t>将修复长江生态环境摆在压倒性位置，在区域开发建设、重大项目推进中，严守</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三线一单</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。落实《长江经济带发展负面清单指南（试行）》及省实施细则、环境管控单元差别化准入清单、太湖流域水环境综合治理工作，继续严格落实</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河湖长制</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断面长制</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排口长制</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，完成总氮、总磷削减任务。</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加强生态治理跨区域合作。</w:t>
      </w:r>
      <w:r>
        <w:rPr>
          <w:rFonts w:hint="eastAsia" w:ascii="Times New Roman" w:hAnsi="Times New Roman" w:eastAsia="方正仿宋_GBK" w:cs="Times New Roman"/>
          <w:sz w:val="32"/>
          <w:szCs w:val="32"/>
        </w:rPr>
        <w:t>建立联席会议、应急联动、信息共享等制度，实现生态治理领域跨区域合作和联防联治。落实南京市与镇江市跨界水体水质提升合作协议，与南京市栖霞区、江宁区、溧水区开展区域产业协调、交界水体联合监测、水质达标整治、沿河污染管控、扩大补偿范围等方面的合作。推动建立系统完整的生态环境保护制度体系，健全完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源头严防、过程严管、后果严惩</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体制机制。按照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谁污染谁付费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谁保护谁受益</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的原则，推进区域生态修复和生态补偿机制构建，切实将句容的生态本底优势转化为经济社会效益。强化区域水系整治、生态修复、生态廊道建设、文化挖掘与岸线利用，着力提升河湖生态系统质量和稳定性。</w:t>
      </w:r>
    </w:p>
    <w:p>
      <w:pPr>
        <w:spacing w:line="560" w:lineRule="exact"/>
        <w:ind w:firstLine="640" w:firstLineChars="200"/>
        <w:rPr>
          <w:rFonts w:hint="eastAsia" w:ascii="Times New Roman" w:hAnsi="Times New Roman" w:eastAsia="方正仿宋_GBK" w:cs="Times New Roman"/>
          <w:sz w:val="32"/>
          <w:szCs w:val="32"/>
          <w:lang w:eastAsia="zh-CN"/>
        </w:rPr>
      </w:pPr>
    </w:p>
    <w:p>
      <w:pPr>
        <w:pStyle w:val="2"/>
        <w:adjustRightInd w:val="0"/>
        <w:snapToGrid w:val="0"/>
        <w:spacing w:before="0" w:after="0" w:line="560" w:lineRule="exact"/>
        <w:jc w:val="both"/>
        <w:rPr>
          <w:rFonts w:ascii="Times New Roman" w:hAnsi="Times New Roman" w:cs="Times New Roman"/>
          <w:bCs w:val="0"/>
        </w:rPr>
      </w:pPr>
      <w:bookmarkStart w:id="58" w:name="_Toc19747"/>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jc w:val="both"/>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ascii="Times New Roman" w:hAnsi="Times New Roman" w:cs="Times New Roman"/>
          <w:bCs w:val="0"/>
        </w:rPr>
      </w:pPr>
      <w:r>
        <w:rPr>
          <w:rFonts w:hint="eastAsia" w:ascii="Times New Roman" w:hAnsi="Times New Roman" w:cs="Times New Roman"/>
          <w:bCs w:val="0"/>
        </w:rPr>
        <w:t>第四章</w:t>
      </w:r>
      <w:r>
        <w:rPr>
          <w:rFonts w:ascii="Times New Roman" w:hAnsi="Times New Roman" w:cs="Times New Roman"/>
          <w:bCs w:val="0"/>
        </w:rPr>
        <w:t xml:space="preserve"> </w:t>
      </w:r>
      <w:r>
        <w:rPr>
          <w:rFonts w:hint="eastAsia" w:ascii="Times New Roman" w:hAnsi="Times New Roman" w:cs="Times New Roman"/>
          <w:bCs w:val="0"/>
        </w:rPr>
        <w:t>构建延展融合的现代产业体系</w:t>
      </w:r>
      <w:bookmarkEnd w:id="58"/>
    </w:p>
    <w:p>
      <w:pPr>
        <w:pStyle w:val="2"/>
        <w:adjustRightInd w:val="0"/>
        <w:snapToGrid w:val="0"/>
        <w:spacing w:before="0" w:after="0" w:line="560" w:lineRule="exact"/>
        <w:rPr>
          <w:rFonts w:ascii="Times New Roman" w:hAnsi="Times New Roman" w:cs="Times New Roman"/>
        </w:rPr>
      </w:pPr>
      <w:bookmarkStart w:id="59" w:name="_Toc6613"/>
      <w:r>
        <w:rPr>
          <w:rFonts w:hint="eastAsia" w:ascii="Times New Roman" w:hAnsi="Times New Roman" w:cs="Times New Roman"/>
          <w:bCs w:val="0"/>
        </w:rPr>
        <w:t>加快创新动能转</w:t>
      </w:r>
      <w:r>
        <w:rPr>
          <w:rFonts w:hint="eastAsia" w:ascii="Times New Roman" w:hAnsi="Times New Roman" w:cs="Times New Roman"/>
        </w:rPr>
        <w:t>换</w:t>
      </w:r>
      <w:bookmarkEnd w:id="59"/>
    </w:p>
    <w:p>
      <w:pPr>
        <w:spacing w:line="560" w:lineRule="exact"/>
        <w:ind w:firstLine="640" w:firstLineChars="200"/>
        <w:rPr>
          <w:rFonts w:ascii="Times New Roman" w:hAnsi="Times New Roman" w:eastAsia="方正仿宋_GBK" w:cs="Times New Roman"/>
          <w:sz w:val="32"/>
          <w:szCs w:val="32"/>
        </w:rPr>
      </w:pPr>
    </w:p>
    <w:p>
      <w:pPr>
        <w:spacing w:line="560" w:lineRule="exact"/>
        <w:ind w:firstLine="640" w:firstLineChars="200"/>
        <w:rPr>
          <w:rFonts w:ascii="Times New Roman" w:hAnsi="Times New Roman" w:eastAsia="方正仿宋_GBK" w:cs="Times New Roman"/>
          <w:sz w:val="32"/>
          <w:szCs w:val="32"/>
        </w:rPr>
      </w:pP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坚持新发展理念，持续推动经济高质量发展，坚定不移走产业强市之路，牢牢把握产业发展</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九大机遇</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，构筑以四大先进制造业为主导的制造业体系，培育一批新兴成长业态，打造农文康旅多元生态一体融合的新模式，形成延展融合的</w:t>
      </w:r>
      <w:r>
        <w:rPr>
          <w:rFonts w:ascii="Times New Roman" w:hAnsi="Times New Roman" w:eastAsia="方正仿宋_GBK" w:cs="Times New Roman"/>
          <w:sz w:val="32"/>
          <w:szCs w:val="32"/>
        </w:rPr>
        <w:t>“4+1+1”</w:t>
      </w:r>
      <w:r>
        <w:rPr>
          <w:rFonts w:hint="eastAsia" w:ascii="Times New Roman" w:hAnsi="Times New Roman" w:eastAsia="方正仿宋_GBK" w:cs="Times New Roman"/>
          <w:sz w:val="32"/>
          <w:szCs w:val="32"/>
        </w:rPr>
        <w:t>现代产业体系，推动句容经济体系整体优化升级。</w:t>
      </w:r>
    </w:p>
    <w:p>
      <w:pPr>
        <w:pStyle w:val="3"/>
        <w:spacing w:line="580" w:lineRule="exact"/>
        <w:rPr>
          <w:rFonts w:ascii="Times New Roman" w:hAnsi="Times New Roman" w:eastAsia="方正仿宋_GBK"/>
        </w:rPr>
      </w:pPr>
      <w:bookmarkStart w:id="60" w:name="_Toc7741"/>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构筑以四大先进制造业为主导的制造业体系</w:t>
      </w:r>
      <w:bookmarkEnd w:id="60"/>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促进先进制造业现代化转型。</w:t>
      </w:r>
      <w:r>
        <w:rPr>
          <w:rFonts w:hint="eastAsia" w:ascii="Times New Roman" w:hAnsi="Times New Roman" w:eastAsia="方正仿宋_GBK" w:cs="Times New Roman"/>
          <w:sz w:val="32"/>
          <w:szCs w:val="32"/>
        </w:rPr>
        <w:t>进一步聚焦智能制造、新能源、新材料、电子信息四大主导产业，推动产业链上下游企业集聚，提高产业密度</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打造产业地标，培育一批具有爆发力和引领力的新产业增长极。将句容打造为长三角先进制造业基地。到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年，工业应税销售达到</w:t>
      </w:r>
      <w:r>
        <w:rPr>
          <w:rFonts w:ascii="Times New Roman" w:hAnsi="Times New Roman" w:eastAsia="方正仿宋_GBK" w:cs="Times New Roman"/>
          <w:sz w:val="32"/>
          <w:szCs w:val="32"/>
        </w:rPr>
        <w:t>1000</w:t>
      </w:r>
      <w:r>
        <w:rPr>
          <w:rFonts w:hint="eastAsia" w:ascii="Times New Roman" w:hAnsi="Times New Roman" w:eastAsia="方正仿宋_GBK" w:cs="Times New Roman"/>
          <w:sz w:val="32"/>
          <w:szCs w:val="32"/>
        </w:rPr>
        <w:t>亿元，绿色建材应税销售达到</w:t>
      </w:r>
      <w:r>
        <w:rPr>
          <w:rFonts w:ascii="Times New Roman" w:hAnsi="Times New Roman" w:eastAsia="方正仿宋_GBK" w:cs="Times New Roman"/>
          <w:sz w:val="32"/>
          <w:szCs w:val="32"/>
        </w:rPr>
        <w:t>200</w:t>
      </w:r>
      <w:r>
        <w:rPr>
          <w:rFonts w:hint="eastAsia" w:ascii="Times New Roman" w:hAnsi="Times New Roman" w:eastAsia="方正仿宋_GBK" w:cs="Times New Roman"/>
          <w:sz w:val="32"/>
          <w:szCs w:val="32"/>
        </w:rPr>
        <w:t>亿元，此外再培育</w:t>
      </w:r>
      <w:r>
        <w:rPr>
          <w:rFonts w:ascii="Times New Roman" w:hAnsi="Times New Roman" w:eastAsia="方正仿宋_GBK" w:cs="Times New Roman"/>
          <w:sz w:val="32"/>
          <w:szCs w:val="32"/>
        </w:rPr>
        <w:t>3-4</w:t>
      </w:r>
      <w:r>
        <w:rPr>
          <w:rFonts w:hint="eastAsia" w:ascii="Times New Roman" w:hAnsi="Times New Roman" w:eastAsia="方正仿宋_GBK" w:cs="Times New Roman"/>
          <w:sz w:val="32"/>
          <w:szCs w:val="32"/>
        </w:rPr>
        <w:t>个百亿级产业集群。</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智能制造产业。</w:t>
      </w:r>
      <w:r>
        <w:rPr>
          <w:rFonts w:hint="eastAsia" w:ascii="Times New Roman" w:hAnsi="Times New Roman" w:eastAsia="方正仿宋_GBK" w:cs="Times New Roman"/>
          <w:sz w:val="32"/>
          <w:szCs w:val="32"/>
        </w:rPr>
        <w:t>重点支持工业机器人、海工装备、轨道交通等高端装备制造业发展，打造开发区高端智能制造产业集群，推动郭庄现代装备制造产业园建设。大力发展通航产业，推进通用航空产业园建设，以蝙蝠飞机制造项目为核心，高标准规划建设航空制造、航空运营、航空服务三大基地。支持圣通电力、智达电气、电科电气等电力装备制造企业延伸产业链、提升价值链，发展成为行业龙头企业。鼓励和正装备、负压方舱等特种装备制造企业向专精特新方向发展，力争成为全国知名特种装备制造商。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年，争取形成百亿级的智能制造产业集群。</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新能源产业。</w:t>
      </w:r>
      <w:r>
        <w:rPr>
          <w:rFonts w:hint="eastAsia" w:ascii="Times New Roman" w:hAnsi="Times New Roman" w:eastAsia="方正仿宋_GBK" w:cs="Times New Roman"/>
          <w:sz w:val="32"/>
          <w:szCs w:val="32"/>
        </w:rPr>
        <w:t>积极引进新能源产业龙头企业和项目，推动产业向技术研发和应用示范两端延伸，重点支持光伏系统集成、智能电网、储能电池、生物质能源等领域发展。以协鑫、华君等上市公司龙头新能源项目为主体，打造集产品研发、生产制造、集成服务等为一体的郭庄绿色新能源特色小镇，加快郭庄</w:t>
      </w:r>
      <w:r>
        <w:rPr>
          <w:rFonts w:ascii="Times New Roman" w:hAnsi="Times New Roman" w:eastAsia="方正仿宋_GBK" w:cs="Times New Roman"/>
          <w:sz w:val="32"/>
          <w:szCs w:val="32"/>
        </w:rPr>
        <w:t>5G</w:t>
      </w:r>
      <w:r>
        <w:rPr>
          <w:rFonts w:hint="eastAsia" w:ascii="Times New Roman" w:hAnsi="Times New Roman" w:eastAsia="方正仿宋_GBK" w:cs="Times New Roman"/>
          <w:sz w:val="32"/>
          <w:szCs w:val="32"/>
        </w:rPr>
        <w:t>智慧产业园的建设。鼓励新能源汽车产业的发展，支持联博精密科技加大产品研发力度，扩大生产规模，加快开发区新能源国民车项目建设。到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年，实现新能源产业集群应税销售超</w:t>
      </w:r>
      <w:r>
        <w:rPr>
          <w:rFonts w:ascii="Times New Roman" w:hAnsi="Times New Roman" w:eastAsia="方正仿宋_GBK" w:cs="Times New Roman"/>
          <w:sz w:val="32"/>
          <w:szCs w:val="32"/>
        </w:rPr>
        <w:t>200</w:t>
      </w:r>
      <w:r>
        <w:rPr>
          <w:rFonts w:hint="eastAsia" w:ascii="Times New Roman" w:hAnsi="Times New Roman" w:eastAsia="方正仿宋_GBK" w:cs="Times New Roman"/>
          <w:sz w:val="32"/>
          <w:szCs w:val="32"/>
        </w:rPr>
        <w:t>亿元。</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新材料产业。</w:t>
      </w:r>
      <w:r>
        <w:rPr>
          <w:rFonts w:hint="eastAsia" w:ascii="Times New Roman" w:hAnsi="Times New Roman" w:eastAsia="方正仿宋_GBK" w:cs="Times New Roman"/>
          <w:sz w:val="32"/>
          <w:szCs w:val="32"/>
        </w:rPr>
        <w:t>依托开发区和边城镇，积极引入新型航空专用材料和交通新材料等领域的优质企业，发挥宁武新材料、兆鋆新材料等一批龙头企业的带动作用，支持碳纤维新材料、高性能功能薄膜等新材料的研发生产。以下蜀镇为主体，鼓励建华建材、中圣板带、天工新材料等龙头企业加大创新力度，在新型建筑材料、精密硅钢卷板、高性能合金钢的研发生产上取得突破。</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期间，争取培育成为具有较强区域竞争力的新材料产业策源地和集聚区。到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年，实现新材料产业集群应税销售超</w:t>
      </w:r>
      <w:r>
        <w:rPr>
          <w:rFonts w:ascii="Times New Roman" w:hAnsi="Times New Roman" w:eastAsia="方正仿宋_GBK" w:cs="Times New Roman"/>
          <w:sz w:val="32"/>
          <w:szCs w:val="32"/>
        </w:rPr>
        <w:t>200</w:t>
      </w:r>
      <w:r>
        <w:rPr>
          <w:rFonts w:hint="eastAsia" w:ascii="Times New Roman" w:hAnsi="Times New Roman" w:eastAsia="方正仿宋_GBK" w:cs="Times New Roman"/>
          <w:sz w:val="32"/>
          <w:szCs w:val="32"/>
        </w:rPr>
        <w:t>亿元。</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电子信息产业。</w:t>
      </w:r>
      <w:r>
        <w:rPr>
          <w:rFonts w:hint="eastAsia" w:ascii="Times New Roman" w:hAnsi="Times New Roman" w:eastAsia="方正仿宋_GBK" w:cs="Times New Roman"/>
          <w:sz w:val="32"/>
          <w:szCs w:val="32"/>
        </w:rPr>
        <w:t>以开发区为载体，围绕巨宝科技、骏成电子、壹度科技、台湾半导体、中科物栖、中科视语等企业，完善涵盖上游</w:t>
      </w:r>
      <w:r>
        <w:rPr>
          <w:rFonts w:ascii="Times New Roman" w:hAnsi="Times New Roman" w:eastAsia="方正仿宋_GBK" w:cs="Times New Roman"/>
          <w:sz w:val="32"/>
          <w:szCs w:val="32"/>
        </w:rPr>
        <w:t>IC</w:t>
      </w:r>
      <w:r>
        <w:rPr>
          <w:rFonts w:hint="eastAsia" w:ascii="Times New Roman" w:hAnsi="Times New Roman" w:eastAsia="方正仿宋_GBK" w:cs="Times New Roman"/>
          <w:sz w:val="32"/>
          <w:szCs w:val="32"/>
        </w:rPr>
        <w:t>设计、关键材料和设备，下游先进封装测试的电子信息产业链。加快发展工业智能仪表、新兴消费与应用电器、传感器电子器件、</w:t>
      </w:r>
      <w:r>
        <w:rPr>
          <w:rFonts w:ascii="Times New Roman" w:hAnsi="Times New Roman" w:eastAsia="方正仿宋_GBK" w:cs="Times New Roman"/>
          <w:sz w:val="32"/>
          <w:szCs w:val="32"/>
        </w:rPr>
        <w:t>LED</w:t>
      </w:r>
      <w:r>
        <w:rPr>
          <w:rFonts w:hint="eastAsia" w:ascii="Times New Roman" w:hAnsi="Times New Roman" w:eastAsia="方正仿宋_GBK" w:cs="Times New Roman"/>
          <w:sz w:val="32"/>
          <w:szCs w:val="32"/>
        </w:rPr>
        <w:t>应用产品、</w:t>
      </w:r>
      <w:r>
        <w:rPr>
          <w:rFonts w:ascii="Times New Roman" w:hAnsi="Times New Roman" w:eastAsia="方正仿宋_GBK" w:cs="Times New Roman"/>
          <w:sz w:val="32"/>
          <w:szCs w:val="32"/>
        </w:rPr>
        <w:t>LCD</w:t>
      </w:r>
      <w:r>
        <w:rPr>
          <w:rFonts w:hint="eastAsia" w:ascii="Times New Roman" w:hAnsi="Times New Roman" w:eastAsia="方正仿宋_GBK" w:cs="Times New Roman"/>
          <w:sz w:val="32"/>
          <w:szCs w:val="32"/>
        </w:rPr>
        <w:t>驱动芯片封装、</w:t>
      </w:r>
      <w:r>
        <w:rPr>
          <w:rFonts w:ascii="Times New Roman" w:hAnsi="Times New Roman" w:eastAsia="方正仿宋_GBK" w:cs="Times New Roman"/>
          <w:sz w:val="32"/>
          <w:szCs w:val="32"/>
        </w:rPr>
        <w:t>AMOLED</w:t>
      </w:r>
      <w:r>
        <w:rPr>
          <w:rFonts w:hint="eastAsia" w:ascii="Times New Roman" w:hAnsi="Times New Roman" w:eastAsia="方正仿宋_GBK" w:cs="Times New Roman"/>
          <w:sz w:val="32"/>
          <w:szCs w:val="32"/>
        </w:rPr>
        <w:t>金属掩膜版框架等高附加值终端产品，积极拓展信息增值服务。到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年，实现电子信息产业集群应税销售</w:t>
      </w:r>
      <w:r>
        <w:rPr>
          <w:rFonts w:ascii="Times New Roman" w:hAnsi="Times New Roman" w:eastAsia="方正仿宋_GBK" w:cs="Times New Roman"/>
          <w:sz w:val="32"/>
          <w:szCs w:val="32"/>
        </w:rPr>
        <w:t>100</w:t>
      </w:r>
      <w:r>
        <w:rPr>
          <w:rFonts w:hint="eastAsia" w:ascii="Times New Roman" w:hAnsi="Times New Roman" w:eastAsia="方正仿宋_GBK" w:cs="Times New Roman"/>
          <w:sz w:val="32"/>
          <w:szCs w:val="32"/>
        </w:rPr>
        <w:t>亿元。</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0"/>
              <w:pBdr>
                <w:bottom w:val="single" w:color="auto" w:sz="4" w:space="1"/>
              </w:pBdr>
              <w:spacing w:beforeLines="50" w:beforeAutospacing="0" w:afterLines="50" w:afterAutospacing="0"/>
              <w:ind w:left="-141" w:leftChars="-67" w:right="-197" w:rightChars="-94"/>
              <w:jc w:val="center"/>
              <w:rPr>
                <w:rFonts w:eastAsia="方正黑体_GBK"/>
                <w:kern w:val="2"/>
                <w:szCs w:val="24"/>
                <w:lang w:val="zh-CN"/>
              </w:rPr>
            </w:pPr>
            <w:r>
              <w:rPr>
                <w:rFonts w:hint="eastAsia" w:eastAsia="方正黑体_GBK"/>
                <w:kern w:val="2"/>
                <w:szCs w:val="24"/>
                <w:lang w:val="zh-CN"/>
              </w:rPr>
              <w:t>专栏</w:t>
            </w:r>
            <w:r>
              <w:rPr>
                <w:rFonts w:eastAsia="方正黑体_GBK"/>
                <w:kern w:val="2"/>
                <w:szCs w:val="24"/>
                <w:lang w:val="zh-CN"/>
              </w:rPr>
              <w:t>2</w:t>
            </w:r>
            <w:r>
              <w:rPr>
                <w:rFonts w:eastAsia="方正黑体_GBK"/>
                <w:kern w:val="2"/>
                <w:szCs w:val="24"/>
              </w:rPr>
              <w:t xml:space="preserve"> </w:t>
            </w:r>
            <w:r>
              <w:rPr>
                <w:rFonts w:hint="eastAsia" w:eastAsia="方正黑体_GBK"/>
                <w:kern w:val="2"/>
                <w:szCs w:val="24"/>
                <w:lang w:val="zh-CN"/>
              </w:rPr>
              <w:t>先进制造业重点产业项目</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智能制造产业：航科环境监测和负压方舱项目、大华激光加工设备项目、广景智能升降设备制造项目、肯立低空探测雷达配套设备及集成化微波模块生产项目</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新能源产业：新能源国民车项目、金合新型储能设备制造项目、协鑫年产</w:t>
            </w:r>
            <w:r>
              <w:rPr>
                <w:kern w:val="2"/>
                <w:szCs w:val="24"/>
                <w:lang w:val="zh-CN"/>
              </w:rPr>
              <w:t>5GW</w:t>
            </w:r>
            <w:r>
              <w:rPr>
                <w:rFonts w:hint="eastAsia"/>
                <w:kern w:val="2"/>
                <w:szCs w:val="24"/>
                <w:lang w:val="zh-CN"/>
              </w:rPr>
              <w:t>高效光伏组件项目、恒嘉年产</w:t>
            </w:r>
            <w:r>
              <w:rPr>
                <w:kern w:val="2"/>
                <w:szCs w:val="24"/>
                <w:lang w:val="zh-CN"/>
              </w:rPr>
              <w:t>2GW</w:t>
            </w:r>
            <w:r>
              <w:rPr>
                <w:rFonts w:hint="eastAsia"/>
                <w:kern w:val="2"/>
                <w:szCs w:val="24"/>
                <w:lang w:val="zh-CN"/>
              </w:rPr>
              <w:t>太阳能电池组件项目、华君年产</w:t>
            </w:r>
            <w:r>
              <w:rPr>
                <w:kern w:val="2"/>
                <w:szCs w:val="24"/>
                <w:lang w:val="zh-CN"/>
              </w:rPr>
              <w:t>0.35GW</w:t>
            </w:r>
            <w:r>
              <w:rPr>
                <w:rFonts w:hint="eastAsia"/>
                <w:kern w:val="2"/>
                <w:szCs w:val="24"/>
                <w:lang w:val="zh-CN"/>
              </w:rPr>
              <w:t>晶硅太阳能电池组件项目、</w:t>
            </w:r>
            <w:r>
              <w:rPr>
                <w:kern w:val="2"/>
                <w:szCs w:val="24"/>
                <w:lang w:val="zh-CN"/>
              </w:rPr>
              <w:t>5G</w:t>
            </w:r>
            <w:r>
              <w:rPr>
                <w:rFonts w:hint="eastAsia"/>
                <w:kern w:val="2"/>
                <w:szCs w:val="24"/>
                <w:lang w:val="zh-CN"/>
              </w:rPr>
              <w:t>智慧产业园项目、中电科预装式电池储能成套设备项目</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新材料产业：兆鋆碳纤维新材料项目、福仕保高性能功能薄膜项目、东科有色金属轧延液及性能改善型新材料生产项目、南瓷年产</w:t>
            </w:r>
            <w:r>
              <w:rPr>
                <w:kern w:val="2"/>
                <w:szCs w:val="24"/>
                <w:lang w:val="zh-CN"/>
              </w:rPr>
              <w:t>120</w:t>
            </w:r>
            <w:r>
              <w:rPr>
                <w:rFonts w:hint="eastAsia"/>
                <w:kern w:val="2"/>
                <w:szCs w:val="24"/>
                <w:lang w:val="zh-CN"/>
              </w:rPr>
              <w:t>万片特高压悬式瓷绝缘子项目、苏博特年产</w:t>
            </w:r>
            <w:r>
              <w:rPr>
                <w:kern w:val="2"/>
                <w:szCs w:val="24"/>
                <w:lang w:val="zh-CN"/>
              </w:rPr>
              <w:t>37</w:t>
            </w:r>
            <w:r>
              <w:rPr>
                <w:rFonts w:hint="eastAsia"/>
                <w:kern w:val="2"/>
                <w:szCs w:val="24"/>
                <w:lang w:val="zh-CN"/>
              </w:rPr>
              <w:t>万吨高性能土木工程材料产业化基地项目</w:t>
            </w:r>
          </w:p>
          <w:p>
            <w:pPr>
              <w:pStyle w:val="20"/>
              <w:spacing w:before="0" w:beforeAutospacing="0" w:afterLines="50" w:afterAutospacing="0" w:line="288" w:lineRule="auto"/>
              <w:ind w:firstLine="480" w:firstLineChars="200"/>
              <w:jc w:val="both"/>
              <w:rPr>
                <w:rFonts w:eastAsia="Times New Roman"/>
                <w:kern w:val="2"/>
                <w:sz w:val="28"/>
                <w:szCs w:val="28"/>
              </w:rPr>
            </w:pPr>
            <w:r>
              <w:rPr>
                <w:rFonts w:hint="eastAsia"/>
                <w:kern w:val="2"/>
                <w:szCs w:val="24"/>
                <w:lang w:val="zh-CN"/>
              </w:rPr>
              <w:t>电子信息产业：江苏骏成车载显示屏项目、句容（台湾）半导体产业园项目、晶度</w:t>
            </w:r>
            <w:r>
              <w:rPr>
                <w:kern w:val="2"/>
                <w:szCs w:val="24"/>
                <w:lang w:val="zh-CN"/>
              </w:rPr>
              <w:t>LCD</w:t>
            </w:r>
            <w:r>
              <w:rPr>
                <w:rFonts w:hint="eastAsia"/>
                <w:kern w:val="2"/>
                <w:szCs w:val="24"/>
                <w:lang w:val="zh-CN"/>
              </w:rPr>
              <w:t>驱动芯片封装项目、高光</w:t>
            </w:r>
            <w:r>
              <w:rPr>
                <w:kern w:val="2"/>
                <w:szCs w:val="24"/>
                <w:lang w:val="zh-CN"/>
              </w:rPr>
              <w:t>AMOLED</w:t>
            </w:r>
            <w:r>
              <w:rPr>
                <w:rFonts w:hint="eastAsia"/>
                <w:kern w:val="2"/>
                <w:szCs w:val="24"/>
                <w:lang w:val="zh-CN"/>
              </w:rPr>
              <w:t>金属掩膜版框架生产项目、格奥光电高精密光学元器件项目、南瓷自供电芯片感知型智能绝缘子关键技术研发及产业化项目</w:t>
            </w:r>
          </w:p>
        </w:tc>
      </w:tr>
    </w:tbl>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推动现代化产业链构建。</w:t>
      </w:r>
      <w:r>
        <w:rPr>
          <w:rFonts w:hint="eastAsia" w:ascii="Times New Roman" w:hAnsi="Times New Roman" w:eastAsia="方正仿宋_GBK" w:cs="Times New Roman"/>
          <w:sz w:val="32"/>
          <w:szCs w:val="32"/>
        </w:rPr>
        <w:t>聚焦智能制造、新能源、新材料、电子信息等主导产业，紧扣自主可控，促进延伸融合，在上下游关键环节精准招商；针对现有产业基础中的关键环节、薄弱环节、缺失环节，实施精准植入以补链成链；通过政府引导、政策支持、市场推动的方式，强化创新驱动，进行技术改造，促进产业提质增效强链。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年，以全产业链思维集中力量打造</w:t>
      </w: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rPr>
        <w:t>条代表句容特色、具有一定区域竞争力的产业链。</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自主培育优质制造业企业集群。</w:t>
      </w:r>
      <w:r>
        <w:rPr>
          <w:rFonts w:hint="eastAsia" w:ascii="Times New Roman" w:hAnsi="Times New Roman" w:eastAsia="方正仿宋_GBK" w:cs="Times New Roman"/>
          <w:sz w:val="32"/>
          <w:szCs w:val="32"/>
        </w:rPr>
        <w:t>统筹旗舰型科技高峰企业与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专精特新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高原企业培育，加大科技型中小企业、高新技术企业、独角兽企业、瞪羚企业、雏鹰企业、创新型领军企业等多层次企业梯队培育，着力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保存量、挖增量、提质量</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。引入培育龙头企业，鼓励引入服务全球智造链的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超级工厂</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，形成带动全市产业链的智造核心。培育产业龙头企业，建立龙头企业培育库，对入库企业实施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一对一</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精准服务。支持龙头企业整合上中下游产品资源，提升产业链条控制力和自给率。实施规上企业倍增计划，到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年，全市规上工业企业达到</w:t>
      </w:r>
      <w:r>
        <w:rPr>
          <w:rFonts w:ascii="Times New Roman" w:hAnsi="Times New Roman" w:eastAsia="方正仿宋_GBK" w:cs="Times New Roman"/>
          <w:sz w:val="32"/>
          <w:szCs w:val="32"/>
        </w:rPr>
        <w:t>400</w:t>
      </w:r>
      <w:r>
        <w:rPr>
          <w:rFonts w:hint="eastAsia" w:ascii="Times New Roman" w:hAnsi="Times New Roman" w:eastAsia="方正仿宋_GBK" w:cs="Times New Roman"/>
          <w:sz w:val="32"/>
          <w:szCs w:val="32"/>
        </w:rPr>
        <w:t>家，培育</w:t>
      </w: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rPr>
        <w:t>个百亿级企业（集团）、</w:t>
      </w: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w:t>
      </w:r>
      <w:r>
        <w:rPr>
          <w:rFonts w:ascii="Times New Roman" w:hAnsi="Times New Roman" w:eastAsia="方正仿宋_GBK" w:cs="Times New Roman"/>
          <w:sz w:val="32"/>
          <w:szCs w:val="32"/>
        </w:rPr>
        <w:t>50</w:t>
      </w:r>
      <w:r>
        <w:rPr>
          <w:rFonts w:hint="eastAsia" w:ascii="Times New Roman" w:hAnsi="Times New Roman" w:eastAsia="方正仿宋_GBK" w:cs="Times New Roman"/>
          <w:sz w:val="32"/>
          <w:szCs w:val="32"/>
        </w:rPr>
        <w:t>亿级企业（集团）。</w:t>
      </w:r>
    </w:p>
    <w:p>
      <w:pPr>
        <w:pStyle w:val="3"/>
        <w:spacing w:line="580" w:lineRule="exact"/>
        <w:rPr>
          <w:rFonts w:ascii="Times New Roman" w:hAnsi="Times New Roman"/>
          <w:bCs w:val="0"/>
        </w:rPr>
      </w:pPr>
      <w:bookmarkStart w:id="61" w:name="_Toc14840"/>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加快培育一批新兴业态</w:t>
      </w:r>
      <w:bookmarkEnd w:id="61"/>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加快培育生产性服务业。</w:t>
      </w:r>
      <w:r>
        <w:rPr>
          <w:rFonts w:hint="eastAsia" w:ascii="Times New Roman" w:hAnsi="Times New Roman" w:eastAsia="方正仿宋_GBK" w:cs="Times New Roman"/>
          <w:sz w:val="32"/>
          <w:szCs w:val="32"/>
        </w:rPr>
        <w:t>加快扶持现代金融、科技服务、商务服务、检验检测认证等生产性服务业。以服务制造业高质量发展为导向，重点发展与实体经济相匹配、相促进的新模式新业态，维护产业链供应链的稳定性与竞争力，为实体经济发展提供有力支持。重点发展总集成总承包、现代供应链管理、融资租赁等高附加值生产性服务业，推动生产性服务业向专业化和价值链高端延伸。提升发展现代流通产业，招引具有地区总部型职能的大型物流企业到句容落户，完善物流重大项目和重点园区建设。规范宝华、郭庄片区物流行业发展模式，减少低端物流对城市形象和功能带来的负面影响，全面提升园区效益。大力发展高端供应链物流、农产品冷链物流以及以机场、港口、铁路、多式联运为特征的大宗物流。完善科技服务体系，推进研发设计、创业孵化、技术转移等重点领域提档升级。</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鼓励发展服务外包产业。</w:t>
      </w:r>
      <w:r>
        <w:rPr>
          <w:rFonts w:hint="eastAsia" w:ascii="Times New Roman" w:hAnsi="Times New Roman" w:eastAsia="方正仿宋_GBK" w:cs="Times New Roman"/>
          <w:sz w:val="32"/>
          <w:szCs w:val="32"/>
        </w:rPr>
        <w:t>加快发展以生产性服务业和制造业为基础的服务外包产业，着力培育和引进市场主体，加快公共服务平台和各类特色载体建设，推动高新技术服务业和高端装备产业融合发展、互为促进。重点发展软件和信息技术、设计研发、检验检测、供应链管理等领域的服务外包，加速推动半导体测试外包产业基地、江苏省建筑工程质量检测中心句容试验基地等重点项目落地。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年，服务外包执行额达到</w:t>
      </w: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rPr>
        <w:t>亿美元，服务外包企业数量达到</w:t>
      </w:r>
      <w:r>
        <w:rPr>
          <w:rFonts w:ascii="Times New Roman" w:hAnsi="Times New Roman" w:eastAsia="方正仿宋_GBK" w:cs="Times New Roman"/>
          <w:sz w:val="32"/>
          <w:szCs w:val="32"/>
        </w:rPr>
        <w:t>200</w:t>
      </w:r>
      <w:r>
        <w:rPr>
          <w:rFonts w:hint="eastAsia" w:ascii="Times New Roman" w:hAnsi="Times New Roman" w:eastAsia="方正仿宋_GBK" w:cs="Times New Roman"/>
          <w:sz w:val="32"/>
          <w:szCs w:val="32"/>
        </w:rPr>
        <w:t>家。</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推动数字经济和实体经济深度融合。</w:t>
      </w:r>
      <w:r>
        <w:rPr>
          <w:rFonts w:hint="eastAsia" w:ascii="Times New Roman" w:hAnsi="Times New Roman" w:eastAsia="方正仿宋_GBK" w:cs="Times New Roman"/>
          <w:sz w:val="32"/>
          <w:szCs w:val="32"/>
        </w:rPr>
        <w:t>推进数字产业化和产业数字化，将制造业视为推动数字经济与实体经济融合发展的主攻方向和关键突破口。加快重点制造领域数字化、智能化，推动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句容制造</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句容智造</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转型。积极构建工业互联网，提升两化融合和智能制造发展水平，积极推动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企业上云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。加快</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企企通</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建设，全面促进制造业园区和企业的宽带及无线网络建设、企业车间局域网建设，提升传统制造业信息化水平。注重对现有企业的智能化改造，鼓励支持有条件的企业进行生产线的自动化改造，加强以智能化系统为核心的技术改造，打造更多的智能车间、智能工厂。</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积极发展电子商务。</w:t>
      </w:r>
      <w:r>
        <w:rPr>
          <w:rFonts w:hint="eastAsia" w:ascii="Times New Roman" w:hAnsi="Times New Roman" w:eastAsia="方正仿宋_GBK" w:cs="Times New Roman"/>
          <w:sz w:val="32"/>
          <w:szCs w:val="32"/>
        </w:rPr>
        <w:t>加快电子商务在全市的布局和发展，推动电商与农业、制造业等实体经济深度融合发展。积极发展</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企业</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网店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农户</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合作社（公司）</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平台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农业生产基地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网店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等多种电商经营模式，推广</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直播</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产品（田头）</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电商、新零售等电商新模式。进一步完善涵盖咨询、培训、人才、运营托管、电子商务金融、仓储等电商公共服务体系，建设完善句容市电子商务公共服务中心，提升茅山镇谭木匠电商产业园、茅山景区电商产业园、华东森林产品电商城、福源电子商务创业圈等一批专业化电商产业园的服务水平。促进特色产品电商化，鼓励以电商渠道销售地方特色产品。完善农产品电商供应链体系，依托</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亚夫在线</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联盟</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丁庄葡萄电子商务交易平台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等品牌电商平台，培育建设一批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互联网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现代农业孵化基地。</w:t>
      </w:r>
    </w:p>
    <w:p>
      <w:pPr>
        <w:pStyle w:val="3"/>
        <w:spacing w:line="580" w:lineRule="exact"/>
        <w:rPr>
          <w:rFonts w:ascii="Times New Roman" w:hAnsi="Times New Roman"/>
          <w:bCs w:val="0"/>
        </w:rPr>
      </w:pPr>
      <w:bookmarkStart w:id="62" w:name="_Toc29347"/>
      <w:r>
        <w:rPr>
          <w:rFonts w:hint="eastAsia" w:ascii="Times New Roman" w:hAnsi="Times New Roman"/>
          <w:bCs w:val="0"/>
        </w:rPr>
        <w:t>第三节</w:t>
      </w:r>
      <w:r>
        <w:rPr>
          <w:rFonts w:ascii="Times New Roman" w:hAnsi="Times New Roman"/>
          <w:bCs w:val="0"/>
        </w:rPr>
        <w:t xml:space="preserve"> </w:t>
      </w:r>
      <w:r>
        <w:rPr>
          <w:rFonts w:hint="eastAsia" w:ascii="Times New Roman" w:hAnsi="Times New Roman"/>
          <w:bCs w:val="0"/>
        </w:rPr>
        <w:t>促进农文康旅多元业态融合</w:t>
      </w:r>
      <w:bookmarkEnd w:id="62"/>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发展现代高效农业。</w:t>
      </w:r>
      <w:r>
        <w:rPr>
          <w:rFonts w:hint="eastAsia" w:ascii="Times New Roman" w:hAnsi="Times New Roman" w:eastAsia="方正仿宋_GBK" w:cs="Times New Roman"/>
          <w:sz w:val="32"/>
          <w:szCs w:val="32"/>
        </w:rPr>
        <w:t>坚持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以粮为基，适度多元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农业产业发展思路，聚焦发展经济林果、特种养殖、农产品加工等产业。构建优质水稻、四季鲜果、精品苗木三区并行，乡村旅游一带串联，特色园区多点融合的农业产业空间结构。打造集科研、仓储、冷链、加工、电商交易、展示为一体的现代农业产业体系。以现代农业产业园为主要载体推进农业现代化建设，发挥技术集成、产业融合的优势，构建以龙头企业为主导、农民合作社为纽带、家庭农场为基础的现代农业产业化联合体，切实建立现代农业发展与小农户的利益联结机制。</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加快推进特色农产品品牌化。</w:t>
      </w:r>
      <w:r>
        <w:rPr>
          <w:rFonts w:hint="eastAsia" w:ascii="Times New Roman" w:hAnsi="Times New Roman" w:eastAsia="方正仿宋_GBK" w:cs="Times New Roman"/>
          <w:sz w:val="32"/>
          <w:szCs w:val="32"/>
        </w:rPr>
        <w:t>扩大优质绿色农产品供给，突出葡萄、茶叶、草莓、蜜桃、优质稻米等名优农产品向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绿色、优质、特色、高效</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方向提升。提升句容特色农产品区域品牌知名度，打造</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茅山长青</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戴庄大米</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西冯草坪</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丁庄葡萄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野山小村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杜氏天香</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白兔草莓</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等一批知名产品品牌，延伸地理标志农产品产业链。借鉴丁庄、戴庄的成功经验，与盒马、</w:t>
      </w:r>
      <w:r>
        <w:rPr>
          <w:rFonts w:ascii="Times New Roman" w:hAnsi="Times New Roman" w:eastAsia="方正仿宋_GBK" w:cs="Times New Roman"/>
          <w:sz w:val="32"/>
          <w:szCs w:val="32"/>
        </w:rPr>
        <w:t>Costco</w:t>
      </w:r>
      <w:r>
        <w:rPr>
          <w:rFonts w:hint="eastAsia" w:ascii="Times New Roman" w:hAnsi="Times New Roman" w:eastAsia="方正仿宋_GBK" w:cs="Times New Roman"/>
          <w:sz w:val="32"/>
          <w:szCs w:val="32"/>
        </w:rPr>
        <w:t>等电商生鲜平台合作建立直采制度、建设直供基地。借助平台优势，大力推广句容优质农产品，创建更多类似戴庄霜打菜</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盒马村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电商赋能村庄，加快数字农业示范基地和订单农业生产基地的建设。建立句容特色农产品展销中心，加大句容有机、绿色农产品推介宣传。实施品牌战略，让品牌提升优质农产品的信誉、信用和市场号召力，倒逼高质量农产品的供给侧改革，建立可追溯农产品质量安全管理机制。坚持源头严防、过程严管、风险严控，完善农产品质量监管制度体系。</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加快推进农业科技发展。</w:t>
      </w:r>
      <w:r>
        <w:rPr>
          <w:rFonts w:hint="eastAsia" w:ascii="Times New Roman" w:hAnsi="Times New Roman" w:eastAsia="方正仿宋_GBK" w:cs="Times New Roman"/>
          <w:sz w:val="32"/>
          <w:szCs w:val="32"/>
        </w:rPr>
        <w:t>推广后白杜氏家庭农场、宝华港华紫荆农庄的农业智能化经验，积极对接</w:t>
      </w:r>
      <w:r>
        <w:rPr>
          <w:rFonts w:ascii="Times New Roman" w:hAnsi="Times New Roman" w:eastAsia="方正仿宋_GBK" w:cs="Times New Roman"/>
          <w:sz w:val="32"/>
          <w:szCs w:val="32"/>
        </w:rPr>
        <w:t>5G</w:t>
      </w:r>
      <w:r>
        <w:rPr>
          <w:rFonts w:hint="eastAsia" w:ascii="Times New Roman" w:hAnsi="Times New Roman" w:eastAsia="方正仿宋_GBK" w:cs="Times New Roman"/>
          <w:sz w:val="32"/>
          <w:szCs w:val="32"/>
        </w:rPr>
        <w:t>、大数据等产业资源，提升农业园区的物联网应用水平。加快建设农业科技创新平台，用好江苏农林职业技术学院、</w:t>
      </w:r>
      <w:r>
        <w:rPr>
          <w:rFonts w:hint="eastAsia" w:ascii="Times New Roman" w:hAnsi="Times New Roman" w:eastAsia="方正仿宋_GBK" w:cs="Times New Roman"/>
          <w:sz w:val="32"/>
          <w:szCs w:val="32"/>
          <w:lang w:val="zh-CN"/>
        </w:rPr>
        <w:t>江苏丘陵地区镇江农科院等本地农业科技院所的资源，积极对接周边农业科技资源，加快产学研合作，建设农业产教融合基地；发挥中国茶叶学会科技示范基地、草莓产业研究院、省草莓产业技术创新战略联盟、后白草坪研究院和稻米产业研究院等农业科研平台资源优势，大力推进农业科技研发和成果转化。完善农业科技服务功能，围绕农业科技创新集成、创业孵化、试验展示等功能，实现科技引领下的农业转型升级，争创农业农村现代化示范市。依托后白良种场和各级现代农业产业园区，</w:t>
      </w:r>
      <w:r>
        <w:rPr>
          <w:rFonts w:hint="eastAsia" w:ascii="Times New Roman" w:hAnsi="Times New Roman" w:eastAsia="方正仿宋_GBK" w:cs="Times New Roman"/>
          <w:sz w:val="32"/>
          <w:szCs w:val="32"/>
        </w:rPr>
        <w:t>提高农业良种化水平，到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年，种业（种植业）产值达到</w:t>
      </w: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rPr>
        <w:t>亿元。</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融合提升生态农旅产业。</w:t>
      </w:r>
      <w:r>
        <w:rPr>
          <w:rFonts w:hint="eastAsia" w:ascii="Times New Roman" w:hAnsi="Times New Roman" w:eastAsia="方正仿宋_GBK" w:cs="Times New Roman"/>
          <w:sz w:val="32"/>
          <w:szCs w:val="32"/>
        </w:rPr>
        <w:t>因地制宜发展休闲农业和乡村旅游，以句容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五星乡村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十大农园</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建设为重点，</w:t>
      </w:r>
      <w:r>
        <w:rPr>
          <w:rFonts w:hint="eastAsia" w:ascii="Times New Roman" w:hAnsi="Times New Roman" w:eastAsia="方正仿宋_GBK" w:cs="Times New Roman"/>
          <w:sz w:val="32"/>
          <w:szCs w:val="32"/>
          <w:lang w:val="zh-CN"/>
        </w:rPr>
        <w:t>推动</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好运茅山</w:t>
      </w:r>
      <w:r>
        <w:rPr>
          <w:rFonts w:ascii="Times New Roman" w:hAnsi="Times New Roman" w:eastAsia="方正仿宋_GBK" w:cs="Times New Roman"/>
          <w:sz w:val="32"/>
          <w:szCs w:val="32"/>
          <w:lang w:val="zh-CN"/>
        </w:rPr>
        <w:t>”</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葡镇春城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莓好白兔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古韵边城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大美天王</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乡约后白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等重点农旅板块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zh-CN"/>
        </w:rPr>
        <w:t>串珠成链</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。借鉴葡萄小镇、芝樱小镇、伏热花海等较为成熟的农旅融合项目经验，提升园区建设品质，植入句容本土文化，再打造一批特色高质的农旅项目。</w:t>
      </w:r>
      <w:r>
        <w:rPr>
          <w:rFonts w:hint="eastAsia" w:ascii="Times New Roman" w:hAnsi="Times New Roman" w:eastAsia="方正仿宋_GBK" w:cs="Times New Roman"/>
          <w:sz w:val="32"/>
          <w:szCs w:val="32"/>
        </w:rPr>
        <w:t>推动茅山镇何庄生态农业示范园及农文旅项目在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建成。发展家庭农场、现代农（果）场、美丽乡村、农业公园等多样化的农旅模式，加快推进涵田亲子农场、亚夫庄园田园综合体、康缘药香花园、李塔浅水藕园以及地道中医药园区茅苍术基地等一批优质项目建设，丰富句容的旅游产品，提升句容的农业价值。</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打造文旅融合多元业态。</w:t>
      </w:r>
      <w:r>
        <w:rPr>
          <w:rFonts w:hint="eastAsia" w:ascii="Times New Roman" w:hAnsi="Times New Roman" w:eastAsia="方正仿宋_GBK" w:cs="Times New Roman"/>
          <w:sz w:val="32"/>
          <w:szCs w:val="32"/>
          <w:lang w:val="zh-CN"/>
        </w:rPr>
        <w:t>进一步整合旅游资源，推动文化实力转化为经济实力，加速文旅融合发展。开启以有旅游远程号召力的恒大童世界乐园为核心，北山水库、句容水库为两翼，有历史厚重感的城上村遗址、城头山遗址、秦淮花灯非物质文化遗产为魂的秦淮源度假区文旅新业态。积极引进高规格节庆赛事提升句容旅游景区知名度，通过举办草莓文化旅游节、丁庄葡萄节、铁人三项赛、赤山湖环湖国际公路自行车赛等优质旅游节庆赛事，吸引流量、提升文旅品牌的影响力与知名度。到</w:t>
      </w:r>
      <w:r>
        <w:rPr>
          <w:rFonts w:ascii="Times New Roman" w:hAnsi="Times New Roman" w:eastAsia="方正仿宋_GBK" w:cs="Times New Roman"/>
          <w:sz w:val="32"/>
          <w:szCs w:val="32"/>
          <w:lang w:val="zh-CN"/>
        </w:rPr>
        <w:t>2025</w:t>
      </w:r>
      <w:r>
        <w:rPr>
          <w:rFonts w:hint="eastAsia" w:ascii="Times New Roman" w:hAnsi="Times New Roman" w:eastAsia="方正仿宋_GBK" w:cs="Times New Roman"/>
          <w:sz w:val="32"/>
          <w:szCs w:val="32"/>
          <w:lang w:val="zh-CN"/>
        </w:rPr>
        <w:t>年，旅游业总收入突破</w:t>
      </w:r>
      <w:r>
        <w:rPr>
          <w:rFonts w:ascii="Times New Roman" w:hAnsi="Times New Roman" w:eastAsia="方正仿宋_GBK" w:cs="Times New Roman"/>
          <w:sz w:val="32"/>
          <w:szCs w:val="32"/>
        </w:rPr>
        <w:t>30</w:t>
      </w:r>
      <w:r>
        <w:rPr>
          <w:rFonts w:ascii="Times New Roman" w:hAnsi="Times New Roman" w:eastAsia="方正仿宋_GBK" w:cs="Times New Roman"/>
          <w:sz w:val="32"/>
          <w:szCs w:val="32"/>
          <w:lang w:val="zh-CN"/>
        </w:rPr>
        <w:t>0</w:t>
      </w:r>
      <w:r>
        <w:rPr>
          <w:rFonts w:hint="eastAsia" w:ascii="Times New Roman" w:hAnsi="Times New Roman" w:eastAsia="方正仿宋_GBK" w:cs="Times New Roman"/>
          <w:sz w:val="32"/>
          <w:szCs w:val="32"/>
          <w:lang w:val="zh-CN"/>
        </w:rPr>
        <w:t>亿元，全市旅游总收入年均增长超过</w:t>
      </w:r>
      <w:r>
        <w:rPr>
          <w:rFonts w:ascii="Times New Roman" w:hAnsi="Times New Roman" w:eastAsia="方正仿宋_GBK" w:cs="Times New Roman"/>
          <w:sz w:val="32"/>
          <w:szCs w:val="32"/>
        </w:rPr>
        <w:t>1</w:t>
      </w:r>
      <w:r>
        <w:rPr>
          <w:rFonts w:ascii="Times New Roman" w:hAnsi="Times New Roman" w:eastAsia="方正仿宋_GBK" w:cs="Times New Roman"/>
          <w:sz w:val="32"/>
          <w:szCs w:val="32"/>
          <w:lang w:val="zh-CN"/>
        </w:rPr>
        <w:t>0%</w:t>
      </w:r>
      <w:r>
        <w:rPr>
          <w:rFonts w:hint="eastAsia" w:ascii="Times New Roman" w:hAnsi="Times New Roman" w:eastAsia="方正仿宋_GBK" w:cs="Times New Roman"/>
          <w:sz w:val="32"/>
          <w:szCs w:val="32"/>
          <w:lang w:val="zh-CN"/>
        </w:rPr>
        <w:t>，过夜游客占比达到</w:t>
      </w:r>
      <w:r>
        <w:rPr>
          <w:rFonts w:ascii="Times New Roman" w:hAnsi="Times New Roman" w:eastAsia="方正仿宋_GBK" w:cs="Times New Roman"/>
          <w:sz w:val="32"/>
          <w:szCs w:val="32"/>
          <w:lang w:val="zh-CN"/>
        </w:rPr>
        <w:t>55%</w:t>
      </w:r>
      <w:r>
        <w:rPr>
          <w:rFonts w:hint="eastAsia" w:ascii="Times New Roman" w:hAnsi="Times New Roman" w:eastAsia="方正仿宋_GBK" w:cs="Times New Roman"/>
          <w:sz w:val="32"/>
          <w:szCs w:val="32"/>
          <w:lang w:val="zh-CN"/>
        </w:rPr>
        <w:t>以上，进入全省旅游</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第一方阵</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完善旅游服务运营体系。</w:t>
      </w:r>
      <w:r>
        <w:rPr>
          <w:rFonts w:hint="eastAsia" w:ascii="Times New Roman" w:hAnsi="Times New Roman" w:eastAsia="方正仿宋_GBK" w:cs="Times New Roman"/>
          <w:sz w:val="32"/>
          <w:szCs w:val="32"/>
          <w:lang w:val="zh-CN"/>
        </w:rPr>
        <w:t>提升旅游服务质量，打造宜游软环境。建立集旅游集散、文化展示、宣传营销为一体的句容全域旅游服务中心。依托</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句容福道</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建设，提升沿线景区的通达性，辅以公共厕所、停车位、道路标识标牌等设施，打造</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快进慢游</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的旅游交通体系。实施目的地形象塑造工程，围绕</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一部手机游句容</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的智慧云平台建设，构建</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新媒体、全品类、全民互动</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的营销体系，推进全域智慧旅游建设。有效整合全市文旅公共资源，创新旅游体制机制，加快组建市文旅集团，围绕发展全域旅游，系统谋划、专业策划、精准规划、有序计划</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四划</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并举，推动农文旅深度融合发展。</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强化宝华山与茅山的龙头引领。</w:t>
      </w:r>
      <w:r>
        <w:rPr>
          <w:rFonts w:hint="eastAsia" w:ascii="Times New Roman" w:hAnsi="Times New Roman" w:eastAsia="方正仿宋_GBK" w:cs="Times New Roman"/>
          <w:sz w:val="32"/>
          <w:szCs w:val="32"/>
          <w:lang w:val="zh-CN"/>
        </w:rPr>
        <w:t>强化</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北佛南道</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句容旅游基础格局，锻造宝华山、茅山两大世界级文化旅游产品，抓好重点旅游项目建设，在现有存量中挖掘培育一批优质增量。宝华山围绕</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山中持戒悟道、山下阅尽繁华</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通过律宗主题的佛教体验式项目整合观光旅游、文化体验等多元属性，推动山南山北联动发展，打造禅意旅居度假目的地。茅山着力构建具备绿色生态体验、红色文化教育、紫色道法养生、蓝色空游水游和夜游茅山的</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五色</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系列的旅游产品，打造“拥有远程号召力、吸引顶级流量”的旅游度假胜地。近期重点围绕</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山、水、道</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的元素，高水准做好</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一山三湖</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综合开发。</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十四五</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期间，力争茅山湖旅游度假区晋级国家级度假区，宝华山国家森林公园争创国家</w:t>
      </w:r>
      <w:r>
        <w:rPr>
          <w:rFonts w:ascii="Times New Roman" w:hAnsi="Times New Roman" w:eastAsia="方正仿宋_GBK" w:cs="Times New Roman"/>
          <w:sz w:val="32"/>
          <w:szCs w:val="32"/>
          <w:lang w:val="zh-CN"/>
        </w:rPr>
        <w:t>5A</w:t>
      </w:r>
      <w:r>
        <w:rPr>
          <w:rFonts w:hint="eastAsia" w:ascii="Times New Roman" w:hAnsi="Times New Roman" w:eastAsia="方正仿宋_GBK" w:cs="Times New Roman"/>
          <w:sz w:val="32"/>
          <w:szCs w:val="32"/>
          <w:lang w:val="zh-CN"/>
        </w:rPr>
        <w:t>级景区，全市新增</w:t>
      </w:r>
      <w:r>
        <w:rPr>
          <w:rFonts w:ascii="Times New Roman" w:hAnsi="Times New Roman" w:eastAsia="方正仿宋_GBK" w:cs="Times New Roman"/>
          <w:sz w:val="32"/>
          <w:szCs w:val="32"/>
        </w:rPr>
        <w:t>1</w:t>
      </w:r>
      <w:r>
        <w:rPr>
          <w:rFonts w:ascii="Times New Roman" w:hAnsi="Times New Roman" w:eastAsia="方正仿宋_GBK" w:cs="Times New Roman"/>
          <w:sz w:val="32"/>
          <w:szCs w:val="32"/>
          <w:lang w:val="zh-CN"/>
        </w:rPr>
        <w:t>-</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zh-CN"/>
        </w:rPr>
        <w:t>家</w:t>
      </w:r>
      <w:r>
        <w:rPr>
          <w:rFonts w:ascii="Times New Roman" w:hAnsi="Times New Roman" w:eastAsia="方正仿宋_GBK" w:cs="Times New Roman"/>
          <w:sz w:val="32"/>
          <w:szCs w:val="32"/>
          <w:lang w:val="zh-CN"/>
        </w:rPr>
        <w:t>4A</w:t>
      </w:r>
      <w:r>
        <w:rPr>
          <w:rFonts w:hint="eastAsia" w:ascii="Times New Roman" w:hAnsi="Times New Roman" w:eastAsia="方正仿宋_GBK" w:cs="Times New Roman"/>
          <w:sz w:val="32"/>
          <w:szCs w:val="32"/>
          <w:lang w:val="zh-CN"/>
        </w:rPr>
        <w:t>以上景区和省级旅游度假区。</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打造享誉长三角的康养度假圣地。</w:t>
      </w:r>
      <w:r>
        <w:rPr>
          <w:rFonts w:hint="eastAsia" w:ascii="Times New Roman" w:hAnsi="Times New Roman" w:eastAsia="方正仿宋_GBK" w:cs="Times New Roman"/>
          <w:sz w:val="32"/>
          <w:szCs w:val="32"/>
        </w:rPr>
        <w:t>以建设福地底蕴、文化浸润、健康养生的山水田园宜居之城为目标，全面整合生态资源和周边医疗资源，拓展延伸亚健康治疗、康复服务、养生养老等健康产业链，</w:t>
      </w:r>
      <w:r>
        <w:rPr>
          <w:rFonts w:hint="eastAsia" w:ascii="Times New Roman" w:hAnsi="Times New Roman" w:eastAsia="方正仿宋_GBK" w:cs="Times New Roman"/>
          <w:sz w:val="32"/>
          <w:szCs w:val="32"/>
          <w:lang w:val="zh-CN"/>
        </w:rPr>
        <w:t>推动句容大健康产业发展</w:t>
      </w:r>
      <w:r>
        <w:rPr>
          <w:rFonts w:hint="eastAsia" w:ascii="Times New Roman" w:hAnsi="Times New Roman" w:eastAsia="方正仿宋_GBK" w:cs="Times New Roman"/>
          <w:sz w:val="32"/>
          <w:szCs w:val="32"/>
        </w:rPr>
        <w:t>。锚定中高端市场，打造以道家参禅悟道研习体验、中草药食疗保健为主题的养生养老业态体系。打造省级茅山湖康养风情小镇，以康缘中华养生谷、涵田茅山半岛度假村、茅山温泉谷、赛博悠游康养为核心产品，加快构建享誉长三角的高端康养产业集群。发展梵净花开、葡舍等精品民宿，提升句容旅游接待能力。支持兴办医养结合型养老机构，开展规范化、专业化、连锁化经营，鼓励社会力量创办养生养老服务机构。</w:t>
      </w:r>
    </w:p>
    <w:p>
      <w:pPr>
        <w:pStyle w:val="3"/>
        <w:spacing w:line="580" w:lineRule="exact"/>
        <w:rPr>
          <w:rFonts w:ascii="Times New Roman" w:hAnsi="Times New Roman"/>
          <w:bCs w:val="0"/>
        </w:rPr>
      </w:pPr>
      <w:bookmarkStart w:id="63" w:name="_Toc20738"/>
      <w:r>
        <w:rPr>
          <w:rFonts w:hint="eastAsia" w:ascii="Times New Roman" w:hAnsi="Times New Roman"/>
          <w:bCs w:val="0"/>
        </w:rPr>
        <w:t>第四节</w:t>
      </w:r>
      <w:r>
        <w:rPr>
          <w:rFonts w:ascii="Times New Roman" w:hAnsi="Times New Roman"/>
          <w:bCs w:val="0"/>
        </w:rPr>
        <w:t xml:space="preserve"> </w:t>
      </w:r>
      <w:r>
        <w:rPr>
          <w:rFonts w:hint="eastAsia" w:ascii="Times New Roman" w:hAnsi="Times New Roman"/>
          <w:bCs w:val="0"/>
        </w:rPr>
        <w:t>推动产业升级改造</w:t>
      </w:r>
      <w:bookmarkEnd w:id="63"/>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推动传统产业升级改造。</w:t>
      </w:r>
      <w:r>
        <w:rPr>
          <w:rFonts w:hint="eastAsia" w:ascii="Times New Roman" w:hAnsi="Times New Roman" w:eastAsia="方正仿宋_GBK" w:cs="Times New Roman"/>
          <w:sz w:val="32"/>
          <w:szCs w:val="32"/>
        </w:rPr>
        <w:t>加快推进信息化和工业化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两化融合</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走新型工业化道路，推动传统产业向高端化、智能化、绿色化方向深度转型。利用新技术、新工艺、新设备，结合新业态，改造提升句容原有的食品加工、纺织服装、纸箱包装、运动器材等传统制造业，不断提升产业的附加值与竞争力。加快推动军民融合产业发展，围绕航空航天、新材料、特种车辆、船舶与海工装备、新一代信息技术，推进一批军民融合产业项目，引进培育一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民参军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企业，强化示范引领。坚持市场导向和消费导向，主动适应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宁句一体化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消费需求新特征，挖掘、整合、包装本地商贸品牌，不断创新服务供给，着力构建布局合理、功能完善、配套齐全、能提供优质购物体验的现代商贸业发展体系。推动商务服务、人力资源、节能环保等生产性服务业加快发展，扩大文化体育、教育培训、健康服务、家庭服务等社会服务有效供给。</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整合提升产业园区能级。</w:t>
      </w:r>
      <w:r>
        <w:rPr>
          <w:rFonts w:hint="eastAsia" w:ascii="Times New Roman" w:hAnsi="Times New Roman" w:eastAsia="方正仿宋_GBK" w:cs="Times New Roman"/>
          <w:sz w:val="32"/>
          <w:szCs w:val="32"/>
        </w:rPr>
        <w:t>坚持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科技园</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产业园</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两大形态、双轮驱动，紧扣</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一特三提升</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，深入实施园区升级工程，推动园区发展动力向产业链配套驱动、服务驱动、创新驱动转换。开发区整合提升现有产业种类和规模，精心打造产业</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园中园</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，形成</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一区多园、一园一特色、一园一产业链</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的发展格局，打造成句容高质量发展的动力源泉和强力引擎。郭庄积极布局</w:t>
      </w:r>
      <w:r>
        <w:rPr>
          <w:rFonts w:ascii="Times New Roman" w:hAnsi="Times New Roman" w:eastAsia="方正仿宋_GBK" w:cs="Times New Roman"/>
          <w:sz w:val="32"/>
          <w:szCs w:val="32"/>
        </w:rPr>
        <w:t>5G</w:t>
      </w:r>
      <w:r>
        <w:rPr>
          <w:rFonts w:hint="eastAsia" w:ascii="Times New Roman" w:hAnsi="Times New Roman" w:eastAsia="方正仿宋_GBK" w:cs="Times New Roman"/>
          <w:sz w:val="32"/>
          <w:szCs w:val="32"/>
        </w:rPr>
        <w:t>智慧能源产业园系列项目，重点发展新能源产业核心技术及零部件制造，积极培育节能环保等新兴产业，建成宁杭生态经济带上的低碳经济发展先行区和新兴产业重要聚集地。下蜀围绕</w:t>
      </w:r>
      <w:r>
        <w:rPr>
          <w:rFonts w:ascii="Times New Roman" w:hAnsi="Times New Roman" w:eastAsia="方正仿宋_GBK" w:cs="Times New Roman"/>
          <w:sz w:val="32"/>
          <w:szCs w:val="32"/>
        </w:rPr>
        <w:t>G312</w:t>
      </w:r>
      <w:r>
        <w:rPr>
          <w:rFonts w:hint="eastAsia" w:ascii="Times New Roman" w:hAnsi="Times New Roman" w:eastAsia="方正仿宋_GBK" w:cs="Times New Roman"/>
          <w:sz w:val="32"/>
          <w:szCs w:val="32"/>
        </w:rPr>
        <w:t>产业创新走廊建设，盘活闲置低效用地，配套科技孵化载体，延伸产业链条，大力发展节能环保、循环经济、新材料产业，争创国家级建筑产业现代化示范区。</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支持建筑业和房地产健康发展。</w:t>
      </w:r>
      <w:r>
        <w:rPr>
          <w:rFonts w:hint="eastAsia" w:ascii="Times New Roman" w:hAnsi="Times New Roman" w:eastAsia="方正仿宋_GBK" w:cs="Times New Roman"/>
          <w:sz w:val="32"/>
          <w:szCs w:val="32"/>
        </w:rPr>
        <w:t>支持建筑企业走专业化发展道路，不断升级资质。鼓励骨干企业整合人才、装备、资产、业绩等资源，组建集团公司，做大做强。培育一批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专精特新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优势企业，不断开拓市场，增强竞争力。坚持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房住不炒</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定位不动摇，按照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稳地价、稳房价、稳预期</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要求，优化供给结构，改善供给质量，满足不同住房需求，完善基础设施和公共服务配套，促进房地产市场平稳健康发展。</w:t>
      </w:r>
    </w:p>
    <w:p>
      <w:pPr>
        <w:pStyle w:val="3"/>
        <w:spacing w:line="580" w:lineRule="exact"/>
        <w:rPr>
          <w:rFonts w:ascii="Times New Roman" w:hAnsi="Times New Roman"/>
          <w:bCs w:val="0"/>
        </w:rPr>
      </w:pPr>
      <w:bookmarkStart w:id="64" w:name="_Toc22767"/>
      <w:r>
        <w:rPr>
          <w:rFonts w:hint="eastAsia" w:ascii="Times New Roman" w:hAnsi="Times New Roman"/>
          <w:bCs w:val="0"/>
        </w:rPr>
        <w:t>第五节</w:t>
      </w:r>
      <w:r>
        <w:rPr>
          <w:rFonts w:ascii="Times New Roman" w:hAnsi="Times New Roman"/>
          <w:bCs w:val="0"/>
        </w:rPr>
        <w:t xml:space="preserve"> </w:t>
      </w:r>
      <w:r>
        <w:rPr>
          <w:rFonts w:hint="eastAsia" w:ascii="Times New Roman" w:hAnsi="Times New Roman"/>
          <w:bCs w:val="0"/>
        </w:rPr>
        <w:t>打造一流创新生态环境</w:t>
      </w:r>
      <w:bookmarkEnd w:id="64"/>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培育富有活力的创新主体。</w:t>
      </w:r>
      <w:r>
        <w:rPr>
          <w:rFonts w:hint="eastAsia" w:ascii="Times New Roman" w:hAnsi="Times New Roman" w:eastAsia="方正仿宋_GBK" w:cs="Times New Roman"/>
          <w:sz w:val="32"/>
          <w:szCs w:val="32"/>
        </w:rPr>
        <w:t>以兆鋆科技、建华建材等大中型工业企业和规上高新技术企业为重点，加快产学研深度融合，推进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三站三中心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企业研发机构建设，着力构建层次鲜明的创新型领军企业、高新技术企业和民营科技型企业创新梯队，培育更多的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科技小巨人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。鼓励引导重点企业与高校院所</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联姻</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，共同攻关</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卡脖子</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的技术，构建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政产学研用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协同创新体系。建立高企培育库，实施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小升高</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行动计划，促进科技型中小微企业加速成长为高新技术企业。到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eastAsia="zh-CN"/>
        </w:rPr>
        <w:t>高新技术产业产值占规模以上工业产值比重达</w:t>
      </w:r>
      <w:r>
        <w:rPr>
          <w:rFonts w:hint="eastAsia" w:ascii="Times New Roman" w:hAnsi="Times New Roman" w:eastAsia="方正仿宋_GBK" w:cs="Times New Roman"/>
          <w:sz w:val="32"/>
          <w:szCs w:val="32"/>
          <w:lang w:val="en-US" w:eastAsia="zh-CN"/>
        </w:rPr>
        <w:t>45</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推进创新载体特色化发展。</w:t>
      </w:r>
      <w:r>
        <w:rPr>
          <w:rFonts w:hint="eastAsia" w:ascii="Times New Roman" w:hAnsi="Times New Roman" w:eastAsia="方正仿宋_GBK" w:cs="Times New Roman"/>
          <w:sz w:val="32"/>
          <w:szCs w:val="32"/>
        </w:rPr>
        <w:t>强化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园区为重点、基地为带动、平台为支撑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的创新载体布局，重点打造</w:t>
      </w:r>
      <w:r>
        <w:rPr>
          <w:rFonts w:ascii="Times New Roman" w:hAnsi="Times New Roman" w:eastAsia="方正仿宋_GBK" w:cs="Times New Roman"/>
          <w:sz w:val="32"/>
          <w:szCs w:val="32"/>
        </w:rPr>
        <w:t>“1+2+3+4”</w:t>
      </w:r>
      <w:r>
        <w:rPr>
          <w:rFonts w:hint="eastAsia" w:ascii="Times New Roman" w:hAnsi="Times New Roman" w:eastAsia="方正仿宋_GBK" w:cs="Times New Roman"/>
          <w:sz w:val="32"/>
          <w:szCs w:val="32"/>
        </w:rPr>
        <w:t>分层次、差异化的创新空间。积极创建省级高新区，集聚更多高新技术产业、高层次人才、科研机构，打造创新成果产业化的新高地。依托句容国家现代农业示范区、镇江国家农业科技园区，创建省级农业高新技术产业示范区，形成句容农业科技创新引领的核心区，树立江苏省乃至全国丘陵地区科技引领农业发展的标杆。</w:t>
      </w:r>
    </w:p>
    <w:p>
      <w:pPr>
        <w:adjustRightInd w:val="0"/>
        <w:snapToGrid w:val="0"/>
        <w:spacing w:line="560" w:lineRule="exact"/>
        <w:rPr>
          <w:rFonts w:ascii="Times New Roman" w:hAnsi="Times New Roman" w:eastAsia="仿宋" w:cs="Times New Roman"/>
          <w:sz w:val="32"/>
          <w:szCs w:val="32"/>
        </w:rPr>
      </w:pP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0"/>
              <w:pBdr>
                <w:bottom w:val="single" w:color="auto" w:sz="4" w:space="1"/>
              </w:pBdr>
              <w:spacing w:beforeLines="50" w:beforeAutospacing="0" w:afterLines="50" w:afterAutospacing="0"/>
              <w:ind w:left="-141" w:leftChars="-67" w:right="-197" w:rightChars="-94"/>
              <w:jc w:val="center"/>
              <w:rPr>
                <w:rFonts w:eastAsia="方正黑体_GBK"/>
                <w:kern w:val="2"/>
                <w:szCs w:val="24"/>
                <w:lang w:val="zh-CN"/>
              </w:rPr>
            </w:pPr>
            <w:r>
              <w:rPr>
                <w:rFonts w:hint="eastAsia" w:eastAsia="方正黑体_GBK"/>
                <w:kern w:val="2"/>
                <w:szCs w:val="24"/>
                <w:lang w:val="zh-CN"/>
              </w:rPr>
              <w:t>专栏</w:t>
            </w:r>
            <w:r>
              <w:rPr>
                <w:rFonts w:eastAsia="方正黑体_GBK"/>
                <w:kern w:val="2"/>
                <w:szCs w:val="24"/>
                <w:lang w:val="zh-CN"/>
              </w:rPr>
              <w:t>3</w:t>
            </w:r>
            <w:r>
              <w:rPr>
                <w:rFonts w:eastAsia="方正黑体_GBK"/>
                <w:kern w:val="2"/>
                <w:szCs w:val="24"/>
              </w:rPr>
              <w:t xml:space="preserve"> </w:t>
            </w:r>
            <w:r>
              <w:rPr>
                <w:rFonts w:hint="eastAsia" w:eastAsia="方正黑体_GBK"/>
                <w:kern w:val="2"/>
                <w:szCs w:val="24"/>
                <w:lang w:val="zh-CN"/>
              </w:rPr>
              <w:t>全域创新空间布局及载体</w:t>
            </w:r>
          </w:p>
          <w:p>
            <w:pPr>
              <w:pStyle w:val="20"/>
              <w:spacing w:before="0" w:beforeAutospacing="0" w:afterLines="50" w:afterAutospacing="0" w:line="288" w:lineRule="auto"/>
              <w:ind w:firstLine="480" w:firstLineChars="200"/>
              <w:jc w:val="both"/>
              <w:rPr>
                <w:kern w:val="2"/>
                <w:szCs w:val="24"/>
                <w:lang w:val="zh-CN"/>
              </w:rPr>
            </w:pPr>
            <w:r>
              <w:rPr>
                <w:kern w:val="2"/>
                <w:szCs w:val="24"/>
                <w:lang w:val="zh-CN"/>
              </w:rPr>
              <w:t>1</w:t>
            </w:r>
            <w:r>
              <w:rPr>
                <w:rFonts w:hint="eastAsia"/>
                <w:kern w:val="2"/>
                <w:szCs w:val="24"/>
                <w:lang w:val="zh-CN"/>
              </w:rPr>
              <w:t>个创新核心：中心城区。依托省高创句容孵化基地、东软大学生创新创业园等新型创新孵化园区，打造功能复合的产学研一体化中心</w:t>
            </w:r>
          </w:p>
          <w:p>
            <w:pPr>
              <w:pStyle w:val="20"/>
              <w:spacing w:before="0" w:beforeAutospacing="0" w:afterLines="50" w:afterAutospacing="0" w:line="288" w:lineRule="auto"/>
              <w:ind w:firstLine="480" w:firstLineChars="200"/>
              <w:jc w:val="both"/>
              <w:rPr>
                <w:kern w:val="2"/>
                <w:szCs w:val="24"/>
                <w:lang w:val="zh-CN"/>
              </w:rPr>
            </w:pPr>
            <w:r>
              <w:rPr>
                <w:kern w:val="2"/>
                <w:szCs w:val="24"/>
                <w:lang w:val="zh-CN"/>
              </w:rPr>
              <w:t>2</w:t>
            </w:r>
            <w:r>
              <w:rPr>
                <w:rFonts w:hint="eastAsia"/>
                <w:kern w:val="2"/>
                <w:szCs w:val="24"/>
                <w:lang w:val="zh-CN"/>
              </w:rPr>
              <w:t>个科创区：宝华</w:t>
            </w:r>
            <w:r>
              <w:rPr>
                <w:kern w:val="2"/>
                <w:szCs w:val="24"/>
                <w:lang w:val="zh-CN"/>
              </w:rPr>
              <w:t>+</w:t>
            </w:r>
            <w:r>
              <w:rPr>
                <w:rFonts w:hint="eastAsia"/>
                <w:kern w:val="2"/>
                <w:szCs w:val="24"/>
                <w:lang w:val="zh-CN"/>
              </w:rPr>
              <w:t>赤山湖科创区。重点布局创新创业孵化平台、中端创新功能。依托南京大学</w:t>
            </w:r>
            <w:r>
              <w:rPr>
                <w:kern w:val="2"/>
                <w:szCs w:val="24"/>
                <w:lang w:val="zh-CN"/>
              </w:rPr>
              <w:t>•</w:t>
            </w:r>
            <w:r>
              <w:rPr>
                <w:rFonts w:hint="eastAsia"/>
                <w:kern w:val="2"/>
                <w:szCs w:val="24"/>
                <w:lang w:val="zh-CN"/>
              </w:rPr>
              <w:t>句容创新创业示范园、万城青年人才创业园、南京中小企业创业园、江苏东恒空港高新技术产业园等创新载体，着力打造服务青年创新创业的孵化苗圃</w:t>
            </w:r>
          </w:p>
          <w:p>
            <w:pPr>
              <w:pStyle w:val="20"/>
              <w:spacing w:before="0" w:beforeAutospacing="0" w:afterLines="50" w:afterAutospacing="0" w:line="288" w:lineRule="auto"/>
              <w:ind w:firstLine="480" w:firstLineChars="200"/>
              <w:jc w:val="both"/>
              <w:rPr>
                <w:kern w:val="2"/>
                <w:szCs w:val="24"/>
                <w:lang w:val="zh-CN"/>
              </w:rPr>
            </w:pPr>
            <w:r>
              <w:rPr>
                <w:kern w:val="2"/>
                <w:szCs w:val="24"/>
                <w:lang w:val="zh-CN"/>
              </w:rPr>
              <w:t>3</w:t>
            </w:r>
            <w:r>
              <w:rPr>
                <w:rFonts w:hint="eastAsia"/>
                <w:kern w:val="2"/>
                <w:szCs w:val="24"/>
                <w:lang w:val="zh-CN"/>
              </w:rPr>
              <w:t>个智造区：开发区、下蜀、郭庄智造集聚区。围绕本地优势产业形成研发</w:t>
            </w:r>
            <w:r>
              <w:rPr>
                <w:kern w:val="2"/>
                <w:szCs w:val="24"/>
                <w:lang w:val="zh-CN"/>
              </w:rPr>
              <w:t>—</w:t>
            </w:r>
            <w:r>
              <w:rPr>
                <w:rFonts w:hint="eastAsia"/>
                <w:kern w:val="2"/>
                <w:szCs w:val="24"/>
                <w:lang w:val="zh-CN"/>
              </w:rPr>
              <w:t>生产集群，加快省高创、富达、容宁、崇明等一批高等级创新平台和优势产业园区的结合，加快联东</w:t>
            </w:r>
            <w:r>
              <w:rPr>
                <w:kern w:val="2"/>
                <w:szCs w:val="24"/>
                <w:lang w:val="zh-CN"/>
              </w:rPr>
              <w:t>U</w:t>
            </w:r>
            <w:r>
              <w:rPr>
                <w:rFonts w:hint="eastAsia"/>
                <w:kern w:val="2"/>
                <w:szCs w:val="24"/>
                <w:lang w:val="zh-CN"/>
              </w:rPr>
              <w:t>谷句容开发区科技产业园、启迪数字城等新型创新产业园区的建设，布局包含企业加速器、生产商、云平台等创新载体的后端创新综合体</w:t>
            </w:r>
          </w:p>
          <w:p>
            <w:pPr>
              <w:pStyle w:val="20"/>
              <w:spacing w:before="0" w:beforeAutospacing="0" w:afterLines="50" w:afterAutospacing="0" w:line="288" w:lineRule="auto"/>
              <w:ind w:firstLine="480" w:firstLineChars="200"/>
              <w:jc w:val="both"/>
              <w:rPr>
                <w:rFonts w:eastAsia="Times New Roman"/>
                <w:kern w:val="2"/>
                <w:sz w:val="28"/>
                <w:szCs w:val="28"/>
              </w:rPr>
            </w:pPr>
            <w:r>
              <w:rPr>
                <w:kern w:val="2"/>
                <w:szCs w:val="24"/>
                <w:lang w:val="zh-CN"/>
              </w:rPr>
              <w:t>4</w:t>
            </w:r>
            <w:r>
              <w:rPr>
                <w:rFonts w:hint="eastAsia"/>
                <w:kern w:val="2"/>
                <w:szCs w:val="24"/>
                <w:lang w:val="zh-CN"/>
              </w:rPr>
              <w:t>个微创谷：宝华创新社区、下蜀创业社区、句容绿色新能源小镇、华阳通航小镇。各板块依托自身产业基础、自然景观、特色项目等，着重引进科研创新机构、工程研发中心，形成集创新孵化、人才培养、技术转化于一体的小体量创新载体</w:t>
            </w:r>
          </w:p>
        </w:tc>
      </w:tr>
    </w:tbl>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加强创新生态系统建设。</w:t>
      </w:r>
      <w:r>
        <w:rPr>
          <w:rFonts w:hint="eastAsia" w:ascii="Times New Roman" w:hAnsi="Times New Roman" w:eastAsia="方正仿宋_GBK" w:cs="Times New Roman"/>
          <w:sz w:val="32"/>
          <w:szCs w:val="32"/>
        </w:rPr>
        <w:t>整合现有的富达创业园、容宁创业园、省高创句容分中心、华东科技新城创新中心等近</w:t>
      </w:r>
      <w:r>
        <w:rPr>
          <w:rFonts w:ascii="Times New Roman" w:hAnsi="Times New Roman" w:eastAsia="方正仿宋_GBK" w:cs="Times New Roman"/>
          <w:sz w:val="32"/>
          <w:szCs w:val="32"/>
        </w:rPr>
        <w:t>15</w:t>
      </w:r>
      <w:r>
        <w:rPr>
          <w:rFonts w:hint="eastAsia" w:ascii="Times New Roman" w:hAnsi="Times New Roman" w:eastAsia="方正仿宋_GBK" w:cs="Times New Roman"/>
          <w:sz w:val="32"/>
          <w:szCs w:val="32"/>
        </w:rPr>
        <w:t>家孵化基地，搭建集</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创业苗圃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孵化器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加速器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产业园区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于一体的创业孵化链条。完善全周期创新服务体系。通过政府主导，建立科技企业孵化器、科技中介服务机构、投融资机构、科技企业等专业孵化器联盟，实现优势互补、资源共享，为创新创业提供开放式综合服务。发挥</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苏科贷</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镇科贷</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科才贷</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等金融产品杠杆的功能，最大限度降低融资门槛成本。大力招引或参股</w:t>
      </w:r>
      <w:r>
        <w:rPr>
          <w:rFonts w:ascii="Times New Roman" w:hAnsi="Times New Roman" w:eastAsia="方正仿宋_GBK" w:cs="Times New Roman"/>
          <w:sz w:val="32"/>
          <w:szCs w:val="32"/>
        </w:rPr>
        <w:t>VC</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PE</w:t>
      </w:r>
      <w:r>
        <w:rPr>
          <w:rFonts w:hint="eastAsia" w:ascii="Times New Roman" w:hAnsi="Times New Roman" w:eastAsia="方正仿宋_GBK" w:cs="Times New Roman"/>
          <w:sz w:val="32"/>
          <w:szCs w:val="32"/>
        </w:rPr>
        <w:t>等创投机构，提高创新投融资服务水平。推进科技融资平台、科技金融综合服务平台建设，培育壮大股权投资引导基金规模，大力发展科技保险和普惠金融。健全知识产权保护运用，聚焦重点产业领域，支持骨干企业与高校院所联合开展产业共性关键技术研发，围绕核心技术和关键环节构建高价值专利或专利组合，促进高价值专利产出。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年，每万人口高价值发明专利拥有量达</w:t>
      </w: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rPr>
        <w:t>件。</w:t>
      </w:r>
    </w:p>
    <w:p>
      <w:pPr>
        <w:spacing w:line="560" w:lineRule="exact"/>
        <w:ind w:firstLine="640" w:firstLineChars="200"/>
        <w:rPr>
          <w:rFonts w:hint="eastAsia" w:ascii="Times New Roman" w:hAnsi="Times New Roman" w:eastAsia="方正仿宋_GBK" w:cs="Times New Roman"/>
          <w:bCs w:val="0"/>
          <w:lang w:eastAsia="zh-CN"/>
        </w:rPr>
      </w:pPr>
      <w:r>
        <w:rPr>
          <w:rFonts w:hint="eastAsia" w:ascii="Times New Roman" w:hAnsi="Times New Roman" w:eastAsia="方正楷体_GBK" w:cs="Times New Roman"/>
          <w:sz w:val="32"/>
          <w:szCs w:val="32"/>
        </w:rPr>
        <w:t>提升创新人才服务质量。</w:t>
      </w:r>
      <w:r>
        <w:rPr>
          <w:rFonts w:hint="eastAsia" w:ascii="Times New Roman" w:hAnsi="Times New Roman" w:eastAsia="方正仿宋_GBK" w:cs="Times New Roman"/>
          <w:sz w:val="32"/>
          <w:szCs w:val="32"/>
        </w:rPr>
        <w:t>以</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福地英才</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计划为抓手，围绕重点产业发展，贴近企业需求，引才聚才。积极对接国家重点人才计划、省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双创计划</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及市级各类人才计划，引进海内外高端人才与团队。鼓励企事业单位与国内外高校院所项目团队开展合作，通过成果转化、技术转让、技术指导等形式引进人才。加快技能型人才、技术蓝领的培养，推进句容中专校与省农林职业技术学院深度合作，组建职教产业联盟，强化高素质劳动力供给。加强对企业家、高级经营管理人才和专业技能人才队伍的培训，强化产业工人队伍建设。妥善解决人才在句容居住、落户、医疗、子女教育、保险、融资等方面问题。建立多主体供给、多渠道保障、租购并举的人才安居政策体系，优化人才住房分层次、多方式配置。</w:t>
      </w:r>
      <w:bookmarkStart w:id="65" w:name="_Toc25460"/>
    </w:p>
    <w:p>
      <w:pPr>
        <w:pStyle w:val="2"/>
        <w:adjustRightInd w:val="0"/>
        <w:snapToGrid w:val="0"/>
        <w:spacing w:before="0" w:after="0" w:line="560" w:lineRule="exact"/>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ascii="Times New Roman" w:hAnsi="Times New Roman" w:cs="Times New Roman"/>
          <w:bCs w:val="0"/>
        </w:rPr>
      </w:pPr>
      <w:r>
        <w:rPr>
          <w:rFonts w:hint="eastAsia" w:ascii="Times New Roman" w:hAnsi="Times New Roman" w:cs="Times New Roman"/>
          <w:bCs w:val="0"/>
        </w:rPr>
        <w:t>第五章</w:t>
      </w:r>
      <w:r>
        <w:rPr>
          <w:rFonts w:ascii="Times New Roman" w:hAnsi="Times New Roman" w:cs="Times New Roman"/>
          <w:bCs w:val="0"/>
        </w:rPr>
        <w:t xml:space="preserve"> </w:t>
      </w:r>
      <w:r>
        <w:rPr>
          <w:rFonts w:hint="eastAsia" w:ascii="Times New Roman" w:hAnsi="Times New Roman" w:cs="Times New Roman"/>
          <w:bCs w:val="0"/>
        </w:rPr>
        <w:t>加快城乡一体进程</w:t>
      </w:r>
      <w:bookmarkEnd w:id="65"/>
    </w:p>
    <w:p>
      <w:pPr>
        <w:pStyle w:val="2"/>
        <w:adjustRightInd w:val="0"/>
        <w:snapToGrid w:val="0"/>
        <w:spacing w:before="0" w:after="0" w:line="560" w:lineRule="exact"/>
        <w:rPr>
          <w:rFonts w:ascii="Times New Roman" w:hAnsi="Times New Roman" w:cs="Times New Roman"/>
          <w:bCs w:val="0"/>
        </w:rPr>
      </w:pPr>
      <w:bookmarkStart w:id="66" w:name="_Toc31410"/>
      <w:r>
        <w:rPr>
          <w:rFonts w:hint="eastAsia" w:ascii="Times New Roman" w:hAnsi="Times New Roman" w:cs="Times New Roman"/>
          <w:bCs w:val="0"/>
        </w:rPr>
        <w:t>构筑市域特色空间格局</w:t>
      </w:r>
      <w:bookmarkEnd w:id="66"/>
    </w:p>
    <w:p>
      <w:pPr>
        <w:rPr>
          <w:rFonts w:ascii="Times New Roman" w:hAnsi="Times New Roman" w:cs="Times New Roman"/>
          <w:sz w:val="44"/>
          <w:szCs w:val="48"/>
        </w:rPr>
      </w:pP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合理构建城乡发展战略格局，培育特色发展新空间，全面提升城市空间内涵与质量，彰显城市魅力，为句容市打造</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一福地四名城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提供高质量的空间要素保障。</w:t>
      </w:r>
    </w:p>
    <w:p>
      <w:pPr>
        <w:pStyle w:val="3"/>
        <w:spacing w:line="580" w:lineRule="exact"/>
        <w:rPr>
          <w:rFonts w:ascii="Times New Roman" w:hAnsi="Times New Roman"/>
          <w:bCs w:val="0"/>
        </w:rPr>
      </w:pPr>
      <w:bookmarkStart w:id="67" w:name="_Toc30593"/>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统筹全域空间格局</w:t>
      </w:r>
      <w:bookmarkEnd w:id="67"/>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实施城区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强心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、中部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塑轴</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、交界</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融边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、南北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串廊</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的四大空间发展策略，全面塑造句容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一核一轴两心两廊</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的城乡发展空间结构，提升中心城区显示度，强化中部自主发展能力，并进一步借助交通与区位优势提升宁句同城化的融合发展水平。</w:t>
      </w:r>
    </w:p>
    <w:p>
      <w:pPr>
        <w:keepNext/>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4467225" cy="3086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467225" cy="3086100"/>
                    </a:xfrm>
                    <a:prstGeom prst="rect">
                      <a:avLst/>
                    </a:prstGeom>
                    <a:noFill/>
                    <a:ln>
                      <a:noFill/>
                    </a:ln>
                  </pic:spPr>
                </pic:pic>
              </a:graphicData>
            </a:graphic>
          </wp:inline>
        </w:drawing>
      </w:r>
    </w:p>
    <w:p>
      <w:pPr>
        <w:jc w:val="center"/>
        <w:rPr>
          <w:rFonts w:ascii="Times New Roman" w:hAnsi="Times New Roman" w:eastAsia="楷体_GB2312" w:cs="Times New Roman"/>
          <w:szCs w:val="20"/>
        </w:rPr>
      </w:pPr>
      <w:r>
        <w:rPr>
          <w:rFonts w:hint="eastAsia" w:ascii="Times New Roman" w:hAnsi="Times New Roman" w:eastAsia="楷体_GB2312" w:cs="Times New Roman"/>
          <w:szCs w:val="20"/>
        </w:rPr>
        <w:t>图</w:t>
      </w:r>
      <w:r>
        <w:rPr>
          <w:rFonts w:ascii="Times New Roman" w:hAnsi="Times New Roman" w:eastAsia="楷体_GB2312" w:cs="Times New Roman"/>
          <w:szCs w:val="20"/>
        </w:rPr>
        <w:t xml:space="preserve">1 </w:t>
      </w:r>
      <w:r>
        <w:rPr>
          <w:rFonts w:hint="eastAsia" w:ascii="Times New Roman" w:hAnsi="Times New Roman" w:eastAsia="楷体_GB2312" w:cs="Times New Roman"/>
          <w:szCs w:val="20"/>
        </w:rPr>
        <w:t>市域空间结构图</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城区</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强心</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策略。</w:t>
      </w:r>
      <w:r>
        <w:rPr>
          <w:rFonts w:hint="eastAsia" w:ascii="Times New Roman" w:hAnsi="Times New Roman" w:eastAsia="方正仿宋_GBK" w:cs="Times New Roman"/>
          <w:sz w:val="32"/>
          <w:szCs w:val="32"/>
        </w:rPr>
        <w:t>充分利用双铁贯通的机遇，着重提升城区的集散、服务能力，强化与南京的发展合作，融入紫东整体战略布局。完善中心城区基础设施建设，提升城市品质和产业层次，促进城区成为统筹全域、辐射板块的强大核心。</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中部</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塑轴</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策略。</w:t>
      </w:r>
      <w:r>
        <w:rPr>
          <w:rFonts w:hint="eastAsia" w:ascii="Times New Roman" w:hAnsi="Times New Roman" w:eastAsia="方正仿宋_GBK" w:cs="Times New Roman"/>
          <w:sz w:val="32"/>
          <w:szCs w:val="32"/>
        </w:rPr>
        <w:t>依托宁句城际线及市域（郊）铁路句容至茅山线，强化贯穿句容腹地的中部轴带建设，支撑宁句同城化发展，促进宁句间各类要素的互联互通，加强与紫东地区产业联动发展。利用城际轨道串联宁句公共服务设施和生态景观资源，成为城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强心</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的重要依托，以及支撑全域发展的脊柱型成长带。</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交界</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融边</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策略。</w:t>
      </w:r>
      <w:r>
        <w:rPr>
          <w:rFonts w:hint="eastAsia" w:ascii="Times New Roman" w:hAnsi="Times New Roman" w:eastAsia="方正仿宋_GBK" w:cs="Times New Roman"/>
          <w:sz w:val="32"/>
          <w:szCs w:val="32"/>
        </w:rPr>
        <w:t>抓住紫东创新走廊与南京都市圈环线高速建设的契机，推动下蜀、宝华、黄梅、郭庄四大跨界新城全方位对接南京，最大限度地发挥都市圈一体化效应。注重融合发展，龙潭</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下蜀围绕现代化港口建设宁镇产业协作示范区，仙林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宝华围绕科创主题建设宜居宜业新城，汤山</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黄梅围绕紫东科创资源建设创新创业基地，湖熟禄口</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郭庄围绕高铁空港建设新兴产业示范区。</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南北</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串廊</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策略。</w:t>
      </w:r>
      <w:r>
        <w:rPr>
          <w:rFonts w:hint="eastAsia" w:ascii="Times New Roman" w:hAnsi="Times New Roman" w:eastAsia="方正仿宋_GBK" w:cs="Times New Roman"/>
          <w:sz w:val="32"/>
          <w:szCs w:val="32"/>
        </w:rPr>
        <w:t>北部依托</w:t>
      </w:r>
      <w:r>
        <w:rPr>
          <w:rFonts w:ascii="Times New Roman" w:hAnsi="Times New Roman" w:eastAsia="方正仿宋_GBK" w:cs="Times New Roman"/>
          <w:sz w:val="32"/>
          <w:szCs w:val="32"/>
        </w:rPr>
        <w:t>G312</w:t>
      </w:r>
      <w:r>
        <w:rPr>
          <w:rFonts w:hint="eastAsia" w:ascii="Times New Roman" w:hAnsi="Times New Roman" w:eastAsia="方正仿宋_GBK" w:cs="Times New Roman"/>
          <w:sz w:val="32"/>
          <w:szCs w:val="32"/>
        </w:rPr>
        <w:t>产业创新走廊、</w:t>
      </w:r>
      <w:r>
        <w:rPr>
          <w:rFonts w:ascii="Times New Roman" w:hAnsi="Times New Roman" w:eastAsia="方正仿宋_GBK" w:cs="Times New Roman"/>
          <w:sz w:val="32"/>
          <w:szCs w:val="32"/>
        </w:rPr>
        <w:t>G42</w:t>
      </w:r>
      <w:r>
        <w:rPr>
          <w:rFonts w:hint="eastAsia" w:ascii="Times New Roman" w:hAnsi="Times New Roman" w:eastAsia="方正仿宋_GBK" w:cs="Times New Roman"/>
          <w:sz w:val="32"/>
          <w:szCs w:val="32"/>
        </w:rPr>
        <w:t>产业创新带赋予的宁镇科教创新资源优势，以及沿宝华、武岐等连绵山脉的生态资源基础，推动产学研项目落地，建设宁镇扬一体化发展先行示范区，打造北部生态创新廊。南部借力宁杭生态经济带，加强宜居环境与营商环境建设，注重与南京市区、溧水、江宁等临界区域的融合，引进创新型项目、集聚高素质人才，打造南部生态经济廊。</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打造</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一核一轴</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的自主性发展空间。</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一核一轴</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是句容自主可控发展的重要载体，是体现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自主性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发展的重要承载空间，是</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期间拉开大句容全域发展架构、提升发展综合质量的核心地带。</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构建服务全域的城区枢纽核心。</w:t>
      </w:r>
      <w:r>
        <w:rPr>
          <w:rFonts w:hint="eastAsia" w:ascii="Times New Roman" w:hAnsi="Times New Roman" w:eastAsia="方正仿宋_GBK" w:cs="Times New Roman"/>
          <w:sz w:val="32"/>
          <w:szCs w:val="32"/>
        </w:rPr>
        <w:t>塑造双铁交汇的集散与服务枢纽核心，打造句容市政治经济文化中心，强化综合服务能力，建立完整城市公共服务体系，推进与南京教育、医疗等联动合作体系。新增满足科技研发、商务金融、旅游服务等功能的发展空间，市域空间资源投放重点向中心城区倾斜，强化城区对城乡空间发展的辐射带动作用。</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构建依托城轨的中部联通融合轴。</w:t>
      </w:r>
      <w:r>
        <w:rPr>
          <w:rFonts w:hint="eastAsia" w:ascii="Times New Roman" w:hAnsi="Times New Roman" w:eastAsia="方正仿宋_GBK" w:cs="Times New Roman"/>
          <w:sz w:val="32"/>
          <w:szCs w:val="32"/>
        </w:rPr>
        <w:t>以宁句城际线及市域（郊）铁路句容至茅山线为依托，将中部轨道沿线打造为自主发展的一条重要宜居轴、产业轴、生态轴，沿线强化商住服务综合功能、促进创新创意产业集中布局、深度串联融合全域旅游重点景点，推动塑造充满活力的高质量城市空间。重点开发沿线</w:t>
      </w:r>
      <w:r>
        <w:rPr>
          <w:rFonts w:hint="eastAsia" w:ascii="Times New Roman" w:hAnsi="Times New Roman" w:eastAsia="方正仿宋_GBK" w:cs="Times New Roman"/>
          <w:sz w:val="32"/>
          <w:szCs w:val="32"/>
          <w:lang w:val="zh-CN"/>
        </w:rPr>
        <w:t>秦淮源度假区</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一山三湖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高品质旅游目的地，有机融合沿线山水人文资源，形成联通紫东、支撑全域的重要空间骨架。</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打造</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两心两廊</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的一体化融合地带。</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两心两廊</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是句容借力南京融合发展的主要载体，是规划期内深入实施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一体化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战略的主要载体空间，是充分发挥句容区位优势、顺应宁句同城化融合发展趋势的引领中心与重点廊道。</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构建以宝华、郭庄为示范的融合发展引领中心。</w:t>
      </w:r>
      <w:r>
        <w:rPr>
          <w:rFonts w:hint="eastAsia" w:ascii="Times New Roman" w:hAnsi="Times New Roman" w:eastAsia="方正仿宋_GBK" w:cs="Times New Roman"/>
          <w:sz w:val="32"/>
          <w:szCs w:val="32"/>
        </w:rPr>
        <w:t>探索与南京共建深度融合、一体联动的示范区，复制推广先行示范改革创新经验和体制机制，探索消除与南京的制度环境差异，营造具备更强竞争力的宜居宜业环境。推进科创产业联动、生态环境和人居环境建设、城镇道路的全面衔接和市政基础设施的共建共享。</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构建以</w:t>
      </w:r>
      <w:r>
        <w:rPr>
          <w:rFonts w:ascii="Times New Roman" w:hAnsi="Times New Roman" w:eastAsia="方正楷体_GBK" w:cs="Times New Roman"/>
          <w:sz w:val="32"/>
          <w:szCs w:val="32"/>
        </w:rPr>
        <w:t>G312</w:t>
      </w:r>
      <w:r>
        <w:rPr>
          <w:rFonts w:hint="eastAsia" w:ascii="Times New Roman" w:hAnsi="Times New Roman" w:eastAsia="方正楷体_GBK" w:cs="Times New Roman"/>
          <w:sz w:val="32"/>
          <w:szCs w:val="32"/>
        </w:rPr>
        <w:t>、</w:t>
      </w:r>
      <w:r>
        <w:rPr>
          <w:rFonts w:ascii="Times New Roman" w:hAnsi="Times New Roman" w:eastAsia="方正楷体_GBK" w:cs="Times New Roman"/>
          <w:sz w:val="32"/>
          <w:szCs w:val="32"/>
        </w:rPr>
        <w:t>G42</w:t>
      </w:r>
      <w:r>
        <w:rPr>
          <w:rFonts w:hint="eastAsia" w:ascii="Times New Roman" w:hAnsi="Times New Roman" w:eastAsia="方正楷体_GBK" w:cs="Times New Roman"/>
          <w:sz w:val="32"/>
          <w:szCs w:val="32"/>
        </w:rPr>
        <w:t>通道为依托的北部产业创新廊。</w:t>
      </w:r>
      <w:r>
        <w:rPr>
          <w:rFonts w:hint="eastAsia" w:ascii="Times New Roman" w:hAnsi="Times New Roman" w:eastAsia="方正仿宋_GBK" w:cs="Times New Roman"/>
          <w:sz w:val="32"/>
          <w:szCs w:val="32"/>
        </w:rPr>
        <w:t>北部沿</w:t>
      </w:r>
      <w:r>
        <w:rPr>
          <w:rFonts w:ascii="Times New Roman" w:hAnsi="Times New Roman" w:eastAsia="方正仿宋_GBK" w:cs="Times New Roman"/>
          <w:sz w:val="32"/>
          <w:szCs w:val="32"/>
        </w:rPr>
        <w:t>G312</w:t>
      </w:r>
      <w:r>
        <w:rPr>
          <w:rFonts w:hint="eastAsia" w:ascii="Times New Roman" w:hAnsi="Times New Roman" w:eastAsia="方正仿宋_GBK" w:cs="Times New Roman"/>
          <w:sz w:val="32"/>
          <w:szCs w:val="32"/>
        </w:rPr>
        <w:t>与</w:t>
      </w:r>
      <w:r>
        <w:rPr>
          <w:rFonts w:ascii="Times New Roman" w:hAnsi="Times New Roman" w:eastAsia="方正仿宋_GBK" w:cs="Times New Roman"/>
          <w:sz w:val="32"/>
          <w:szCs w:val="32"/>
        </w:rPr>
        <w:t>G42</w:t>
      </w:r>
      <w:r>
        <w:rPr>
          <w:rFonts w:hint="eastAsia" w:ascii="Times New Roman" w:hAnsi="Times New Roman" w:eastAsia="方正仿宋_GBK" w:cs="Times New Roman"/>
          <w:sz w:val="32"/>
          <w:szCs w:val="32"/>
        </w:rPr>
        <w:t>自西向东推动打造校企合作创新示范区、低密度生态创谷以及新兴产业集群，强化与仙林大学城、龙潭海港经济枢纽区、丹徒大学城等创新资源的衔接合作，推动沿线存量空间发展文旅、高技术、科创产业，预留战略空间以对接紫东地区。</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以宁杭高铁、</w:t>
      </w:r>
      <w:r>
        <w:rPr>
          <w:rFonts w:ascii="Times New Roman" w:hAnsi="Times New Roman" w:eastAsia="方正楷体_GBK" w:cs="Times New Roman"/>
          <w:sz w:val="32"/>
          <w:szCs w:val="32"/>
        </w:rPr>
        <w:t>G25</w:t>
      </w:r>
      <w:r>
        <w:rPr>
          <w:rFonts w:hint="eastAsia" w:ascii="Times New Roman" w:hAnsi="Times New Roman" w:eastAsia="方正楷体_GBK" w:cs="Times New Roman"/>
          <w:sz w:val="32"/>
          <w:szCs w:val="32"/>
        </w:rPr>
        <w:t>通道、</w:t>
      </w:r>
      <w:r>
        <w:rPr>
          <w:rFonts w:ascii="Times New Roman" w:hAnsi="Times New Roman" w:eastAsia="方正楷体_GBK" w:cs="Times New Roman"/>
          <w:sz w:val="32"/>
          <w:szCs w:val="32"/>
        </w:rPr>
        <w:t>S358</w:t>
      </w:r>
      <w:r>
        <w:rPr>
          <w:rFonts w:hint="eastAsia" w:ascii="Times New Roman" w:hAnsi="Times New Roman" w:eastAsia="方正楷体_GBK" w:cs="Times New Roman"/>
          <w:sz w:val="32"/>
          <w:szCs w:val="32"/>
        </w:rPr>
        <w:t>为依托的南部生态经济廊。</w:t>
      </w:r>
      <w:r>
        <w:rPr>
          <w:rFonts w:hint="eastAsia" w:ascii="Times New Roman" w:hAnsi="Times New Roman" w:eastAsia="方正仿宋_GBK" w:cs="Times New Roman"/>
          <w:sz w:val="32"/>
          <w:szCs w:val="32"/>
        </w:rPr>
        <w:t>加强与禄口空港经济区、江宁高新区、溧水城区的衔接合作，依托赤山湖、天王镇的生态资源禀赋，锻造郭庄新能源产业集群，强化天王生态农业品牌效应，促进科技与新经济的融合，积极推动绿色产业发展。</w:t>
      </w:r>
    </w:p>
    <w:p>
      <w:pPr>
        <w:spacing w:line="560" w:lineRule="exact"/>
        <w:ind w:firstLine="640" w:firstLineChars="200"/>
        <w:rPr>
          <w:rFonts w:ascii="Times New Roman" w:hAnsi="Times New Roman" w:eastAsia="仿宋" w:cs="Times New Roman"/>
          <w:sz w:val="32"/>
          <w:szCs w:val="32"/>
        </w:rPr>
      </w:pPr>
    </w:p>
    <w:p>
      <w:pPr>
        <w:keepNext/>
        <w:ind w:firstLine="420" w:firstLineChars="200"/>
        <w:rPr>
          <w:rFonts w:ascii="Times New Roman" w:hAnsi="Times New Roman" w:cs="Times New Roman"/>
        </w:rPr>
      </w:pPr>
      <w:r>
        <w:rPr>
          <w:rFonts w:ascii="Times New Roman" w:hAnsi="Times New Roman" w:cs="Times New Roman"/>
        </w:rPr>
        <w:drawing>
          <wp:inline distT="0" distB="0" distL="114300" distR="114300">
            <wp:extent cx="4972050" cy="20859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972050" cy="2085975"/>
                    </a:xfrm>
                    <a:prstGeom prst="rect">
                      <a:avLst/>
                    </a:prstGeom>
                    <a:noFill/>
                    <a:ln>
                      <a:noFill/>
                    </a:ln>
                  </pic:spPr>
                </pic:pic>
              </a:graphicData>
            </a:graphic>
          </wp:inline>
        </w:drawing>
      </w:r>
    </w:p>
    <w:p>
      <w:pPr>
        <w:jc w:val="center"/>
        <w:rPr>
          <w:rFonts w:ascii="Times New Roman" w:hAnsi="Times New Roman" w:eastAsia="楷体_GB2312" w:cs="Times New Roman"/>
          <w:szCs w:val="20"/>
        </w:rPr>
      </w:pPr>
      <w:r>
        <w:rPr>
          <w:rFonts w:hint="eastAsia" w:ascii="Times New Roman" w:hAnsi="Times New Roman" w:eastAsia="楷体_GB2312" w:cs="Times New Roman"/>
          <w:szCs w:val="20"/>
        </w:rPr>
        <w:t>图</w:t>
      </w:r>
      <w:r>
        <w:rPr>
          <w:rFonts w:ascii="Times New Roman" w:hAnsi="Times New Roman" w:eastAsia="楷体_GB2312" w:cs="Times New Roman"/>
          <w:szCs w:val="20"/>
        </w:rPr>
        <w:t xml:space="preserve">2 </w:t>
      </w:r>
      <w:r>
        <w:rPr>
          <w:rFonts w:hint="eastAsia" w:ascii="Times New Roman" w:hAnsi="Times New Roman" w:eastAsia="楷体_GB2312" w:cs="Times New Roman"/>
          <w:szCs w:val="20"/>
        </w:rPr>
        <w:t>北部产业创新廊</w:t>
      </w:r>
    </w:p>
    <w:p>
      <w:pPr>
        <w:keepNext/>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476625" cy="3381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476625" cy="3381375"/>
                    </a:xfrm>
                    <a:prstGeom prst="rect">
                      <a:avLst/>
                    </a:prstGeom>
                    <a:noFill/>
                    <a:ln>
                      <a:noFill/>
                    </a:ln>
                  </pic:spPr>
                </pic:pic>
              </a:graphicData>
            </a:graphic>
          </wp:inline>
        </w:drawing>
      </w:r>
    </w:p>
    <w:p>
      <w:pPr>
        <w:jc w:val="center"/>
        <w:rPr>
          <w:rFonts w:ascii="Times New Roman" w:hAnsi="Times New Roman" w:eastAsia="楷体_GB2312" w:cs="Times New Roman"/>
          <w:szCs w:val="20"/>
        </w:rPr>
      </w:pPr>
      <w:r>
        <w:rPr>
          <w:rFonts w:hint="eastAsia" w:ascii="Times New Roman" w:hAnsi="Times New Roman" w:eastAsia="楷体_GB2312" w:cs="Times New Roman"/>
          <w:szCs w:val="20"/>
        </w:rPr>
        <w:t>图</w:t>
      </w:r>
      <w:r>
        <w:rPr>
          <w:rFonts w:ascii="Times New Roman" w:hAnsi="Times New Roman" w:eastAsia="楷体_GB2312" w:cs="Times New Roman"/>
          <w:szCs w:val="20"/>
        </w:rPr>
        <w:t xml:space="preserve">3 </w:t>
      </w:r>
      <w:r>
        <w:rPr>
          <w:rFonts w:hint="eastAsia" w:ascii="Times New Roman" w:hAnsi="Times New Roman" w:eastAsia="楷体_GB2312" w:cs="Times New Roman"/>
          <w:szCs w:val="20"/>
        </w:rPr>
        <w:t>南部生态经济廊</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完善全域六大核心功能板块生产力布局。</w:t>
      </w:r>
      <w:r>
        <w:rPr>
          <w:rFonts w:hint="eastAsia" w:ascii="Times New Roman" w:hAnsi="Times New Roman" w:eastAsia="方正仿宋_GBK" w:cs="Times New Roman"/>
          <w:sz w:val="32"/>
          <w:szCs w:val="32"/>
        </w:rPr>
        <w:t>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一核一轴两心两廊</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的空间格局基础上，进一步优化市域功能分布，将句容全域划分为六大核心板块，形成西部产业、中部服务、东部生态的梯度格局。</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中部枢纽核心板块。</w:t>
      </w:r>
      <w:r>
        <w:rPr>
          <w:rFonts w:hint="eastAsia" w:ascii="Times New Roman" w:hAnsi="Times New Roman" w:eastAsia="方正仿宋_GBK" w:cs="Times New Roman"/>
          <w:sz w:val="32"/>
          <w:szCs w:val="32"/>
        </w:rPr>
        <w:t>由华阳街道、崇明街道与经济开发区（黄梅街道）组成，以产业升级转型与提升集散服务能力为重点，是发挥城区枢纽作用、完善城市功能、引领市域发展的核心板块。</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北部生态创新创业板块。</w:t>
      </w:r>
      <w:r>
        <w:rPr>
          <w:rFonts w:hint="eastAsia" w:ascii="Times New Roman" w:hAnsi="Times New Roman" w:eastAsia="方正仿宋_GBK" w:cs="Times New Roman"/>
          <w:sz w:val="32"/>
          <w:szCs w:val="32"/>
        </w:rPr>
        <w:t>由宝华镇和下蜀镇组成，以对接宁镇创新资源、推动产学研项目落地为重点，是推动句容与南京大都市融合一体化发展的重要板块。注重宁镇山脉生态维育，提升作为秦淮河北源的生态涵养功能。</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西南宜居创新创业板块。</w:t>
      </w:r>
      <w:r>
        <w:rPr>
          <w:rFonts w:hint="eastAsia" w:ascii="Times New Roman" w:hAnsi="Times New Roman" w:eastAsia="方正仿宋_GBK" w:cs="Times New Roman"/>
          <w:sz w:val="32"/>
          <w:szCs w:val="32"/>
        </w:rPr>
        <w:t>以郭庄镇为核心的创新创业板块是句容自主对接南京都市圈产业链、推动构建现代流通体系的重点板块。同时以赤山湖片区的生态维育、湿地保护为抓手，推动西南片区生态宜居品质不断升级。</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东部现代高新农业板块。</w:t>
      </w:r>
      <w:r>
        <w:rPr>
          <w:rFonts w:hint="eastAsia" w:ascii="Times New Roman" w:hAnsi="Times New Roman" w:eastAsia="方正仿宋_GBK" w:cs="Times New Roman"/>
          <w:sz w:val="32"/>
          <w:szCs w:val="32"/>
        </w:rPr>
        <w:t>由边城镇和白兔镇组成，落实基本农田保护政策，依托农业科技与特色农产品资源，提升现代农业的生产效能，打造句容农业的创新高地、产业高地、人才高地。</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南部都市特色农业板块。</w:t>
      </w:r>
      <w:r>
        <w:rPr>
          <w:rFonts w:hint="eastAsia" w:ascii="Times New Roman" w:hAnsi="Times New Roman" w:eastAsia="方正仿宋_GBK" w:cs="Times New Roman"/>
          <w:sz w:val="32"/>
          <w:szCs w:val="32"/>
        </w:rPr>
        <w:t>由后白镇和天王镇组成，依托草坪、花卉、鱼米等特色农产品，与电商平台积极联姻，进一步突出特色品牌，彰显现代农业生产与电商交易一体化发展的特色长板。</w:t>
      </w:r>
    </w:p>
    <w:p>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东南文旅融合示范板块。</w:t>
      </w:r>
      <w:r>
        <w:rPr>
          <w:rFonts w:hint="eastAsia" w:ascii="Times New Roman" w:hAnsi="Times New Roman" w:eastAsia="方正仿宋_GBK" w:cs="Times New Roman"/>
          <w:sz w:val="32"/>
          <w:szCs w:val="32"/>
        </w:rPr>
        <w:t>由茅山镇与茅山管委会组成，发挥生态与文化资源耦合优势，推进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一山三湖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旅游综合开发，营造茅山生态客厅，打造全域农文康旅多元业态融合发展的示范区。</w:t>
      </w:r>
    </w:p>
    <w:p>
      <w:pPr>
        <w:keepNext/>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114300" distR="114300">
            <wp:extent cx="2381250" cy="33623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381250" cy="3362325"/>
                    </a:xfrm>
                    <a:prstGeom prst="rect">
                      <a:avLst/>
                    </a:prstGeom>
                    <a:noFill/>
                    <a:ln>
                      <a:noFill/>
                    </a:ln>
                  </pic:spPr>
                </pic:pic>
              </a:graphicData>
            </a:graphic>
          </wp:inline>
        </w:drawing>
      </w:r>
    </w:p>
    <w:p>
      <w:pPr>
        <w:jc w:val="center"/>
        <w:rPr>
          <w:rFonts w:ascii="Times New Roman" w:hAnsi="Times New Roman" w:eastAsia="楷体_GB2312" w:cs="Times New Roman"/>
          <w:szCs w:val="20"/>
        </w:rPr>
      </w:pPr>
      <w:r>
        <w:rPr>
          <w:rFonts w:hint="eastAsia" w:ascii="Times New Roman" w:hAnsi="Times New Roman" w:eastAsia="楷体_GB2312" w:cs="Times New Roman"/>
          <w:szCs w:val="20"/>
        </w:rPr>
        <w:t>图</w:t>
      </w:r>
      <w:r>
        <w:rPr>
          <w:rFonts w:ascii="Times New Roman" w:hAnsi="Times New Roman" w:eastAsia="楷体_GB2312" w:cs="Times New Roman"/>
          <w:szCs w:val="20"/>
        </w:rPr>
        <w:t xml:space="preserve">4 </w:t>
      </w:r>
      <w:r>
        <w:rPr>
          <w:rFonts w:hint="eastAsia" w:ascii="Times New Roman" w:hAnsi="Times New Roman" w:eastAsia="楷体_GB2312" w:cs="Times New Roman"/>
          <w:szCs w:val="20"/>
        </w:rPr>
        <w:t>六大功能板块</w:t>
      </w:r>
    </w:p>
    <w:p>
      <w:pPr>
        <w:pStyle w:val="3"/>
        <w:spacing w:line="580" w:lineRule="exact"/>
        <w:rPr>
          <w:rFonts w:ascii="Times New Roman" w:hAnsi="Times New Roman"/>
          <w:bCs w:val="0"/>
        </w:rPr>
      </w:pPr>
      <w:bookmarkStart w:id="68" w:name="_Toc17578"/>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加快交通设施提档升级</w:t>
      </w:r>
      <w:bookmarkEnd w:id="68"/>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建立现代综合交通体系。</w:t>
      </w:r>
      <w:r>
        <w:rPr>
          <w:rFonts w:hint="eastAsia" w:ascii="Times New Roman" w:hAnsi="Times New Roman" w:eastAsia="方正仿宋_GBK" w:cs="Times New Roman"/>
          <w:sz w:val="32"/>
          <w:szCs w:val="32"/>
        </w:rPr>
        <w:t>促进高速公路、干线公路与城市道路、农村公路的衔接协调，提升交通系统对城镇节点、产业片区的服务水平，充分发挥各种交通方式的组合效率和整体优势。</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十四五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内，形成</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三横两纵</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的高速公路网布局，优化宁常高速、仪禄高速句容段线路走向，争取增加互通道口与服务区，进一步促进句容融入南京都市圈。形成</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五横四纵</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的国省干线路网，实现所有街镇至市区半小时通勤圈全覆盖，</w:t>
      </w:r>
      <w:r>
        <w:rPr>
          <w:rFonts w:ascii="Times New Roman" w:hAnsi="Times New Roman" w:eastAsia="方正仿宋_GBK" w:cs="Times New Roman"/>
          <w:sz w:val="32"/>
          <w:szCs w:val="32"/>
        </w:rPr>
        <w:t>15</w:t>
      </w:r>
      <w:r>
        <w:rPr>
          <w:rFonts w:hint="eastAsia" w:ascii="Times New Roman" w:hAnsi="Times New Roman" w:eastAsia="方正仿宋_GBK" w:cs="Times New Roman"/>
          <w:sz w:val="32"/>
          <w:szCs w:val="32"/>
        </w:rPr>
        <w:t>分钟上高速公路。优化航道网布局，完善骨干航道，构建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通江连港、功能延伸</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的四横字形布局。高水平构建智慧绿色交通体系，推动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句容智行平台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建设，实现轨道交通与常规公交的时刻信息互通，引入快速支付、人脸识别等新技术，提升智慧公交公众体验感。</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0"/>
              <w:pBdr>
                <w:bottom w:val="single" w:color="auto" w:sz="4" w:space="1"/>
              </w:pBdr>
              <w:spacing w:beforeLines="50" w:beforeAutospacing="0" w:afterLines="50" w:afterAutospacing="0"/>
              <w:ind w:left="-141" w:leftChars="-67" w:right="-197" w:rightChars="-94"/>
              <w:jc w:val="center"/>
              <w:rPr>
                <w:rFonts w:eastAsia="方正黑体_GBK"/>
                <w:kern w:val="2"/>
                <w:szCs w:val="24"/>
                <w:lang w:val="zh-CN"/>
              </w:rPr>
            </w:pPr>
            <w:bookmarkStart w:id="69" w:name="_Hlk60668709"/>
            <w:r>
              <w:rPr>
                <w:rFonts w:hint="eastAsia" w:eastAsia="方正黑体_GBK"/>
                <w:kern w:val="2"/>
                <w:szCs w:val="24"/>
                <w:lang w:val="zh-CN"/>
              </w:rPr>
              <w:t>专栏</w:t>
            </w:r>
            <w:r>
              <w:rPr>
                <w:rFonts w:eastAsia="方正黑体_GBK"/>
                <w:kern w:val="2"/>
                <w:szCs w:val="24"/>
                <w:lang w:val="zh-CN"/>
              </w:rPr>
              <w:t>4</w:t>
            </w:r>
            <w:r>
              <w:rPr>
                <w:rFonts w:eastAsia="方正黑体_GBK"/>
                <w:kern w:val="2"/>
                <w:szCs w:val="24"/>
              </w:rPr>
              <w:t xml:space="preserve"> </w:t>
            </w:r>
            <w:r>
              <w:rPr>
                <w:rFonts w:hint="eastAsia" w:eastAsia="方正黑体_GBK"/>
                <w:kern w:val="2"/>
                <w:szCs w:val="24"/>
                <w:lang w:val="zh-CN"/>
              </w:rPr>
              <w:t>综合交通线网体系</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高速</w:t>
            </w:r>
            <w:r>
              <w:rPr>
                <w:kern w:val="2"/>
                <w:szCs w:val="24"/>
                <w:lang w:val="zh-CN"/>
              </w:rPr>
              <w:t>“</w:t>
            </w:r>
            <w:r>
              <w:rPr>
                <w:rFonts w:hint="eastAsia"/>
                <w:kern w:val="2"/>
                <w:szCs w:val="24"/>
                <w:lang w:val="zh-CN"/>
              </w:rPr>
              <w:t>三横两纵</w:t>
            </w:r>
            <w:r>
              <w:rPr>
                <w:kern w:val="2"/>
                <w:szCs w:val="24"/>
                <w:lang w:val="zh-CN"/>
              </w:rPr>
              <w:t>”</w:t>
            </w:r>
            <w:r>
              <w:rPr>
                <w:rFonts w:hint="eastAsia"/>
                <w:kern w:val="2"/>
                <w:szCs w:val="24"/>
                <w:lang w:val="zh-CN"/>
              </w:rPr>
              <w:t>：</w:t>
            </w:r>
            <w:r>
              <w:rPr>
                <w:kern w:val="2"/>
                <w:szCs w:val="24"/>
                <w:lang w:val="zh-CN"/>
              </w:rPr>
              <w:t>“</w:t>
            </w:r>
            <w:r>
              <w:rPr>
                <w:rFonts w:hint="eastAsia"/>
                <w:kern w:val="2"/>
                <w:szCs w:val="24"/>
                <w:lang w:val="zh-CN"/>
              </w:rPr>
              <w:t>三横</w:t>
            </w:r>
            <w:r>
              <w:rPr>
                <w:kern w:val="2"/>
                <w:szCs w:val="24"/>
                <w:lang w:val="zh-CN"/>
              </w:rPr>
              <w:t>”</w:t>
            </w:r>
            <w:r>
              <w:rPr>
                <w:rFonts w:hint="eastAsia"/>
                <w:kern w:val="2"/>
                <w:szCs w:val="24"/>
                <w:lang w:val="zh-CN"/>
              </w:rPr>
              <w:t>包括沪宁高速、宁常高速、常马高速</w:t>
            </w:r>
            <w:r>
              <w:rPr>
                <w:kern w:val="2"/>
                <w:szCs w:val="24"/>
                <w:lang w:val="zh-CN"/>
              </w:rPr>
              <w:t>,“</w:t>
            </w:r>
            <w:r>
              <w:rPr>
                <w:rFonts w:hint="eastAsia"/>
                <w:kern w:val="2"/>
                <w:szCs w:val="24"/>
                <w:lang w:val="zh-CN"/>
              </w:rPr>
              <w:t>两纵</w:t>
            </w:r>
            <w:r>
              <w:rPr>
                <w:kern w:val="2"/>
                <w:szCs w:val="24"/>
                <w:lang w:val="zh-CN"/>
              </w:rPr>
              <w:t>”</w:t>
            </w:r>
            <w:r>
              <w:rPr>
                <w:rFonts w:hint="eastAsia"/>
                <w:kern w:val="2"/>
                <w:szCs w:val="24"/>
                <w:lang w:val="zh-CN"/>
              </w:rPr>
              <w:t>包括宁杭高速、仪禄高速</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国省干线公路</w:t>
            </w:r>
            <w:r>
              <w:rPr>
                <w:kern w:val="2"/>
                <w:szCs w:val="24"/>
                <w:lang w:val="zh-CN"/>
              </w:rPr>
              <w:t>“</w:t>
            </w:r>
            <w:r>
              <w:rPr>
                <w:rFonts w:hint="eastAsia"/>
                <w:kern w:val="2"/>
                <w:szCs w:val="24"/>
                <w:lang w:val="zh-CN"/>
              </w:rPr>
              <w:t>五横四纵</w:t>
            </w:r>
            <w:r>
              <w:rPr>
                <w:kern w:val="2"/>
                <w:szCs w:val="24"/>
                <w:lang w:val="zh-CN"/>
              </w:rPr>
              <w:t>”</w:t>
            </w:r>
            <w:r>
              <w:rPr>
                <w:rFonts w:hint="eastAsia"/>
                <w:kern w:val="2"/>
                <w:szCs w:val="24"/>
                <w:lang w:val="zh-CN"/>
              </w:rPr>
              <w:t>：</w:t>
            </w:r>
            <w:r>
              <w:rPr>
                <w:kern w:val="2"/>
                <w:szCs w:val="24"/>
                <w:lang w:val="zh-CN"/>
              </w:rPr>
              <w:t>“</w:t>
            </w:r>
            <w:r>
              <w:rPr>
                <w:rFonts w:hint="eastAsia"/>
                <w:kern w:val="2"/>
                <w:szCs w:val="24"/>
                <w:lang w:val="zh-CN"/>
              </w:rPr>
              <w:t>五横</w:t>
            </w:r>
            <w:r>
              <w:rPr>
                <w:kern w:val="2"/>
                <w:szCs w:val="24"/>
                <w:lang w:val="zh-CN"/>
              </w:rPr>
              <w:t>”</w:t>
            </w:r>
            <w:r>
              <w:rPr>
                <w:rFonts w:hint="eastAsia"/>
                <w:kern w:val="2"/>
                <w:szCs w:val="24"/>
                <w:lang w:val="zh-CN"/>
              </w:rPr>
              <w:t>包括</w:t>
            </w:r>
            <w:r>
              <w:rPr>
                <w:kern w:val="2"/>
                <w:szCs w:val="24"/>
                <w:lang w:val="zh-CN"/>
              </w:rPr>
              <w:t>S338</w:t>
            </w:r>
            <w:r>
              <w:rPr>
                <w:rFonts w:hint="eastAsia"/>
                <w:kern w:val="2"/>
                <w:szCs w:val="24"/>
                <w:lang w:val="zh-CN"/>
              </w:rPr>
              <w:t>、</w:t>
            </w:r>
            <w:r>
              <w:rPr>
                <w:kern w:val="2"/>
                <w:szCs w:val="24"/>
                <w:lang w:val="zh-CN"/>
              </w:rPr>
              <w:t>G312</w:t>
            </w:r>
            <w:r>
              <w:rPr>
                <w:rFonts w:hint="eastAsia"/>
                <w:kern w:val="2"/>
                <w:szCs w:val="24"/>
                <w:lang w:val="zh-CN"/>
              </w:rPr>
              <w:t>、</w:t>
            </w:r>
            <w:r>
              <w:rPr>
                <w:kern w:val="2"/>
                <w:szCs w:val="24"/>
                <w:lang w:val="zh-CN"/>
              </w:rPr>
              <w:t>S122</w:t>
            </w:r>
            <w:r>
              <w:rPr>
                <w:rFonts w:hint="eastAsia"/>
                <w:kern w:val="2"/>
                <w:szCs w:val="24"/>
                <w:lang w:val="zh-CN"/>
              </w:rPr>
              <w:t>、</w:t>
            </w:r>
            <w:r>
              <w:rPr>
                <w:kern w:val="2"/>
                <w:szCs w:val="24"/>
                <w:lang w:val="zh-CN"/>
              </w:rPr>
              <w:t>S358</w:t>
            </w:r>
            <w:r>
              <w:rPr>
                <w:rFonts w:hint="eastAsia"/>
                <w:kern w:val="2"/>
                <w:szCs w:val="24"/>
                <w:lang w:val="zh-CN"/>
              </w:rPr>
              <w:t>、</w:t>
            </w:r>
            <w:r>
              <w:rPr>
                <w:kern w:val="2"/>
                <w:szCs w:val="24"/>
                <w:lang w:val="zh-CN"/>
              </w:rPr>
              <w:t>S340</w:t>
            </w:r>
            <w:r>
              <w:rPr>
                <w:rFonts w:hint="eastAsia"/>
                <w:kern w:val="2"/>
                <w:szCs w:val="24"/>
                <w:lang w:val="zh-CN"/>
              </w:rPr>
              <w:t>，</w:t>
            </w:r>
            <w:r>
              <w:rPr>
                <w:kern w:val="2"/>
                <w:szCs w:val="24"/>
                <w:lang w:val="zh-CN"/>
              </w:rPr>
              <w:t>“</w:t>
            </w:r>
            <w:r>
              <w:rPr>
                <w:rFonts w:hint="eastAsia"/>
                <w:kern w:val="2"/>
                <w:szCs w:val="24"/>
                <w:lang w:val="zh-CN"/>
              </w:rPr>
              <w:t>四纵</w:t>
            </w:r>
            <w:r>
              <w:rPr>
                <w:kern w:val="2"/>
                <w:szCs w:val="24"/>
                <w:lang w:val="zh-CN"/>
              </w:rPr>
              <w:t>”</w:t>
            </w:r>
            <w:r>
              <w:rPr>
                <w:rFonts w:hint="eastAsia"/>
                <w:kern w:val="2"/>
                <w:szCs w:val="24"/>
                <w:lang w:val="zh-CN"/>
              </w:rPr>
              <w:t>包括</w:t>
            </w:r>
            <w:r>
              <w:rPr>
                <w:kern w:val="2"/>
                <w:szCs w:val="24"/>
                <w:lang w:val="zh-CN"/>
              </w:rPr>
              <w:t>S266</w:t>
            </w:r>
            <w:r>
              <w:rPr>
                <w:rFonts w:hint="eastAsia"/>
                <w:kern w:val="2"/>
                <w:szCs w:val="24"/>
                <w:lang w:val="zh-CN"/>
              </w:rPr>
              <w:t>、</w:t>
            </w:r>
            <w:r>
              <w:rPr>
                <w:kern w:val="2"/>
                <w:szCs w:val="24"/>
                <w:lang w:val="zh-CN"/>
              </w:rPr>
              <w:t>G104</w:t>
            </w:r>
            <w:r>
              <w:rPr>
                <w:rFonts w:hint="eastAsia"/>
                <w:kern w:val="2"/>
                <w:szCs w:val="24"/>
                <w:lang w:val="zh-CN"/>
              </w:rPr>
              <w:t>、</w:t>
            </w:r>
            <w:r>
              <w:rPr>
                <w:kern w:val="2"/>
                <w:szCs w:val="24"/>
                <w:lang w:val="zh-CN"/>
              </w:rPr>
              <w:t>S002</w:t>
            </w:r>
            <w:r>
              <w:rPr>
                <w:rFonts w:hint="eastAsia"/>
                <w:kern w:val="2"/>
                <w:szCs w:val="24"/>
                <w:lang w:val="zh-CN"/>
              </w:rPr>
              <w:t>、</w:t>
            </w:r>
            <w:r>
              <w:rPr>
                <w:kern w:val="2"/>
                <w:szCs w:val="24"/>
                <w:lang w:val="zh-CN"/>
              </w:rPr>
              <w:t>S243</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航道网四横字形布局：秦太运河、句容河、大道河、便民河</w:t>
            </w:r>
          </w:p>
        </w:tc>
      </w:tr>
      <w:bookmarkEnd w:id="69"/>
    </w:tbl>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实施</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四好农村路</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建设工程。</w:t>
      </w:r>
      <w:r>
        <w:rPr>
          <w:rFonts w:hint="eastAsia" w:ascii="Times New Roman" w:hAnsi="Times New Roman" w:eastAsia="方正仿宋_GBK" w:cs="Times New Roman"/>
          <w:sz w:val="32"/>
          <w:szCs w:val="32"/>
        </w:rPr>
        <w:t>结合新农村、特色田园乡村建设和扶贫攻坚的要求，着力打造</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句容福道</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农村公路品牌，加快实施规划县道达标改造工程，推动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四好农村路</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建设走在全国前列。</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年左右，完成</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句容福道</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全线总长</w:t>
      </w:r>
      <w:r>
        <w:rPr>
          <w:rFonts w:ascii="Times New Roman" w:hAnsi="Times New Roman" w:eastAsia="方正仿宋_GBK" w:cs="Times New Roman"/>
          <w:sz w:val="32"/>
          <w:szCs w:val="32"/>
        </w:rPr>
        <w:t>365</w:t>
      </w:r>
      <w:r>
        <w:rPr>
          <w:rFonts w:hint="eastAsia" w:ascii="Times New Roman" w:hAnsi="Times New Roman" w:eastAsia="方正仿宋_GBK" w:cs="Times New Roman"/>
          <w:sz w:val="32"/>
          <w:szCs w:val="32"/>
        </w:rPr>
        <w:t>公里的施工建设，构建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内外环线，四带多联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的福道体系。</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0"/>
              <w:pBdr>
                <w:bottom w:val="single" w:color="auto" w:sz="4" w:space="1"/>
              </w:pBdr>
              <w:spacing w:beforeLines="50" w:beforeAutospacing="0" w:afterLines="50" w:afterAutospacing="0"/>
              <w:ind w:left="-141" w:leftChars="-67" w:right="-197" w:rightChars="-94"/>
              <w:jc w:val="center"/>
              <w:rPr>
                <w:rFonts w:eastAsia="方正黑体_GBK"/>
                <w:kern w:val="2"/>
                <w:szCs w:val="24"/>
                <w:lang w:val="zh-CN"/>
              </w:rPr>
            </w:pPr>
            <w:r>
              <w:rPr>
                <w:rFonts w:hint="eastAsia" w:eastAsia="方正黑体_GBK"/>
                <w:kern w:val="2"/>
                <w:szCs w:val="24"/>
                <w:lang w:val="zh-CN"/>
              </w:rPr>
              <w:t>专栏</w:t>
            </w:r>
            <w:r>
              <w:rPr>
                <w:rFonts w:eastAsia="方正黑体_GBK"/>
                <w:kern w:val="2"/>
                <w:szCs w:val="24"/>
                <w:lang w:val="zh-CN"/>
              </w:rPr>
              <w:t>5</w:t>
            </w:r>
            <w:r>
              <w:rPr>
                <w:rFonts w:eastAsia="方正黑体_GBK"/>
                <w:kern w:val="2"/>
                <w:szCs w:val="24"/>
              </w:rPr>
              <w:t xml:space="preserve"> </w:t>
            </w:r>
            <w:r>
              <w:rPr>
                <w:rFonts w:hint="eastAsia" w:eastAsia="方正黑体_GBK"/>
                <w:kern w:val="2"/>
                <w:szCs w:val="24"/>
                <w:lang w:val="zh-CN"/>
              </w:rPr>
              <w:t>县道达标改造工程</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完成西部干线（</w:t>
            </w:r>
            <w:r>
              <w:rPr>
                <w:kern w:val="2"/>
                <w:szCs w:val="24"/>
              </w:rPr>
              <w:t>243</w:t>
            </w:r>
            <w:r>
              <w:rPr>
                <w:rFonts w:hint="eastAsia"/>
                <w:kern w:val="2"/>
                <w:szCs w:val="24"/>
                <w:lang w:val="zh-CN"/>
              </w:rPr>
              <w:t>省道至</w:t>
            </w:r>
            <w:r>
              <w:rPr>
                <w:kern w:val="2"/>
                <w:szCs w:val="24"/>
              </w:rPr>
              <w:t>340</w:t>
            </w:r>
            <w:r>
              <w:rPr>
                <w:rFonts w:hint="eastAsia"/>
                <w:kern w:val="2"/>
                <w:szCs w:val="24"/>
                <w:lang w:val="zh-CN"/>
              </w:rPr>
              <w:t>省道段）、</w:t>
            </w:r>
            <w:r>
              <w:rPr>
                <w:kern w:val="2"/>
                <w:szCs w:val="24"/>
                <w:lang w:val="zh-CN"/>
              </w:rPr>
              <w:t>X212</w:t>
            </w:r>
            <w:r>
              <w:rPr>
                <w:rFonts w:hint="eastAsia"/>
                <w:kern w:val="2"/>
                <w:szCs w:val="24"/>
                <w:lang w:val="zh-CN"/>
              </w:rPr>
              <w:t>（</w:t>
            </w:r>
            <w:r>
              <w:rPr>
                <w:kern w:val="2"/>
                <w:szCs w:val="24"/>
                <w:lang w:val="zh-CN"/>
              </w:rPr>
              <w:t>X30</w:t>
            </w:r>
            <w:r>
              <w:rPr>
                <w:kern w:val="2"/>
                <w:szCs w:val="24"/>
              </w:rPr>
              <w:t>3</w:t>
            </w:r>
            <w:r>
              <w:rPr>
                <w:rFonts w:hint="eastAsia"/>
                <w:kern w:val="2"/>
                <w:szCs w:val="24"/>
                <w:lang w:val="zh-CN"/>
              </w:rPr>
              <w:t>至陈武段）、</w:t>
            </w:r>
            <w:r>
              <w:rPr>
                <w:kern w:val="2"/>
                <w:szCs w:val="24"/>
                <w:lang w:val="zh-CN"/>
              </w:rPr>
              <w:t>X304</w:t>
            </w:r>
            <w:r>
              <w:rPr>
                <w:rFonts w:hint="eastAsia"/>
                <w:kern w:val="2"/>
                <w:szCs w:val="24"/>
                <w:lang w:val="zh-CN"/>
              </w:rPr>
              <w:t>（南亭至春城曹庄段）、</w:t>
            </w:r>
            <w:r>
              <w:rPr>
                <w:kern w:val="2"/>
                <w:szCs w:val="24"/>
                <w:lang w:val="zh-CN"/>
              </w:rPr>
              <w:t>X</w:t>
            </w:r>
            <w:r>
              <w:rPr>
                <w:kern w:val="2"/>
                <w:szCs w:val="24"/>
              </w:rPr>
              <w:t>304</w:t>
            </w:r>
            <w:r>
              <w:rPr>
                <w:rFonts w:hint="eastAsia"/>
                <w:kern w:val="2"/>
                <w:szCs w:val="24"/>
                <w:lang w:val="zh-CN"/>
              </w:rPr>
              <w:t>西延、山湖路东延等项目建设</w:t>
            </w:r>
          </w:p>
        </w:tc>
      </w:tr>
    </w:tbl>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完善城乡公共交通系统。</w:t>
      </w:r>
      <w:r>
        <w:rPr>
          <w:rFonts w:hint="eastAsia" w:ascii="Times New Roman" w:hAnsi="Times New Roman" w:eastAsia="方正仿宋_GBK" w:cs="Times New Roman"/>
          <w:sz w:val="32"/>
          <w:szCs w:val="32"/>
        </w:rPr>
        <w:t>加快发展大容量公交系统，开通串联恒大文化旅游城、吾悦广场等交通高需求地区的大站快车、高峰通勤班车，提升宝华山、茅山等风景区旅游专线特色公交服务水平。提高市域公交线网覆盖程度，优化班次密度和线路走向，加强与客运枢纽衔接。实现公交微循环支线网络覆盖，优化线网层次结构。完善镇村公交网络，实现公交出行直达乡镇。规范城乡公交客运站、回车场、候车亭牌建设，注重公交设施的养护管理。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年，市区公共交通出行分担率达</w:t>
      </w:r>
      <w:r>
        <w:rPr>
          <w:rFonts w:ascii="Times New Roman" w:hAnsi="Times New Roman" w:eastAsia="方正仿宋_GBK" w:cs="Times New Roman"/>
          <w:sz w:val="32"/>
          <w:szCs w:val="32"/>
        </w:rPr>
        <w:t>16%</w:t>
      </w:r>
      <w:r>
        <w:rPr>
          <w:rFonts w:hint="eastAsia" w:ascii="Times New Roman" w:hAnsi="Times New Roman" w:eastAsia="方正仿宋_GBK" w:cs="Times New Roman"/>
          <w:sz w:val="32"/>
          <w:szCs w:val="32"/>
        </w:rPr>
        <w:t>。</w:t>
      </w:r>
    </w:p>
    <w:p>
      <w:pPr>
        <w:pStyle w:val="3"/>
        <w:spacing w:line="580" w:lineRule="exact"/>
        <w:rPr>
          <w:rFonts w:ascii="Times New Roman" w:hAnsi="Times New Roman"/>
          <w:bCs w:val="0"/>
        </w:rPr>
      </w:pPr>
      <w:bookmarkStart w:id="70" w:name="_Toc12514"/>
      <w:r>
        <w:rPr>
          <w:rFonts w:hint="eastAsia" w:ascii="Times New Roman" w:hAnsi="Times New Roman"/>
          <w:bCs w:val="0"/>
        </w:rPr>
        <w:t>第三节</w:t>
      </w:r>
      <w:r>
        <w:rPr>
          <w:rFonts w:ascii="Times New Roman" w:hAnsi="Times New Roman"/>
          <w:bCs w:val="0"/>
        </w:rPr>
        <w:t xml:space="preserve"> </w:t>
      </w:r>
      <w:r>
        <w:rPr>
          <w:rFonts w:hint="eastAsia" w:ascii="Times New Roman" w:hAnsi="Times New Roman"/>
          <w:bCs w:val="0"/>
        </w:rPr>
        <w:t>提升美丽城乡空间品质</w:t>
      </w:r>
      <w:bookmarkEnd w:id="70"/>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突出功能品质，建设精美城市。</w:t>
      </w:r>
      <w:r>
        <w:rPr>
          <w:rFonts w:hint="eastAsia" w:ascii="Times New Roman" w:hAnsi="Times New Roman" w:eastAsia="方正仿宋_GBK" w:cs="Times New Roman"/>
          <w:sz w:val="32"/>
          <w:szCs w:val="32"/>
        </w:rPr>
        <w:t>围绕</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标准为王、美感为要、文化为魂、以人为本</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目标，科学经营城市，推动城市双修，有效提升城市的视觉震撼力、历史穿透力、文化浸润力和消费吸引力。规划设计讲求精雕细琢，彰显个性，以</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绣花功夫</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稳步推进城市有机更新。加强市容管理，把传统美、地方美、时代美结合起来，把精细、精致、精美落到位，努力展现雅致观感、视觉美感。营造建筑可阅读、街区可漫步、文化能浸润、城市有温度的人居环境。</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推动</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三降两提</w:t>
      </w:r>
      <w:r>
        <w:rPr>
          <w:rFonts w:ascii="Times New Roman" w:hAnsi="Times New Roman" w:eastAsia="方正楷体_GBK" w:cs="Times New Roman"/>
          <w:sz w:val="32"/>
          <w:szCs w:val="32"/>
        </w:rPr>
        <w:t>”</w:t>
      </w:r>
      <w:r>
        <w:rPr>
          <w:rFonts w:hint="eastAsia" w:ascii="Times New Roman" w:hAnsi="Times New Roman" w:eastAsia="方正楷体_GBK" w:cs="Times New Roman"/>
          <w:sz w:val="32"/>
          <w:szCs w:val="32"/>
        </w:rPr>
        <w:t>，建设品质城市。</w:t>
      </w:r>
      <w:r>
        <w:rPr>
          <w:rFonts w:hint="eastAsia" w:ascii="Times New Roman" w:hAnsi="Times New Roman" w:eastAsia="方正仿宋_GBK" w:cs="Times New Roman"/>
          <w:sz w:val="32"/>
          <w:szCs w:val="32"/>
        </w:rPr>
        <w:t>优化城市内部布局，以控制性详细规划为抓手，推进城市建筑降密度、降高度、降容积率、提品质、提配套。实施城市绿化亮化工程，统筹建筑风貌，完善城市天际线，优化街角景观、店招、广告牌等城市小品形象。</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打造空间亮点，构建特色城市。</w:t>
      </w:r>
      <w:r>
        <w:rPr>
          <w:rFonts w:hint="eastAsia" w:ascii="Times New Roman" w:hAnsi="Times New Roman" w:eastAsia="方正仿宋_GBK" w:cs="Times New Roman"/>
          <w:sz w:val="32"/>
          <w:szCs w:val="32"/>
        </w:rPr>
        <w:t>围绕葛仙湖公园、葛洪纪念馆等民生工程，进一步提升环境品质，打造句容人民的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文化归属地、城市新客厅</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。深入践行美丽江苏建设要求，推进美丽宜居城市和特色田园乡村建设，围绕</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四清一治一改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工作目标，持续推进农村人居环境改善，打造有活力、有魅力、有吸引力的美丽句容现实样板。</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擦亮生态底色，塑造园林城市。</w:t>
      </w:r>
      <w:r>
        <w:rPr>
          <w:rFonts w:hint="eastAsia" w:ascii="Times New Roman" w:hAnsi="Times New Roman" w:eastAsia="方正仿宋_GBK" w:cs="Times New Roman"/>
          <w:sz w:val="32"/>
          <w:szCs w:val="32"/>
          <w:lang w:val="zh-CN"/>
        </w:rPr>
        <w:t>完善口袋公园</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综合公园</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郊野公园体系，创建多元化的</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公园</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场景，城区内重点布局口袋公园，提升绿化可达性；城区周边着重打造宝华山森林公园、白兔</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茅山农业公园、茅山文化公园、赤山湖湿地公园四大郊野公园。丰富生态空间的可游览性，建设人与自然和谐共生的园林城市，处理好城市生产生活和生态环境保护的关系，充分实现生态效益和经济社会效益相统一。</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提升城乡建设管理水平。</w:t>
      </w:r>
      <w:r>
        <w:rPr>
          <w:rFonts w:hint="eastAsia" w:ascii="Times New Roman" w:hAnsi="Times New Roman" w:eastAsia="方正仿宋_GBK" w:cs="Times New Roman"/>
          <w:sz w:val="32"/>
          <w:szCs w:val="32"/>
        </w:rPr>
        <w:t>健全住房保障制度，加大老旧小区改造力度，努力实现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住有所居</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住有宜居</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转变。优先解决城市低收入家庭住房困难问题，降低住房保障准入门槛，有序扩大住房保障受众面，拓宽公租房来源渠道。构建城乡建设管理长效机制，编制国土空间规划，为经济社会发展留足空间。坚持从细节入手、从小处着眼，以精细化举措落实好农贸市场、老旧小区、公共厕所、背街小巷、垃圾分类等各项整治与难点问题。健全组织领导机制，完善监督考核机制，落实责任分工。形成覆盖全市的城乡网格治理体系，开展部门联合整治，建立联席会议制度，推动群众参与，形成齐抓共管局面。</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提升国土空间使用效率。</w:t>
      </w:r>
      <w:r>
        <w:rPr>
          <w:rFonts w:hint="eastAsia" w:ascii="Times New Roman" w:hAnsi="Times New Roman" w:eastAsia="方正仿宋_GBK" w:cs="Times New Roman"/>
          <w:sz w:val="32"/>
          <w:szCs w:val="32"/>
        </w:rPr>
        <w:t>明确区域国土空间目标定位，科学编制土地征收成片开发方案，依法依规开展土地征收工作。强化国土空间开发的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五量</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管控，推进城市功能配置、空间布局和基础设施的统筹衔接，对不同类别产业项目实行差别化市场准入政策，牢固树立以亩产论英雄的用地导向。编制再开发专项规划和年度实施计划，探索混合用地操作路径。深化规划用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多审合一、多证合一</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改革，推进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多验合一</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创新低效开发激励机制，开展存量建设用地利用现状及潜力调查，建立城镇低效用地数据库和管理平台。创新城市存量用地再利用，加强城镇存量建设用地的综合利用。积极盘活农业存量土地和低效用地，加快村庄闲置地和废弃地整理，鼓励农村宅基地资源有序退出，推动集体经营性建设用地积极入市。健全国土空间用途管制制度，制定空间准入清单，以审批、核准、备案、监测监管等为管制手段，形成全域、全要素、全过程用途管制实施细则，提高管理弹性。实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互联网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监管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体系，联合</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城市大脑</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运行管理系统，及时识别国土资源过度开发、粗放利用和突破规划控制要求的行为并进行预警。加强国土空间规划实施的考核，考核结果作为绩效考核的重要内容，强化责任追究制度。建立以信用为基础的监管体系与奖惩机制。</w:t>
      </w:r>
    </w:p>
    <w:p>
      <w:pPr>
        <w:spacing w:line="560" w:lineRule="exact"/>
        <w:rPr>
          <w:rFonts w:ascii="Times New Roman" w:hAnsi="Times New Roman" w:eastAsia="仿宋" w:cs="Times New Roman"/>
          <w:sz w:val="18"/>
          <w:szCs w:val="18"/>
        </w:rPr>
      </w:pPr>
    </w:p>
    <w:p>
      <w:pPr>
        <w:pStyle w:val="2"/>
        <w:adjustRightInd w:val="0"/>
        <w:snapToGrid w:val="0"/>
        <w:spacing w:before="0" w:after="0" w:line="540" w:lineRule="exact"/>
        <w:jc w:val="both"/>
        <w:rPr>
          <w:rFonts w:ascii="Times New Roman" w:hAnsi="Times New Roman" w:cs="Times New Roman"/>
          <w:bCs w:val="0"/>
        </w:rPr>
      </w:pPr>
      <w:bookmarkStart w:id="71" w:name="_Toc21974"/>
    </w:p>
    <w:p>
      <w:pPr>
        <w:pStyle w:val="2"/>
        <w:adjustRightInd w:val="0"/>
        <w:snapToGrid w:val="0"/>
        <w:spacing w:before="0" w:after="0" w:line="540" w:lineRule="exact"/>
        <w:rPr>
          <w:rFonts w:ascii="Times New Roman" w:hAnsi="Times New Roman" w:cs="Times New Roman"/>
          <w:bCs w:val="0"/>
        </w:rPr>
      </w:pPr>
      <w:r>
        <w:rPr>
          <w:rFonts w:hint="eastAsia" w:ascii="Times New Roman" w:hAnsi="Times New Roman" w:cs="Times New Roman"/>
          <w:bCs w:val="0"/>
        </w:rPr>
        <w:t>第六章</w:t>
      </w:r>
      <w:r>
        <w:rPr>
          <w:rFonts w:ascii="Times New Roman" w:hAnsi="Times New Roman" w:cs="Times New Roman"/>
          <w:bCs w:val="0"/>
        </w:rPr>
        <w:t xml:space="preserve"> </w:t>
      </w:r>
      <w:r>
        <w:rPr>
          <w:rFonts w:hint="eastAsia" w:ascii="Times New Roman" w:hAnsi="Times New Roman" w:cs="Times New Roman"/>
          <w:bCs w:val="0"/>
        </w:rPr>
        <w:t>坚持生态文明绿色发展</w:t>
      </w:r>
      <w:bookmarkEnd w:id="71"/>
    </w:p>
    <w:p>
      <w:pPr>
        <w:pStyle w:val="2"/>
        <w:adjustRightInd w:val="0"/>
        <w:snapToGrid w:val="0"/>
        <w:spacing w:before="0" w:after="0" w:line="540" w:lineRule="exact"/>
        <w:rPr>
          <w:rFonts w:ascii="Times New Roman" w:hAnsi="Times New Roman" w:cs="Times New Roman"/>
          <w:bCs w:val="0"/>
        </w:rPr>
      </w:pPr>
      <w:bookmarkStart w:id="72" w:name="_Toc15382"/>
      <w:r>
        <w:rPr>
          <w:rFonts w:hint="eastAsia" w:ascii="Times New Roman" w:hAnsi="Times New Roman" w:cs="Times New Roman"/>
          <w:bCs w:val="0"/>
        </w:rPr>
        <w:t>彰显山水田园福地生态气质</w:t>
      </w:r>
      <w:bookmarkEnd w:id="72"/>
    </w:p>
    <w:p>
      <w:pPr>
        <w:spacing w:line="540" w:lineRule="exact"/>
        <w:rPr>
          <w:rFonts w:ascii="Times New Roman" w:hAnsi="Times New Roman" w:cs="Times New Roman"/>
          <w:sz w:val="44"/>
          <w:szCs w:val="48"/>
        </w:rPr>
      </w:pP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仿宋_GBK" w:cs="Times New Roman"/>
          <w:sz w:val="32"/>
          <w:szCs w:val="32"/>
          <w:lang w:val="zh-CN"/>
        </w:rPr>
        <w:t>把生态作为重要战略资源和长期战略坚守，从生产生活生态系统发力，打造</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绿水青山就是金山银山</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的实践样板。</w:t>
      </w:r>
    </w:p>
    <w:p>
      <w:pPr>
        <w:pStyle w:val="3"/>
        <w:spacing w:line="540" w:lineRule="exact"/>
        <w:rPr>
          <w:rFonts w:ascii="Times New Roman" w:hAnsi="Times New Roman"/>
          <w:bCs w:val="0"/>
        </w:rPr>
      </w:pPr>
      <w:bookmarkStart w:id="73" w:name="_Toc5167"/>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严格落实生态保护底线思维</w:t>
      </w:r>
      <w:bookmarkEnd w:id="73"/>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优化生态发展格局。</w:t>
      </w:r>
      <w:r>
        <w:rPr>
          <w:rFonts w:hint="eastAsia" w:ascii="Times New Roman" w:hAnsi="Times New Roman" w:eastAsia="方正仿宋_GBK" w:cs="Times New Roman"/>
          <w:sz w:val="32"/>
          <w:szCs w:val="32"/>
          <w:lang w:val="zh-CN"/>
        </w:rPr>
        <w:t>构建</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三片八廊十点</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的市域生态空间格局，严守</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三条红线</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深入推进生态红线保护规划细化落地，加强生态红线区域内项目、设施的排查清理整顿，有序实施生态整治、恢复计划；梳理全域生态资源，调整优化生态保护评估与自然保护地体系，构建全域生态水网络、生态多样性保护安全格局与生态游憩廊道。划定并落实开发边界，测算城镇建设用地规模，识别全域潜力发展空间，合理统筹城镇发展并分配规模指标，划定城镇开发边界。</w:t>
      </w:r>
    </w:p>
    <w:tbl>
      <w:tblPr>
        <w:tblStyle w:val="22"/>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1" w:type="dxa"/>
          </w:tcPr>
          <w:p>
            <w:pPr>
              <w:pStyle w:val="20"/>
              <w:pBdr>
                <w:bottom w:val="single" w:color="auto" w:sz="4" w:space="1"/>
              </w:pBdr>
              <w:spacing w:beforeLines="50" w:beforeAutospacing="0" w:afterLines="50" w:afterAutospacing="0" w:line="540" w:lineRule="exact"/>
              <w:ind w:left="-141" w:leftChars="-67" w:right="-197" w:rightChars="-94"/>
              <w:jc w:val="center"/>
              <w:rPr>
                <w:rFonts w:eastAsia="方正黑体_GBK"/>
                <w:kern w:val="2"/>
                <w:szCs w:val="24"/>
                <w:lang w:val="zh-CN"/>
              </w:rPr>
            </w:pPr>
            <w:r>
              <w:rPr>
                <w:rFonts w:hint="eastAsia" w:eastAsia="方正黑体_GBK"/>
                <w:kern w:val="2"/>
                <w:szCs w:val="24"/>
                <w:lang w:val="zh-CN"/>
              </w:rPr>
              <w:t>专栏</w:t>
            </w:r>
            <w:r>
              <w:rPr>
                <w:rFonts w:eastAsia="方正黑体_GBK"/>
                <w:kern w:val="2"/>
                <w:szCs w:val="24"/>
                <w:lang w:val="zh-CN"/>
              </w:rPr>
              <w:t>6 “</w:t>
            </w:r>
            <w:r>
              <w:rPr>
                <w:rFonts w:hint="eastAsia" w:eastAsia="方正黑体_GBK"/>
                <w:kern w:val="2"/>
                <w:szCs w:val="24"/>
                <w:lang w:val="zh-CN"/>
              </w:rPr>
              <w:t>三片八廊十点</w:t>
            </w:r>
            <w:r>
              <w:rPr>
                <w:rFonts w:eastAsia="方正黑体_GBK"/>
                <w:kern w:val="2"/>
                <w:szCs w:val="24"/>
                <w:lang w:val="zh-CN"/>
              </w:rPr>
              <w:t>”</w:t>
            </w:r>
            <w:r>
              <w:rPr>
                <w:rFonts w:hint="eastAsia" w:eastAsia="方正黑体_GBK"/>
                <w:kern w:val="2"/>
                <w:szCs w:val="24"/>
                <w:lang w:val="zh-CN"/>
              </w:rPr>
              <w:t>市域生态空间格局构建</w:t>
            </w:r>
          </w:p>
          <w:p>
            <w:pPr>
              <w:pStyle w:val="20"/>
              <w:spacing w:before="0" w:beforeAutospacing="0" w:afterLines="50" w:afterAutospacing="0" w:line="540" w:lineRule="exact"/>
              <w:ind w:firstLine="480" w:firstLineChars="200"/>
              <w:jc w:val="both"/>
              <w:rPr>
                <w:kern w:val="2"/>
                <w:szCs w:val="24"/>
                <w:lang w:val="zh-CN"/>
              </w:rPr>
            </w:pPr>
            <w:r>
              <w:rPr>
                <w:rFonts w:hint="eastAsia"/>
                <w:kern w:val="2"/>
                <w:szCs w:val="24"/>
                <w:lang w:val="zh-CN"/>
              </w:rPr>
              <w:t>三片：宝华山</w:t>
            </w:r>
            <w:r>
              <w:rPr>
                <w:kern w:val="2"/>
                <w:szCs w:val="24"/>
                <w:lang w:val="zh-CN"/>
              </w:rPr>
              <w:t>-</w:t>
            </w:r>
            <w:r>
              <w:rPr>
                <w:rFonts w:hint="eastAsia"/>
                <w:kern w:val="2"/>
                <w:szCs w:val="24"/>
                <w:lang w:val="zh-CN"/>
              </w:rPr>
              <w:t>仑山、茅山、赤山湖三个重点生态维育片区</w:t>
            </w:r>
          </w:p>
          <w:p>
            <w:pPr>
              <w:pStyle w:val="20"/>
              <w:spacing w:before="0" w:beforeAutospacing="0" w:afterLines="50" w:afterAutospacing="0" w:line="540" w:lineRule="exact"/>
              <w:ind w:firstLine="480" w:firstLineChars="200"/>
              <w:jc w:val="both"/>
              <w:rPr>
                <w:kern w:val="2"/>
                <w:szCs w:val="24"/>
                <w:lang w:val="zh-CN"/>
              </w:rPr>
            </w:pPr>
            <w:r>
              <w:rPr>
                <w:rFonts w:hint="eastAsia"/>
                <w:kern w:val="2"/>
                <w:szCs w:val="24"/>
                <w:lang w:val="zh-CN"/>
              </w:rPr>
              <w:t>八廊：黄梅河、句容河、洛阳河、秦太运河（规划）、句容北河、句容南河、句容中河、便民河</w:t>
            </w:r>
            <w:r>
              <w:rPr>
                <w:kern w:val="2"/>
                <w:szCs w:val="24"/>
                <w:lang w:val="zh-CN"/>
              </w:rPr>
              <w:t>-</w:t>
            </w:r>
            <w:r>
              <w:rPr>
                <w:rFonts w:hint="eastAsia"/>
                <w:kern w:val="2"/>
                <w:szCs w:val="24"/>
                <w:lang w:val="zh-CN"/>
              </w:rPr>
              <w:t>大道河</w:t>
            </w:r>
            <w:r>
              <w:rPr>
                <w:kern w:val="2"/>
                <w:szCs w:val="24"/>
              </w:rPr>
              <w:t>8</w:t>
            </w:r>
            <w:r>
              <w:rPr>
                <w:rFonts w:hint="eastAsia"/>
                <w:kern w:val="2"/>
                <w:szCs w:val="24"/>
                <w:lang w:val="zh-CN"/>
              </w:rPr>
              <w:t>条水绿复合生态廊道</w:t>
            </w:r>
          </w:p>
          <w:p>
            <w:pPr>
              <w:pStyle w:val="20"/>
              <w:spacing w:before="0" w:beforeAutospacing="0" w:afterLines="50" w:afterAutospacing="0" w:line="540" w:lineRule="exact"/>
              <w:ind w:firstLine="480" w:firstLineChars="200"/>
              <w:jc w:val="both"/>
              <w:rPr>
                <w:kern w:val="2"/>
                <w:szCs w:val="24"/>
                <w:lang w:val="zh-CN"/>
              </w:rPr>
            </w:pPr>
            <w:r>
              <w:rPr>
                <w:rFonts w:hint="eastAsia"/>
                <w:kern w:val="2"/>
                <w:szCs w:val="24"/>
                <w:lang w:val="zh-CN"/>
              </w:rPr>
              <w:t>十点：乌背山、句容水库、幸福水库、黄岗寺、赤山湖、二圣水库、墓东水库、茅山水库、虬山水库、浮山十处平原丘陵生态景观节点</w:t>
            </w:r>
          </w:p>
        </w:tc>
      </w:tr>
    </w:tbl>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保护修复自然生态系统。</w:t>
      </w:r>
      <w:r>
        <w:rPr>
          <w:rFonts w:hint="eastAsia" w:ascii="Times New Roman" w:hAnsi="Times New Roman" w:eastAsia="方正仿宋_GBK" w:cs="Times New Roman"/>
          <w:sz w:val="32"/>
          <w:szCs w:val="32"/>
          <w:lang w:val="zh-CN"/>
        </w:rPr>
        <w:t>推进秦淮河流域上下游、句容河及其支流、便民河等跨界地区水环境治理。落实最严格的生态环境保护制度，强化宝华山、茅山、赤山湖</w:t>
      </w:r>
      <w:r>
        <w:rPr>
          <w:rFonts w:ascii="Times New Roman" w:hAnsi="Times New Roman" w:eastAsia="方正仿宋_GBK" w:cs="Times New Roman"/>
          <w:sz w:val="32"/>
          <w:szCs w:val="32"/>
          <w:lang w:val="zh-CN"/>
        </w:rPr>
        <w:t>3</w:t>
      </w:r>
      <w:r>
        <w:rPr>
          <w:rFonts w:hint="eastAsia" w:ascii="Times New Roman" w:hAnsi="Times New Roman" w:eastAsia="方正仿宋_GBK" w:cs="Times New Roman"/>
          <w:sz w:val="32"/>
          <w:szCs w:val="32"/>
          <w:lang w:val="zh-CN"/>
        </w:rPr>
        <w:t>个生态维育区建设。大力推进土地复垦工作，实施耕地占补平衡与城乡建设用地增减挂钩政策。加强生物多样性保护，推进山水林田湖草系统保护修复，增强生态系统的自然循环能力，维护生态系统动态平衡，丰富物种多样性。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zh-CN"/>
        </w:rPr>
        <w:t>林木覆盖率稳定在</w:t>
      </w:r>
      <w:r>
        <w:rPr>
          <w:rFonts w:ascii="Times New Roman" w:hAnsi="Times New Roman" w:eastAsia="方正仿宋_GBK" w:cs="Times New Roman"/>
          <w:sz w:val="32"/>
          <w:szCs w:val="32"/>
          <w:lang w:val="zh-CN"/>
        </w:rPr>
        <w:t>29.8%</w:t>
      </w:r>
      <w:r>
        <w:rPr>
          <w:rFonts w:hint="eastAsia" w:ascii="Times New Roman" w:hAnsi="Times New Roman" w:eastAsia="方正仿宋_GBK" w:cs="Times New Roman"/>
          <w:sz w:val="32"/>
          <w:szCs w:val="32"/>
          <w:lang w:val="zh-CN"/>
        </w:rPr>
        <w:t>以上。</w:t>
      </w: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打赢污染防治攻坚战。</w:t>
      </w:r>
      <w:r>
        <w:rPr>
          <w:rFonts w:hint="eastAsia" w:ascii="Times New Roman" w:hAnsi="Times New Roman" w:eastAsia="方正仿宋_GBK" w:cs="Times New Roman"/>
          <w:sz w:val="32"/>
          <w:szCs w:val="32"/>
          <w:lang w:val="zh-CN"/>
        </w:rPr>
        <w:t>坚决打赢蓝天保卫战，严格管控大气污染源。加大减排控源力度，全面完成水泥等重点行业超低排放改造。落实工地降尘抑尘措施，加强道路扬尘污染控制。治理工业废气污染，开展涉</w:t>
      </w:r>
      <w:r>
        <w:rPr>
          <w:rFonts w:ascii="Times New Roman" w:hAnsi="Times New Roman" w:eastAsia="方正仿宋_GBK" w:cs="Times New Roman"/>
          <w:sz w:val="32"/>
          <w:szCs w:val="32"/>
          <w:lang w:val="zh-CN"/>
        </w:rPr>
        <w:t>VOCs</w:t>
      </w:r>
      <w:r>
        <w:rPr>
          <w:rFonts w:hint="eastAsia" w:ascii="Times New Roman" w:hAnsi="Times New Roman" w:eastAsia="方正仿宋_GBK" w:cs="Times New Roman"/>
          <w:sz w:val="32"/>
          <w:szCs w:val="32"/>
          <w:lang w:val="zh-CN"/>
        </w:rPr>
        <w:t>排放企业的全面排查整治，降低臭氧污染水平。健全重污染天气预警和响应机制，确保</w:t>
      </w:r>
      <w:r>
        <w:rPr>
          <w:rFonts w:ascii="Times New Roman" w:hAnsi="Times New Roman" w:eastAsia="方正仿宋_GBK" w:cs="Times New Roman"/>
          <w:sz w:val="32"/>
          <w:szCs w:val="32"/>
          <w:lang w:val="zh-CN"/>
        </w:rPr>
        <w:t>PM</w:t>
      </w:r>
      <w:r>
        <w:rPr>
          <w:rFonts w:ascii="Times New Roman" w:hAnsi="Times New Roman" w:eastAsia="方正仿宋_GBK" w:cs="Times New Roman"/>
          <w:sz w:val="32"/>
          <w:szCs w:val="32"/>
          <w:vertAlign w:val="subscript"/>
          <w:lang w:val="zh-CN"/>
        </w:rPr>
        <w:t>2.5</w:t>
      </w:r>
      <w:r>
        <w:rPr>
          <w:rFonts w:hint="eastAsia" w:ascii="Times New Roman" w:hAnsi="Times New Roman" w:eastAsia="方正仿宋_GBK" w:cs="Times New Roman"/>
          <w:sz w:val="32"/>
          <w:szCs w:val="32"/>
          <w:lang w:val="zh-CN"/>
        </w:rPr>
        <w:t>浓度不断下降。着力打好碧水保卫战，严格执行</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排口长制</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，强化河湖巡查长效管护力度，确保晴天污水不下河。落实</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断面长</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制，实施不达标断面水体综合整治。精准推进城区雨污分流改造工程，提标改造城区污水厂。强化排水许可管理，全面排查排污行为，确保污水纳管全覆盖。加强控源截污，加大镇村污水收集，完善街镇污水管网配套。加大北山水库、二圣水库、句容水库等饮用水水源地保护力度，确保水源地水质稳定达标。扎实推进净土保卫战，开展土壤污染状况调查，建立污染地块名录及开发利用负面清单。实施重金属减排计划，加强土壤污染风险管控和修复。力争完成长江经济带废弃露天矿山生态修复工作。建立健全巡查管控机制，严格落实危险废物经营许可、转移管理等制度，严厉打击固体废物非法倾倒等环境违法犯罪行为。</w:t>
      </w: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践行绿色生产生活方式。</w:t>
      </w:r>
      <w:r>
        <w:rPr>
          <w:rFonts w:hint="eastAsia" w:ascii="Times New Roman" w:hAnsi="Times New Roman" w:eastAsia="方正仿宋_GBK" w:cs="Times New Roman"/>
          <w:sz w:val="32"/>
          <w:szCs w:val="32"/>
          <w:lang w:val="zh-CN"/>
        </w:rPr>
        <w:t>科学推进节能减排，加快构建绿色低碳循环产业体系，大力创建</w:t>
      </w:r>
      <w:r>
        <w:rPr>
          <w:rFonts w:hint="eastAsia" w:ascii="Times New Roman" w:hAnsi="Times New Roman" w:eastAsia="方正仿宋_GBK" w:cs="Times New Roman"/>
          <w:sz w:val="32"/>
          <w:szCs w:val="32"/>
        </w:rPr>
        <w:t>绿色工厂。</w:t>
      </w:r>
      <w:r>
        <w:rPr>
          <w:rFonts w:hint="eastAsia" w:ascii="Times New Roman" w:hAnsi="Times New Roman" w:eastAsia="方正仿宋_GBK" w:cs="Times New Roman"/>
          <w:sz w:val="32"/>
          <w:szCs w:val="32"/>
          <w:lang w:val="zh-CN"/>
        </w:rPr>
        <w:t>严格控制电力行业煤炭消费新增量，重点削减非电行业煤炭消费总量。加快句容抽水蓄能电站、石砀山抽水蓄能电站建设，发展分布式能源、热电联产、智能电网等供能方式，加快采用节能新技术、新产品和新装备。深入开展绿色建筑行动，大力发展绿色建材。</w:t>
      </w:r>
      <w:r>
        <w:rPr>
          <w:rFonts w:hint="eastAsia" w:ascii="Times New Roman" w:hAnsi="Times New Roman" w:eastAsia="方正仿宋_GBK" w:cs="Times New Roman"/>
          <w:sz w:val="32"/>
          <w:szCs w:val="32"/>
        </w:rPr>
        <w:t>鼓励一水多用和循环利用，提高中水回用率。推动农业高效节水，积极推行先进适用的节水灌溉技术。</w:t>
      </w:r>
      <w:r>
        <w:rPr>
          <w:rFonts w:hint="eastAsia" w:ascii="Times New Roman" w:hAnsi="Times New Roman" w:eastAsia="方正仿宋_GBK" w:cs="Times New Roman"/>
          <w:sz w:val="32"/>
          <w:szCs w:val="32"/>
          <w:lang w:val="zh-CN"/>
        </w:rPr>
        <w:t>倡导低碳生活方式，推动生态环境国情和绿色价值观教育，培养公民环境意识，鼓励使用绿色标识产品，开展光盘行动，推行绿色办公。健全垃圾分类收运体系，加强垃圾分类基础设施建设，推行生活垃圾分类制度，到</w:t>
      </w:r>
      <w:r>
        <w:rPr>
          <w:rFonts w:ascii="Times New Roman" w:hAnsi="Times New Roman" w:eastAsia="方正仿宋_GBK" w:cs="Times New Roman"/>
          <w:sz w:val="32"/>
          <w:szCs w:val="32"/>
          <w:lang w:val="zh-CN"/>
        </w:rPr>
        <w:t>2025</w:t>
      </w:r>
      <w:r>
        <w:rPr>
          <w:rFonts w:hint="eastAsia" w:ascii="Times New Roman" w:hAnsi="Times New Roman" w:eastAsia="方正仿宋_GBK" w:cs="Times New Roman"/>
          <w:sz w:val="32"/>
          <w:szCs w:val="32"/>
          <w:lang w:val="zh-CN"/>
        </w:rPr>
        <w:t>年城市生活垃圾分类集中处理率达</w:t>
      </w:r>
      <w:r>
        <w:rPr>
          <w:rFonts w:ascii="Times New Roman" w:hAnsi="Times New Roman" w:eastAsia="方正仿宋_GBK" w:cs="Times New Roman"/>
          <w:sz w:val="32"/>
          <w:szCs w:val="32"/>
          <w:lang w:val="zh-CN"/>
        </w:rPr>
        <w:t>95%</w:t>
      </w:r>
      <w:r>
        <w:rPr>
          <w:rFonts w:hint="eastAsia" w:ascii="Times New Roman" w:hAnsi="Times New Roman" w:eastAsia="方正仿宋_GBK" w:cs="Times New Roman"/>
          <w:sz w:val="32"/>
          <w:szCs w:val="32"/>
          <w:lang w:val="zh-CN"/>
        </w:rPr>
        <w:t>。</w:t>
      </w:r>
    </w:p>
    <w:p>
      <w:pPr>
        <w:pStyle w:val="3"/>
        <w:spacing w:line="540" w:lineRule="exact"/>
        <w:rPr>
          <w:rFonts w:ascii="Times New Roman" w:hAnsi="Times New Roman"/>
          <w:bCs w:val="0"/>
        </w:rPr>
      </w:pPr>
      <w:bookmarkStart w:id="74" w:name="_Toc3272"/>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促进生态优势经济转化</w:t>
      </w:r>
      <w:bookmarkEnd w:id="74"/>
    </w:p>
    <w:p>
      <w:pPr>
        <w:spacing w:line="540" w:lineRule="exact"/>
        <w:ind w:firstLine="640" w:firstLineChars="200"/>
        <w:rPr>
          <w:rFonts w:ascii="Times New Roman" w:hAnsi="Times New Roman" w:cs="Times New Roman"/>
          <w:bCs w:val="0"/>
        </w:rPr>
      </w:pPr>
      <w:r>
        <w:rPr>
          <w:rFonts w:hint="eastAsia" w:ascii="Times New Roman" w:hAnsi="Times New Roman" w:eastAsia="方正楷体_GBK" w:cs="Times New Roman"/>
          <w:sz w:val="32"/>
          <w:szCs w:val="32"/>
          <w:lang w:val="zh-CN"/>
        </w:rPr>
        <w:t>探索生态产品价值实现机制。</w:t>
      </w:r>
      <w:r>
        <w:rPr>
          <w:rFonts w:hint="eastAsia" w:ascii="Times New Roman" w:hAnsi="Times New Roman" w:eastAsia="方正仿宋_GBK" w:cs="Times New Roman"/>
          <w:sz w:val="32"/>
          <w:szCs w:val="32"/>
          <w:lang w:val="zh-CN"/>
        </w:rPr>
        <w:t>实施自然资源资产确权登记，建立生态产品交易平台，推动生态资源价值转化，建立生态系统生产总值（</w:t>
      </w:r>
      <w:r>
        <w:rPr>
          <w:rFonts w:ascii="Times New Roman" w:hAnsi="Times New Roman" w:eastAsia="方正仿宋_GBK" w:cs="Times New Roman"/>
          <w:sz w:val="32"/>
          <w:szCs w:val="32"/>
          <w:lang w:val="zh-CN"/>
        </w:rPr>
        <w:t>GEP</w:t>
      </w:r>
      <w:r>
        <w:rPr>
          <w:rFonts w:hint="eastAsia" w:ascii="Times New Roman" w:hAnsi="Times New Roman" w:eastAsia="方正仿宋_GBK" w:cs="Times New Roman"/>
          <w:sz w:val="32"/>
          <w:szCs w:val="32"/>
          <w:lang w:val="zh-CN"/>
        </w:rPr>
        <w:t>）核算框架和指标体系，健全生态绩效考核机制。建立绿色金融支持保障机制，打通生态资源资本通道。探索建立生态补偿制度，开展改革试点，合理提高补偿标准，扩大补偿范围。加大对生态保护红线和生态空间管控区域的转移支付力度，向生态敏感和脆弱地区、流域倾斜，推进有关转移支付分配与生态保护成效挂钩，探索资金、政策、产业及技术等多元互补方式。逐步实现森林、湿地、河湖、耕地等重点领域和禁止开发、生态保护红线、生态空间管控等重点区域全覆盖。</w:t>
      </w:r>
      <w:bookmarkStart w:id="75" w:name="_Toc31747"/>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ascii="Times New Roman" w:hAnsi="Times New Roman" w:cs="Times New Roman"/>
          <w:bCs w:val="0"/>
        </w:rPr>
      </w:pPr>
      <w:r>
        <w:rPr>
          <w:rFonts w:hint="eastAsia" w:ascii="Times New Roman" w:hAnsi="Times New Roman" w:cs="Times New Roman"/>
          <w:bCs w:val="0"/>
        </w:rPr>
        <w:t>第七章</w:t>
      </w:r>
      <w:r>
        <w:rPr>
          <w:rFonts w:ascii="Times New Roman" w:hAnsi="Times New Roman" w:cs="Times New Roman"/>
          <w:bCs w:val="0"/>
        </w:rPr>
        <w:t xml:space="preserve"> </w:t>
      </w:r>
      <w:r>
        <w:rPr>
          <w:rFonts w:hint="eastAsia" w:ascii="Times New Roman" w:hAnsi="Times New Roman" w:cs="Times New Roman"/>
          <w:bCs w:val="0"/>
        </w:rPr>
        <w:t>深入实施乡村振兴战略</w:t>
      </w:r>
      <w:bookmarkEnd w:id="75"/>
    </w:p>
    <w:p>
      <w:pPr>
        <w:pStyle w:val="2"/>
        <w:adjustRightInd w:val="0"/>
        <w:snapToGrid w:val="0"/>
        <w:spacing w:before="0" w:after="0" w:line="560" w:lineRule="exact"/>
        <w:rPr>
          <w:rFonts w:ascii="Times New Roman" w:hAnsi="Times New Roman" w:cs="Times New Roman"/>
          <w:bCs w:val="0"/>
        </w:rPr>
      </w:pPr>
      <w:bookmarkStart w:id="76" w:name="_Toc20527"/>
      <w:r>
        <w:rPr>
          <w:rFonts w:hint="eastAsia" w:ascii="Times New Roman" w:hAnsi="Times New Roman" w:cs="Times New Roman"/>
          <w:bCs w:val="0"/>
        </w:rPr>
        <w:t>提升农民获得感</w:t>
      </w:r>
      <w:bookmarkEnd w:id="76"/>
    </w:p>
    <w:p>
      <w:pPr>
        <w:rPr>
          <w:rFonts w:ascii="Times New Roman" w:hAnsi="Times New Roman" w:cs="Times New Roman"/>
          <w:sz w:val="44"/>
          <w:szCs w:val="48"/>
        </w:rPr>
      </w:pPr>
    </w:p>
    <w:p>
      <w:pPr>
        <w:rPr>
          <w:rFonts w:ascii="Times New Roman" w:hAnsi="Times New Roman" w:cs="Times New Roman"/>
        </w:rPr>
      </w:pP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围绕乡村振兴战略</w:t>
      </w:r>
      <w:r>
        <w:rPr>
          <w:rFonts w:ascii="Times New Roman" w:hAnsi="Times New Roman" w:eastAsia="方正仿宋_GBK" w:cs="Times New Roman"/>
          <w:sz w:val="32"/>
          <w:szCs w:val="32"/>
        </w:rPr>
        <w:t>“20</w:t>
      </w:r>
      <w:r>
        <w:rPr>
          <w:rFonts w:hint="eastAsia" w:ascii="Times New Roman" w:hAnsi="Times New Roman" w:eastAsia="方正仿宋_GBK" w:cs="Times New Roman"/>
          <w:sz w:val="32"/>
          <w:szCs w:val="32"/>
        </w:rPr>
        <w:t>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方针，通过系统谋划、统筹推进、重点攻坚，打造具有句容特色的田园牧歌。</w:t>
      </w:r>
    </w:p>
    <w:p>
      <w:pPr>
        <w:pStyle w:val="3"/>
        <w:spacing w:line="580" w:lineRule="exact"/>
        <w:rPr>
          <w:rFonts w:ascii="Times New Roman" w:hAnsi="Times New Roman"/>
          <w:bCs w:val="0"/>
        </w:rPr>
      </w:pPr>
      <w:bookmarkStart w:id="77" w:name="_Toc10053"/>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加快美丽乡村建设</w:t>
      </w:r>
      <w:bookmarkEnd w:id="77"/>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优化乡村发展格局。</w:t>
      </w:r>
      <w:r>
        <w:rPr>
          <w:rFonts w:hint="eastAsia" w:ascii="Times New Roman" w:hAnsi="Times New Roman" w:eastAsia="方正仿宋_GBK" w:cs="Times New Roman"/>
          <w:sz w:val="32"/>
          <w:szCs w:val="32"/>
          <w:lang w:val="zh-CN"/>
        </w:rPr>
        <w:t>按照</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鼓励进城、引导入镇、尊重留村</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的原则，推进村庄居住布局的相对集中以及村级公共服务的均等化。优化市域村镇体系布局，</w:t>
      </w:r>
      <w:r>
        <w:rPr>
          <w:rFonts w:hint="eastAsia" w:ascii="Times New Roman" w:hAnsi="Times New Roman" w:eastAsia="方正仿宋_GBK" w:cs="Times New Roman"/>
          <w:sz w:val="32"/>
          <w:szCs w:val="32"/>
        </w:rPr>
        <w:t>分类有序推进乡村建设。以农村建设用地减量化为目标，有序推进产业向园区集中、居住向新型社区集中、土地向适度规模经营集中，形成布局合理、分工有序、开放互通的城乡空间结构。</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加快美丽乡村建设。</w:t>
      </w:r>
      <w:r>
        <w:rPr>
          <w:rFonts w:hint="eastAsia" w:ascii="Times New Roman" w:hAnsi="Times New Roman" w:eastAsia="方正仿宋_GBK" w:cs="Times New Roman"/>
          <w:sz w:val="32"/>
          <w:szCs w:val="32"/>
          <w:lang w:val="zh-CN"/>
        </w:rPr>
        <w:t>注重乡村特色塑造</w:t>
      </w:r>
      <w:r>
        <w:rPr>
          <w:rFonts w:hint="eastAsia" w:ascii="Times New Roman" w:hAnsi="Times New Roman" w:eastAsia="方正仿宋_GBK" w:cs="Times New Roman"/>
          <w:sz w:val="32"/>
          <w:szCs w:val="32"/>
        </w:rPr>
        <w:t>，统筹传统村落、古村落、省市级美丽宜居示范村等保护与开发，打造产业</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特而强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、功能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聚而合</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、形态</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小而美</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的特色村庄。进一步优化山水、田园、村落等空</w:t>
      </w:r>
      <w:r>
        <w:rPr>
          <w:rFonts w:hint="eastAsia" w:ascii="Times New Roman" w:hAnsi="Times New Roman" w:eastAsia="方正仿宋_GBK" w:cs="Times New Roman"/>
          <w:sz w:val="32"/>
          <w:szCs w:val="32"/>
          <w:lang w:val="zh-CN"/>
        </w:rPr>
        <w:t>间要素，打造特色产业、特色生态、特色文化，塑造田园风光、田园建筑、田园生活，持续扮靓乡村颜值。</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实施乡村建设行动。</w:t>
      </w:r>
      <w:r>
        <w:rPr>
          <w:rFonts w:hint="eastAsia" w:ascii="Times New Roman" w:hAnsi="Times New Roman" w:eastAsia="方正仿宋_GBK" w:cs="Times New Roman"/>
          <w:sz w:val="32"/>
          <w:szCs w:val="32"/>
        </w:rPr>
        <w:t>重点抓好农村交通运输、农田水利、农村饮水、乡村物流、宽带网络等基础设施建设。加快数字乡村建设，实施数字乡村战略，弥合城乡新基建鸿沟，着力发挥信息数字技术在农村释放的普惠效应和溢出效应，进一步夯实乡村振兴的基础，</w:t>
      </w:r>
      <w:r>
        <w:rPr>
          <w:rFonts w:hint="eastAsia" w:ascii="Times New Roman" w:hAnsi="Times New Roman" w:eastAsia="方正仿宋_GBK" w:cs="Times New Roman"/>
          <w:sz w:val="32"/>
          <w:szCs w:val="32"/>
          <w:lang w:val="zh-CN"/>
        </w:rPr>
        <w:t>建立完善以农民为主体的长效管护机制</w:t>
      </w:r>
      <w:r>
        <w:rPr>
          <w:rFonts w:hint="eastAsia" w:ascii="Times New Roman" w:hAnsi="Times New Roman" w:eastAsia="方正仿宋_GBK" w:cs="Times New Roman"/>
          <w:sz w:val="32"/>
          <w:szCs w:val="32"/>
        </w:rPr>
        <w:t>。完善城乡供水设施布局，实施一批重点水源工程，优化供水网络，推进句容市长江引水暨城区水厂、下蜀水厂建设工程，构建安全优质、城乡统筹的供水保障体系。着力补齐水利短板，实施长江堤防加固工程、河湖水库除险加固计划，加强区域综合治理，提高防洪抗旱能力。</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0"/>
              <w:pBdr>
                <w:bottom w:val="single" w:color="auto" w:sz="4" w:space="1"/>
              </w:pBdr>
              <w:spacing w:beforeLines="50" w:beforeAutospacing="0" w:afterLines="50" w:afterAutospacing="0"/>
              <w:ind w:left="-141" w:leftChars="-67" w:right="-197" w:rightChars="-94"/>
              <w:jc w:val="center"/>
              <w:rPr>
                <w:rFonts w:eastAsia="方正黑体_GBK"/>
                <w:kern w:val="2"/>
                <w:szCs w:val="24"/>
                <w:lang w:val="zh-CN"/>
              </w:rPr>
            </w:pPr>
            <w:r>
              <w:rPr>
                <w:rFonts w:hint="eastAsia" w:eastAsia="方正黑体_GBK"/>
                <w:kern w:val="2"/>
                <w:szCs w:val="24"/>
                <w:lang w:val="zh-CN"/>
              </w:rPr>
              <w:t>专栏</w:t>
            </w:r>
            <w:r>
              <w:rPr>
                <w:rFonts w:eastAsia="方正黑体_GBK"/>
                <w:kern w:val="2"/>
                <w:szCs w:val="24"/>
                <w:lang w:val="zh-CN"/>
              </w:rPr>
              <w:t>7</w:t>
            </w:r>
            <w:r>
              <w:rPr>
                <w:rFonts w:eastAsia="方正黑体_GBK"/>
                <w:kern w:val="2"/>
                <w:szCs w:val="24"/>
              </w:rPr>
              <w:t xml:space="preserve">  </w:t>
            </w:r>
            <w:r>
              <w:rPr>
                <w:rFonts w:eastAsia="方正黑体_GBK"/>
                <w:kern w:val="2"/>
                <w:szCs w:val="24"/>
                <w:lang w:val="zh-CN"/>
              </w:rPr>
              <w:t>“</w:t>
            </w:r>
            <w:r>
              <w:rPr>
                <w:rFonts w:hint="eastAsia" w:eastAsia="方正黑体_GBK"/>
                <w:kern w:val="2"/>
                <w:szCs w:val="24"/>
                <w:lang w:val="zh-CN"/>
              </w:rPr>
              <w:t>十四五</w:t>
            </w:r>
            <w:r>
              <w:rPr>
                <w:rFonts w:eastAsia="方正黑体_GBK"/>
                <w:kern w:val="2"/>
                <w:szCs w:val="24"/>
                <w:lang w:val="zh-CN"/>
              </w:rPr>
              <w:t>”</w:t>
            </w:r>
            <w:r>
              <w:rPr>
                <w:rFonts w:hint="eastAsia" w:eastAsia="方正黑体_GBK"/>
                <w:kern w:val="2"/>
                <w:szCs w:val="24"/>
                <w:lang w:val="zh-CN"/>
              </w:rPr>
              <w:t>水利重点工程建设计划</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流域防洪工程：长江江港堤防加固工程</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区域治理：洛阳河整治工程、跃进河整治工程、糜市河整治工程、幸福河整治工程、老便民河整治工程、便民河及其支河防渗加固工程、凤坛河与和平山水河整治工程、南河上段整治工程、中河及北河等河道堤防加固工程、汤水河水系句容片区综合治理工程</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水库除险加固工程：仑山水库除险加固工程、小水库除险加固、非在册小水库除险加固</w:t>
            </w:r>
          </w:p>
          <w:p>
            <w:pPr>
              <w:pStyle w:val="20"/>
              <w:spacing w:before="0" w:beforeAutospacing="0" w:afterLines="50" w:afterAutospacing="0" w:line="288" w:lineRule="auto"/>
              <w:ind w:firstLine="480" w:firstLineChars="200"/>
              <w:jc w:val="both"/>
              <w:rPr>
                <w:kern w:val="2"/>
                <w:szCs w:val="24"/>
                <w:lang w:val="zh-CN"/>
              </w:rPr>
            </w:pPr>
            <w:r>
              <w:rPr>
                <w:rFonts w:hint="eastAsia"/>
                <w:kern w:val="2"/>
                <w:szCs w:val="24"/>
                <w:lang w:val="zh-CN"/>
              </w:rPr>
              <w:t>水生态保护工程：句容河生态河道建设工程</w:t>
            </w:r>
          </w:p>
        </w:tc>
      </w:tr>
    </w:tbl>
    <w:p>
      <w:pPr>
        <w:pStyle w:val="3"/>
        <w:spacing w:line="580" w:lineRule="exact"/>
        <w:rPr>
          <w:rFonts w:ascii="Times New Roman" w:hAnsi="Times New Roman"/>
          <w:bCs w:val="0"/>
        </w:rPr>
      </w:pPr>
      <w:bookmarkStart w:id="78" w:name="_Toc15267"/>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深化农村体制机制改革</w:t>
      </w:r>
      <w:bookmarkEnd w:id="78"/>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严格落实耕地保护制度。</w:t>
      </w:r>
      <w:r>
        <w:rPr>
          <w:rFonts w:hint="eastAsia" w:ascii="Times New Roman" w:hAnsi="Times New Roman" w:eastAsia="方正仿宋_GBK" w:cs="Times New Roman"/>
          <w:sz w:val="32"/>
          <w:szCs w:val="32"/>
          <w:lang w:val="zh-CN"/>
        </w:rPr>
        <w:t>落实耕地和永久基本农田保护制度，建立永久基本农田储备区制度并全面完成永久划定工作，完成上级下达的耕地保有量任务，</w:t>
      </w:r>
      <w:r>
        <w:rPr>
          <w:rFonts w:hint="eastAsia" w:ascii="Times New Roman" w:hAnsi="Times New Roman" w:eastAsia="方正仿宋_GBK" w:cs="Times New Roman"/>
          <w:sz w:val="32"/>
          <w:szCs w:val="32"/>
        </w:rPr>
        <w:t>加强粮食生产功能区、重要农产品生产保护区和特色农产品优势区建设，推进优质粮食工程，</w:t>
      </w:r>
      <w:r>
        <w:rPr>
          <w:rFonts w:hint="eastAsia" w:ascii="Times New Roman" w:hAnsi="Times New Roman" w:eastAsia="方正仿宋_GBK" w:cs="Times New Roman"/>
          <w:sz w:val="32"/>
          <w:szCs w:val="32"/>
          <w:lang w:val="zh-CN"/>
        </w:rPr>
        <w:t>稳定粮食生产，保障粮食安全。到</w:t>
      </w:r>
      <w:r>
        <w:rPr>
          <w:rFonts w:ascii="Times New Roman" w:hAnsi="Times New Roman" w:eastAsia="方正仿宋_GBK" w:cs="Times New Roman"/>
          <w:sz w:val="32"/>
          <w:szCs w:val="32"/>
          <w:lang w:val="zh-CN"/>
        </w:rPr>
        <w:t>2025</w:t>
      </w:r>
      <w:r>
        <w:rPr>
          <w:rFonts w:hint="eastAsia" w:ascii="Times New Roman" w:hAnsi="Times New Roman" w:eastAsia="方正仿宋_GBK" w:cs="Times New Roman"/>
          <w:sz w:val="32"/>
          <w:szCs w:val="32"/>
          <w:lang w:val="zh-CN"/>
        </w:rPr>
        <w:t>年，</w:t>
      </w:r>
      <w:r>
        <w:rPr>
          <w:rFonts w:hint="eastAsia" w:ascii="Times New Roman" w:hAnsi="Times New Roman" w:eastAsia="方正仿宋_GBK" w:cs="Times New Roman"/>
          <w:sz w:val="32"/>
          <w:szCs w:val="32"/>
        </w:rPr>
        <w:t>粮食面积稳定在</w:t>
      </w:r>
      <w:r>
        <w:rPr>
          <w:rFonts w:ascii="Times New Roman" w:hAnsi="Times New Roman" w:eastAsia="方正仿宋_GBK" w:cs="Times New Roman"/>
          <w:sz w:val="32"/>
          <w:szCs w:val="32"/>
        </w:rPr>
        <w:t>58.4</w:t>
      </w:r>
      <w:r>
        <w:rPr>
          <w:rFonts w:hint="eastAsia" w:ascii="Times New Roman" w:hAnsi="Times New Roman" w:eastAsia="方正仿宋_GBK" w:cs="Times New Roman"/>
          <w:sz w:val="32"/>
          <w:szCs w:val="32"/>
        </w:rPr>
        <w:t>万亩，</w:t>
      </w:r>
      <w:r>
        <w:rPr>
          <w:rFonts w:hint="eastAsia" w:ascii="Times New Roman" w:hAnsi="Times New Roman" w:eastAsia="方正仿宋_GBK" w:cs="Times New Roman"/>
          <w:sz w:val="32"/>
          <w:szCs w:val="32"/>
          <w:lang w:eastAsia="zh-CN"/>
        </w:rPr>
        <w:t>粮食综合生产能力稳定</w:t>
      </w:r>
      <w:r>
        <w:rPr>
          <w:rFonts w:hint="eastAsia" w:ascii="Times New Roman" w:hAnsi="Times New Roman" w:eastAsia="方正仿宋_GBK" w:cs="Times New Roman"/>
          <w:sz w:val="32"/>
          <w:szCs w:val="32"/>
        </w:rPr>
        <w:t>在</w:t>
      </w:r>
      <w:r>
        <w:rPr>
          <w:rFonts w:hint="eastAsia" w:ascii="Times New Roman" w:hAnsi="Times New Roman" w:eastAsia="方正仿宋_GBK" w:cs="Times New Roman"/>
          <w:sz w:val="32"/>
          <w:szCs w:val="32"/>
          <w:lang w:val="en-US" w:eastAsia="zh-CN"/>
        </w:rPr>
        <w:t>25.5</w:t>
      </w:r>
      <w:r>
        <w:rPr>
          <w:rFonts w:hint="eastAsia" w:ascii="Times New Roman" w:hAnsi="Times New Roman" w:eastAsia="方正仿宋_GBK" w:cs="Times New Roman"/>
          <w:sz w:val="32"/>
          <w:szCs w:val="32"/>
        </w:rPr>
        <w:t>万吨</w:t>
      </w:r>
      <w:r>
        <w:rPr>
          <w:rFonts w:hint="eastAsia" w:ascii="Times New Roman" w:hAnsi="Times New Roman" w:eastAsia="方正仿宋_GBK" w:cs="Times New Roman"/>
          <w:sz w:val="32"/>
          <w:szCs w:val="32"/>
          <w:lang w:eastAsia="zh-CN"/>
        </w:rPr>
        <w:t>左右</w:t>
      </w:r>
      <w:r>
        <w:rPr>
          <w:rFonts w:hint="eastAsia" w:ascii="Times New Roman" w:hAnsi="Times New Roman" w:eastAsia="方正仿宋_GBK" w:cs="Times New Roman"/>
          <w:sz w:val="32"/>
          <w:szCs w:val="32"/>
        </w:rPr>
        <w:t>，优质食味米覆盖率达到</w:t>
      </w:r>
      <w:r>
        <w:rPr>
          <w:rFonts w:ascii="Times New Roman" w:hAnsi="Times New Roman" w:eastAsia="方正仿宋_GBK" w:cs="Times New Roman"/>
          <w:sz w:val="32"/>
          <w:szCs w:val="32"/>
        </w:rPr>
        <w:t>70%</w:t>
      </w:r>
      <w:r>
        <w:rPr>
          <w:rFonts w:hint="eastAsia" w:ascii="Times New Roman" w:hAnsi="Times New Roman" w:eastAsia="方正仿宋_GBK" w:cs="Times New Roman"/>
          <w:sz w:val="32"/>
          <w:szCs w:val="32"/>
        </w:rPr>
        <w:t>。</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积极推动城乡融合发展。</w:t>
      </w:r>
      <w:r>
        <w:rPr>
          <w:rFonts w:hint="eastAsia" w:ascii="Times New Roman" w:hAnsi="Times New Roman" w:eastAsia="方正仿宋_GBK" w:cs="Times New Roman"/>
          <w:sz w:val="32"/>
          <w:szCs w:val="32"/>
        </w:rPr>
        <w:t>加快实施以促进人的城镇化为核心、以提高质量为导向的新型城镇化战略，增强城镇的综合承载、资源优化配置能力。有序推动农业转移人口市民化。建立城乡有序流动的人口迁徙制度，探索户籍制度与居住证制度并轨，完善农业转移人口市民化支持政策。引导城乡基础设施和公用设施统一规划、建设和管护，推进城乡基本公共服务制度并轨。促进城乡经济融合发展，加快推进农村土地制度改革，依法合规推动农村集体经营性建设用地使用权、农民房屋财产权、集体林权抵押融资，以及承包地经营权、集体资产股权、预期收益权等担保融资试验，探索政府引导下工商资本、金融资本与农民集体合作共赢的模式。</w:t>
      </w:r>
      <w:r>
        <w:rPr>
          <w:rFonts w:hint="eastAsia" w:ascii="Times New Roman" w:hAnsi="Times New Roman" w:eastAsia="方正仿宋_GBK" w:cs="Times New Roman"/>
          <w:sz w:val="32"/>
          <w:szCs w:val="32"/>
          <w:lang w:val="zh-CN"/>
        </w:rPr>
        <w:t>健全集体经营性建设用地的市场化机制，完善集体经营性建设用地使用权转让、出租、抵押二级市场，建立集体经营性建设用地使用权抵押贷款机制，建立城乡统一建设用地交易平台。</w:t>
      </w:r>
      <w:r>
        <w:rPr>
          <w:rFonts w:hint="eastAsia" w:ascii="Times New Roman" w:hAnsi="Times New Roman" w:eastAsia="方正仿宋_GBK" w:cs="Times New Roman"/>
          <w:sz w:val="32"/>
          <w:szCs w:val="32"/>
        </w:rPr>
        <w:t>引导城乡人口有序对流，制定财政、金融、社会保障等激励政策，吸引各类人才返乡入乡创业，开展支持农民工等人员返乡创业试点。</w:t>
      </w:r>
      <w:r>
        <w:rPr>
          <w:rFonts w:hint="eastAsia" w:ascii="Times New Roman" w:hAnsi="Times New Roman" w:eastAsia="方正仿宋_GBK" w:cs="Times New Roman"/>
          <w:sz w:val="32"/>
          <w:szCs w:val="32"/>
          <w:lang w:val="zh-CN"/>
        </w:rPr>
        <w:t>总结</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何庄经验</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，完善成员界定和股权设置，有序开展试验村庄村社分账、集体经济组织成员制度等任务，引导深化村集体更好地赋予农民对集体资产股份占有、收益、有偿退出及抵押、担保、继承权</w:t>
      </w:r>
      <w:r>
        <w:rPr>
          <w:rFonts w:hint="eastAsia" w:ascii="Times New Roman" w:hAnsi="Times New Roman" w:eastAsia="方正仿宋_GBK" w:cs="Times New Roman"/>
          <w:sz w:val="32"/>
          <w:szCs w:val="32"/>
        </w:rPr>
        <w:t>。</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拓展农民增收创收渠道。</w:t>
      </w:r>
      <w:r>
        <w:rPr>
          <w:rFonts w:hint="eastAsia" w:ascii="Times New Roman" w:hAnsi="Times New Roman" w:eastAsia="方正仿宋_GBK" w:cs="Times New Roman"/>
          <w:sz w:val="32"/>
          <w:szCs w:val="32"/>
          <w:lang w:val="zh-CN"/>
        </w:rPr>
        <w:t>提升农民经营性收入，完善企业与农民利益的联动机制，加快培育农民合作社、家庭农场、农业龙头企业等新型农业经营主体，鼓励支持农民乡村创业，健全农业专业化社会化服务体系，发展多种形式适度规模经营。保障农民财产性收入，完善农村经营性资产的股份合作制改革，推动农村金融制度创新</w:t>
      </w:r>
      <w:r>
        <w:rPr>
          <w:rFonts w:hint="eastAsia" w:ascii="Times New Roman" w:hAnsi="Times New Roman" w:eastAsia="方正仿宋_GBK" w:cs="Times New Roman"/>
          <w:sz w:val="32"/>
          <w:szCs w:val="32"/>
        </w:rPr>
        <w:t>。进一步保护农民利用宅基地出租房屋获取收入的权利。坚决维护进城落户农民土地承包权、宅基地使用权、集体收益分配权，鼓励依法自愿有偿转让。拓展农民转移性收入，优化涉农财政性建设资金使用方式，健全农业生产者补贴制度，创新乡村就业人员社保缴纳方式。继续巩固拓展脱贫攻坚成果，完善解决相对贫困长效机制，加强动态监测、防止返贫致贫，坚持产业扶贫、助推富民强村，政策多维发力、推动保障落实，健全政策体系确保长效。</w:t>
      </w:r>
    </w:p>
    <w:p>
      <w:pPr>
        <w:spacing w:line="560" w:lineRule="exact"/>
        <w:ind w:firstLine="640" w:firstLineChars="200"/>
        <w:rPr>
          <w:rFonts w:hint="eastAsia" w:ascii="Times New Roman" w:hAnsi="Times New Roman" w:eastAsia="方正仿宋_GBK" w:cs="Times New Roman"/>
          <w:sz w:val="32"/>
          <w:szCs w:val="32"/>
        </w:rPr>
      </w:pPr>
      <w:r>
        <w:rPr>
          <w:rFonts w:hint="eastAsia" w:ascii="Times New Roman" w:hAnsi="Times New Roman" w:eastAsia="方正楷体_GBK" w:cs="Times New Roman"/>
          <w:sz w:val="32"/>
          <w:szCs w:val="32"/>
        </w:rPr>
        <w:t>强化组织保障助力乡村振兴。</w:t>
      </w:r>
      <w:r>
        <w:rPr>
          <w:rFonts w:hint="eastAsia" w:ascii="Times New Roman" w:hAnsi="Times New Roman" w:eastAsia="方正仿宋_GBK" w:cs="Times New Roman"/>
          <w:sz w:val="32"/>
          <w:szCs w:val="32"/>
        </w:rPr>
        <w:t>注重乡村振兴带头人队伍的建设，不断深化村书记专职化管理，建立村书记精准培训体系，实施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名书记</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培育工程，推进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乡村振兴头雁项目</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。大力推动党建引领乡村振兴，</w:t>
      </w:r>
      <w:r>
        <w:rPr>
          <w:rFonts w:hint="eastAsia" w:ascii="Times New Roman" w:hAnsi="Times New Roman" w:eastAsia="方正仿宋_GBK" w:cs="Times New Roman"/>
          <w:sz w:val="32"/>
          <w:szCs w:val="32"/>
          <w:lang w:val="zh-CN"/>
        </w:rPr>
        <w:t>逐步探索构建村党组织领导下的</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一核多元</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、共建共治共享的治理新路径。深化拓展党建引领</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村社合一</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发展经验，积极探索</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党建联盟</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产业联盟</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发展模式，构建</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大党建、大发展、大服务</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的党建工作新格局。</w:t>
      </w:r>
      <w:r>
        <w:rPr>
          <w:rFonts w:hint="eastAsia" w:ascii="Times New Roman" w:hAnsi="Times New Roman" w:eastAsia="方正仿宋_GBK" w:cs="Times New Roman"/>
          <w:sz w:val="32"/>
          <w:szCs w:val="32"/>
        </w:rPr>
        <w:t>深入推进农村基层党建标准化建设，不断丰富完善</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五制二十条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标准化核心体系，进一步提升村党组织组织力。</w:t>
      </w:r>
      <w:bookmarkStart w:id="79" w:name="_Toc13398"/>
    </w:p>
    <w:p>
      <w:pPr>
        <w:spacing w:line="560" w:lineRule="exact"/>
        <w:ind w:firstLine="640" w:firstLineChars="200"/>
        <w:rPr>
          <w:rFonts w:hint="eastAsia" w:ascii="Times New Roman" w:hAnsi="Times New Roman" w:eastAsia="方正仿宋_GBK" w:cs="Times New Roman"/>
          <w:sz w:val="32"/>
          <w:szCs w:val="32"/>
        </w:rPr>
      </w:pPr>
    </w:p>
    <w:p>
      <w:pPr>
        <w:spacing w:line="560" w:lineRule="exact"/>
        <w:ind w:firstLine="640" w:firstLineChars="200"/>
        <w:rPr>
          <w:rFonts w:hint="eastAsia" w:ascii="Times New Roman" w:hAnsi="Times New Roman" w:eastAsia="方正仿宋_GBK" w:cs="Times New Roman"/>
          <w:sz w:val="32"/>
          <w:szCs w:val="32"/>
        </w:rPr>
      </w:pPr>
    </w:p>
    <w:p>
      <w:pPr>
        <w:spacing w:line="560" w:lineRule="exact"/>
        <w:ind w:firstLine="640" w:firstLineChars="200"/>
        <w:rPr>
          <w:rFonts w:hint="eastAsia" w:ascii="Times New Roman" w:hAnsi="Times New Roman" w:eastAsia="方正仿宋_GBK" w:cs="Times New Roman"/>
          <w:sz w:val="32"/>
          <w:szCs w:val="32"/>
        </w:rPr>
      </w:pPr>
    </w:p>
    <w:p>
      <w:pPr>
        <w:spacing w:line="560" w:lineRule="exact"/>
        <w:ind w:firstLine="640" w:firstLineChars="200"/>
        <w:rPr>
          <w:rFonts w:hint="eastAsia" w:ascii="Times New Roman" w:hAnsi="Times New Roman" w:eastAsia="方正仿宋_GBK" w:cs="Times New Roman"/>
          <w:sz w:val="32"/>
          <w:szCs w:val="32"/>
        </w:rPr>
      </w:pPr>
    </w:p>
    <w:p>
      <w:pPr>
        <w:spacing w:line="560" w:lineRule="exact"/>
        <w:ind w:firstLine="640" w:firstLineChars="200"/>
        <w:rPr>
          <w:rFonts w:hint="eastAsia" w:ascii="Times New Roman" w:hAnsi="Times New Roman" w:eastAsia="方正仿宋_GBK" w:cs="Times New Roman"/>
          <w:sz w:val="32"/>
          <w:szCs w:val="32"/>
          <w:lang w:eastAsia="zh-CN"/>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ascii="Times New Roman" w:hAnsi="Times New Roman" w:cs="Times New Roman"/>
          <w:bCs w:val="0"/>
        </w:rPr>
      </w:pPr>
      <w:r>
        <w:rPr>
          <w:rFonts w:hint="eastAsia" w:ascii="Times New Roman" w:hAnsi="Times New Roman" w:cs="Times New Roman"/>
          <w:bCs w:val="0"/>
        </w:rPr>
        <w:t>第八章</w:t>
      </w:r>
      <w:r>
        <w:rPr>
          <w:rFonts w:ascii="Times New Roman" w:hAnsi="Times New Roman" w:cs="Times New Roman"/>
          <w:bCs w:val="0"/>
        </w:rPr>
        <w:t xml:space="preserve"> </w:t>
      </w:r>
      <w:r>
        <w:rPr>
          <w:rFonts w:hint="eastAsia" w:ascii="Times New Roman" w:hAnsi="Times New Roman" w:cs="Times New Roman"/>
          <w:bCs w:val="0"/>
        </w:rPr>
        <w:t>切实保障民生需求</w:t>
      </w:r>
      <w:bookmarkEnd w:id="79"/>
    </w:p>
    <w:p>
      <w:pPr>
        <w:pStyle w:val="2"/>
        <w:adjustRightInd w:val="0"/>
        <w:snapToGrid w:val="0"/>
        <w:spacing w:before="0" w:after="0" w:line="560" w:lineRule="exact"/>
        <w:rPr>
          <w:rFonts w:ascii="Times New Roman" w:hAnsi="Times New Roman" w:cs="Times New Roman"/>
          <w:bCs w:val="0"/>
        </w:rPr>
      </w:pPr>
      <w:bookmarkStart w:id="80" w:name="_Toc24774"/>
      <w:r>
        <w:rPr>
          <w:rFonts w:hint="eastAsia" w:ascii="Times New Roman" w:hAnsi="Times New Roman" w:cs="Times New Roman"/>
          <w:bCs w:val="0"/>
        </w:rPr>
        <w:t>推进社会事业不断提升</w:t>
      </w:r>
      <w:bookmarkEnd w:id="80"/>
    </w:p>
    <w:p>
      <w:pPr>
        <w:rPr>
          <w:rFonts w:ascii="Times New Roman" w:hAnsi="Times New Roman" w:cs="Times New Roman"/>
          <w:sz w:val="44"/>
          <w:szCs w:val="48"/>
        </w:rPr>
      </w:pP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始终坚持以人民为中心的发展思想，把群众生活冷暖放在心中，认真办好群众牵肠挂肚的民生大事、天天有感的关键小事。</w:t>
      </w:r>
    </w:p>
    <w:p>
      <w:pPr>
        <w:pStyle w:val="3"/>
        <w:spacing w:line="580" w:lineRule="exact"/>
        <w:rPr>
          <w:rFonts w:ascii="Times New Roman" w:hAnsi="Times New Roman"/>
          <w:bCs w:val="0"/>
        </w:rPr>
      </w:pPr>
      <w:bookmarkStart w:id="81" w:name="_Toc12300"/>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推动各类教育均衡发展</w:t>
      </w:r>
      <w:bookmarkEnd w:id="81"/>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推动学前教育优质普惠发展。</w:t>
      </w:r>
      <w:r>
        <w:rPr>
          <w:rFonts w:hint="eastAsia" w:ascii="Times New Roman" w:hAnsi="Times New Roman" w:eastAsia="方正仿宋_GBK" w:cs="Times New Roman"/>
          <w:sz w:val="32"/>
          <w:szCs w:val="32"/>
        </w:rPr>
        <w:t>保障适龄儿童接受优质普惠的学前教育，不断扩大优质普惠资源覆盖面，保证普惠性幼儿园覆盖率达</w:t>
      </w:r>
      <w:r>
        <w:rPr>
          <w:rFonts w:ascii="Times New Roman" w:hAnsi="Times New Roman" w:eastAsia="方正仿宋_GBK" w:cs="Times New Roman"/>
          <w:sz w:val="32"/>
          <w:szCs w:val="32"/>
        </w:rPr>
        <w:t>90%</w:t>
      </w:r>
      <w:r>
        <w:rPr>
          <w:rFonts w:hint="eastAsia" w:ascii="Times New Roman" w:hAnsi="Times New Roman" w:eastAsia="方正仿宋_GBK" w:cs="Times New Roman"/>
          <w:sz w:val="32"/>
          <w:szCs w:val="32"/>
        </w:rPr>
        <w:t>以上</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进一步深化学前教育课程改革，以园本课程实验园建设为抓手，积极推进落实课程游戏化项目建设，引导幼儿园实施符合幼儿身心发展规律和学前教育规律的以游戏为基本活动的园本课程，助推幼儿园课程建设成果的高质量形成，促进幼儿健康快乐成长，形成富有地域特色的课程游戏化改革实验范本和品牌经验。</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推动义务教育优质均衡发展。</w:t>
      </w:r>
      <w:r>
        <w:rPr>
          <w:rFonts w:hint="eastAsia" w:ascii="Times New Roman" w:hAnsi="Times New Roman" w:eastAsia="方正仿宋_GBK" w:cs="Times New Roman"/>
          <w:sz w:val="32"/>
          <w:szCs w:val="32"/>
        </w:rPr>
        <w:t>加强义务教育阶段学校标准化建设监测，创成省义务教育优质均衡发展先进县（市、区），促进义务教育公平均衡发展。推进区域阅读教学工作，深化片区合作共同体建设，优化集团化办学模式，有效提升办学质量。培植基础教育前瞻性教学改革实验项目、中小学生品格提升工程项目、薄弱初中质量提升工程项目、小学特色文化建设工程项目，引领基础教育内涵发展。</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推动普通高中优质特色发展。</w:t>
      </w:r>
      <w:r>
        <w:rPr>
          <w:rFonts w:hint="eastAsia" w:ascii="Times New Roman" w:hAnsi="Times New Roman" w:eastAsia="方正仿宋_GBK" w:cs="Times New Roman"/>
          <w:sz w:val="32"/>
          <w:szCs w:val="32"/>
        </w:rPr>
        <w:t>积极推进普通高中新课程改革和高考综合改革，进一步完善综合评价机制，全面提高普通高中教育质量，以建设校本课程和国家课程校本化实施为策略，积极稳妥地推进普通高中新课程实验，提升课程基地建设水平。全力提升高考质量，力争在本一达线率、双一流大学录取人数上有新突破。</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推动特殊教育优质融合发展。</w:t>
      </w:r>
      <w:r>
        <w:rPr>
          <w:rFonts w:hint="eastAsia" w:ascii="Times New Roman" w:hAnsi="Times New Roman" w:eastAsia="方正仿宋_GBK" w:cs="Times New Roman"/>
          <w:sz w:val="32"/>
          <w:szCs w:val="32"/>
        </w:rPr>
        <w:t>保障适龄残疾儿童都能接受适合的教育，进一步完善以特殊教育学校为骨干、以随班就读为主体、以送教上门和远程教育为辅助的特殊教育体系。进一步强化句容融合教育组织架构，促进内涵建设发展，加强对随班就读工作的统筹和指导，充分发挥好融合教育资源中心管理职能，全面提升句容特殊教育质量，积极申报江苏省特殊教育发展工程项目。</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推动职业与社会教育多元发展。</w:t>
      </w:r>
      <w:r>
        <w:rPr>
          <w:rFonts w:hint="eastAsia" w:ascii="Times New Roman" w:hAnsi="Times New Roman" w:eastAsia="方正仿宋_GBK" w:cs="Times New Roman"/>
          <w:sz w:val="32"/>
          <w:szCs w:val="32"/>
        </w:rPr>
        <w:t>推进职教产业园建设，启动省句容中专校智慧校园二期工程。深化产教融合校企合作，办好开放大学。加强市社区培训学院能力建设，加大社区教育资源整合与供给，推动新时代社区教育与社区治理融合发展。创建国家级农村职业教育和成人教育示范县、省示范性社区教育中心，建成产教融合新型农民职业技能培训基地。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年，实现全市劳动年龄人口平均受教育年限达</w:t>
      </w:r>
      <w:r>
        <w:rPr>
          <w:rFonts w:ascii="Times New Roman" w:hAnsi="Times New Roman" w:eastAsia="方正仿宋_GBK" w:cs="Times New Roman"/>
          <w:sz w:val="32"/>
          <w:szCs w:val="32"/>
        </w:rPr>
        <w:t>12.2</w:t>
      </w:r>
      <w:r>
        <w:rPr>
          <w:rFonts w:hint="eastAsia" w:ascii="Times New Roman" w:hAnsi="Times New Roman" w:eastAsia="方正仿宋_GBK" w:cs="Times New Roman"/>
          <w:sz w:val="32"/>
          <w:szCs w:val="32"/>
        </w:rPr>
        <w:t>年，老年人社区教育活动年参与率达</w:t>
      </w:r>
      <w:r>
        <w:rPr>
          <w:rFonts w:ascii="Times New Roman" w:hAnsi="Times New Roman" w:eastAsia="方正仿宋_GBK" w:cs="Times New Roman"/>
          <w:sz w:val="32"/>
          <w:szCs w:val="32"/>
        </w:rPr>
        <w:t>25%</w:t>
      </w:r>
      <w:r>
        <w:rPr>
          <w:rFonts w:hint="eastAsia" w:ascii="Times New Roman" w:hAnsi="Times New Roman" w:eastAsia="方正仿宋_GBK" w:cs="Times New Roman"/>
          <w:sz w:val="32"/>
          <w:szCs w:val="32"/>
        </w:rPr>
        <w:t>以上。</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全面加强师资队伍建设。</w:t>
      </w:r>
      <w:r>
        <w:rPr>
          <w:rFonts w:hint="eastAsia" w:ascii="Times New Roman" w:hAnsi="Times New Roman" w:eastAsia="方正仿宋_GBK" w:cs="Times New Roman"/>
          <w:sz w:val="32"/>
          <w:szCs w:val="32"/>
        </w:rPr>
        <w:t>加强师德师风建设，重视教师队伍思想政治工作，将师德建设与教师满意度提升有机结合起来。大力提高教科研水平，持续提升教师专业素养和教书育人能力，不断加强职业学校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双师型</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教师队伍建设，努力增加拔尖人才比例。探索新时代背景下教育干部培养路径，提升管理水平。深入实施乡村教师支持计划，完善中小学教师绩效工资内部分配办法，不断提高教师待遇与地位。加强教师队伍管理，优化教师队伍结构和教师职称评价制度，激发队伍活力。持续推进</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县管校聘</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人事制度改革，创新和规范编制配备，健全教师聘用管理，完善教师招录办法和考核评价制度。</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不断提升教育装备水平。</w:t>
      </w:r>
      <w:r>
        <w:rPr>
          <w:rFonts w:hint="eastAsia" w:ascii="Times New Roman" w:hAnsi="Times New Roman" w:eastAsia="方正仿宋_GBK" w:cs="Times New Roman"/>
          <w:sz w:val="32"/>
          <w:szCs w:val="32"/>
        </w:rPr>
        <w:t>促进信息技术与教育教学的深层次融合，探索新型教学方式和教育服务业态，加快教育治理数字化转型步伐。建立数字教育资源共建共享机制，构建优质教育资源中心。进一步完善教育技术装备资金投入长效管理机制，建立市级财政教育技术装备运行、维护、更新长效投入机制，提高教育技术装备配置，提升句容教育技术装备现代化水平，确保教育事业高质量发展。全面实施校园智慧安防建设，不断完善校园安全防范体系。</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持续优化教育设施布局。</w:t>
      </w:r>
      <w:r>
        <w:rPr>
          <w:rFonts w:hint="eastAsia" w:ascii="Times New Roman" w:hAnsi="Times New Roman" w:eastAsia="方正仿宋_GBK" w:cs="Times New Roman"/>
          <w:sz w:val="32"/>
          <w:szCs w:val="32"/>
        </w:rPr>
        <w:t>城区规划迁建实验幼儿园、新建</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所幼儿园，扩建崇明小学，新建</w:t>
      </w: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所小学，新建</w:t>
      </w: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所初中，异地新建特殊教育学校，完成句容高级中学异地新建和市三中搬迁。宝华、郭庄等重点板块要按照所服务的适龄人口规模，配建学前教育以及义务教育资源。加大与南京教育交流合作的频度、广度和深度，主动对接紫东地区教育规划和学校建设，积极引进南京优质教育资源，高质量推进跨界学校进阶精品名校，推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宁句教育一体化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实现新突破。</w:t>
      </w:r>
    </w:p>
    <w:p>
      <w:pPr>
        <w:pStyle w:val="3"/>
        <w:spacing w:line="580" w:lineRule="exact"/>
        <w:rPr>
          <w:rFonts w:ascii="Times New Roman" w:hAnsi="Times New Roman"/>
          <w:bCs w:val="0"/>
        </w:rPr>
      </w:pPr>
      <w:bookmarkStart w:id="82" w:name="_Toc15335"/>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构建全民健康共建共享体系</w:t>
      </w:r>
      <w:bookmarkEnd w:id="82"/>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完善医疗服务体系。</w:t>
      </w:r>
      <w:r>
        <w:rPr>
          <w:rFonts w:hint="eastAsia" w:ascii="Times New Roman" w:hAnsi="Times New Roman" w:eastAsia="方正仿宋_GBK" w:cs="Times New Roman"/>
          <w:sz w:val="32"/>
          <w:szCs w:val="32"/>
          <w:lang w:val="zh-CN"/>
        </w:rPr>
        <w:t>优化医疗布局，市人民医院、市妇幼保健院新院址投入使用，启动市中医院建设方案，有序推进基层医疗机构新建扩建，开展村卫生室提档升级工程，不断夯实医疗服务硬件基础。立足生命全周期、疾病全过程，优化融合医疗资源，加大中医药特色诊疗培育力度，发展适宜医疗技术，为广大群众提供公平可及、系统连续基本医疗健康服务。深化</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院府合作</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，探索与省中医院、南京市儿童医院医联体建设，加强</w:t>
      </w:r>
      <w:r>
        <w:rPr>
          <w:rFonts w:hint="eastAsia" w:ascii="Times New Roman" w:hAnsi="Times New Roman" w:eastAsia="方正仿宋_GBK" w:cs="Times New Roman"/>
          <w:sz w:val="32"/>
          <w:szCs w:val="32"/>
        </w:rPr>
        <w:t>区域</w:t>
      </w:r>
      <w:r>
        <w:rPr>
          <w:rFonts w:hint="eastAsia" w:ascii="Times New Roman" w:hAnsi="Times New Roman" w:eastAsia="方正仿宋_GBK" w:cs="Times New Roman"/>
          <w:sz w:val="32"/>
          <w:szCs w:val="32"/>
          <w:lang w:val="zh-CN"/>
        </w:rPr>
        <w:t>医疗中心和重点学科、区域支持共享中心建设，提升市域整体医疗水平。深化综合医改，推进市域内紧密型医共体建设，市人民医院、市中医院两个医疗集团实体化运作，提升市域医疗卫生服务能力。推进全域基本医疗卫生服务均衡化，提升市镇村三级医疗服务能力。实施分类管理、分级诊疗、构建整合型医疗卫生服务体系。强化人才队伍建设，积极引进高层次人才，培养本土人才，缓解卫生人才不足的问题。</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健全公共卫生体系。</w:t>
      </w:r>
      <w:r>
        <w:rPr>
          <w:rFonts w:hint="eastAsia" w:ascii="Times New Roman" w:hAnsi="Times New Roman" w:eastAsia="方正仿宋_GBK" w:cs="Times New Roman"/>
          <w:sz w:val="32"/>
          <w:szCs w:val="32"/>
          <w:lang w:val="zh-CN"/>
        </w:rPr>
        <w:t>按照</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宁可备而无用，不可用时无备</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原则，充分考虑应对特别重大公共卫生事件需要，完善市人民医院感染楼、负压病房建设，落实应对重大疫情需要的卫生应急物资储备。完善疾控中心、公立医院和基层医疗机构之间的分工协作，形成由市级定点医院、区域性医疗中心、镇卫生院、社区卫生服务中心、村卫生室等构成的监测预警体系。依托卫生健康信息系统，推进六大中心建设，促进医联体内公共卫生服务资源整合，充分利用医疗大数据，提高疾病监测系统的灵敏性，加强对重点职业病、新发传染病、不明原因疾病的监测。加大公共卫生人才引进力度，完善公共卫生单位人员收入保障机制。</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完善医疗保障体系。</w:t>
      </w:r>
      <w:r>
        <w:rPr>
          <w:rFonts w:hint="eastAsia" w:ascii="Times New Roman" w:hAnsi="Times New Roman" w:eastAsia="方正仿宋_GBK" w:cs="Times New Roman"/>
          <w:sz w:val="32"/>
          <w:szCs w:val="32"/>
          <w:lang w:val="zh-CN"/>
        </w:rPr>
        <w:t>扩大医保基金总盘，逐步实现全民参保，提升医疗救助覆盖面和救助水平，降低个人自付费用，完善大病和长期护理保障机制。发展本地医疗机构特色专科的服务水平，提升参保群众本地就医比例。顺应长三角一体化医保异地结算趋势，为群众大病转外就医提供便利。推进医疗保障公共服务标准化规范化，实现医疗保障一站式服务、一窗口办理、一单制结算。加强医保基金监管，织牢织密医保基金安全防护网。</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健全养老服务体系。</w:t>
      </w:r>
      <w:r>
        <w:rPr>
          <w:rFonts w:hint="eastAsia" w:ascii="Times New Roman" w:hAnsi="Times New Roman" w:eastAsia="方正仿宋_GBK" w:cs="Times New Roman"/>
          <w:sz w:val="32"/>
          <w:szCs w:val="32"/>
          <w:lang w:val="zh-CN"/>
        </w:rPr>
        <w:t>加快谋划养老产业发展，构建以居家养老为基础、社区为依托、机构为补充的三类养老服务体系，形成市、镇、社区、小区四级为支撑的设施体系。扎实开展居家和社区养老服务工作，鼓励探索社区嵌入式、镇级卫生服务中心养老模式。加强与专业团队机构合作，鼓励社会资本进入养老领域，规划布局大健康产业。加大社区养老服务设施有效供给，推进医养结合，逐步形成覆盖城乡、规模适宜、功能合理的医养结合服务网络。公立医院设立老年病科，基层医疗机构增设康复、护理、养老床位，以市社会福利中心为主，重点建设恒大童世界医养中心、市康复护理院，在中医院内开设老年康复护理服务。</w:t>
      </w:r>
      <w:bookmarkStart w:id="83" w:name="_Toc1286"/>
    </w:p>
    <w:p>
      <w:pPr>
        <w:pStyle w:val="3"/>
        <w:spacing w:line="580" w:lineRule="exact"/>
        <w:rPr>
          <w:rFonts w:ascii="Times New Roman" w:hAnsi="Times New Roman"/>
          <w:bCs w:val="0"/>
        </w:rPr>
      </w:pPr>
      <w:r>
        <w:rPr>
          <w:rFonts w:hint="eastAsia" w:ascii="Times New Roman" w:hAnsi="Times New Roman"/>
          <w:bCs w:val="0"/>
        </w:rPr>
        <w:t>第三节</w:t>
      </w:r>
      <w:r>
        <w:rPr>
          <w:rFonts w:ascii="Times New Roman" w:hAnsi="Times New Roman"/>
          <w:bCs w:val="0"/>
        </w:rPr>
        <w:t xml:space="preserve"> </w:t>
      </w:r>
      <w:r>
        <w:rPr>
          <w:rFonts w:hint="eastAsia" w:ascii="Times New Roman" w:hAnsi="Times New Roman"/>
          <w:bCs w:val="0"/>
        </w:rPr>
        <w:t>持续优化社会保障体系</w:t>
      </w:r>
      <w:bookmarkEnd w:id="83"/>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促进各类人群就业。</w:t>
      </w:r>
      <w:r>
        <w:rPr>
          <w:rFonts w:hint="eastAsia" w:ascii="Times New Roman" w:hAnsi="Times New Roman" w:eastAsia="方正仿宋_GBK" w:cs="Times New Roman"/>
          <w:sz w:val="32"/>
          <w:szCs w:val="32"/>
          <w:lang w:val="zh-CN"/>
        </w:rPr>
        <w:t>结合新型城镇化开展支持农民工等人员返乡创业试点，实现各类人群高质量就业。推进农村劳动力转移就业，健全城乡劳动者平等就业制度和统筹城乡的就业政策体系，完善职业培训、就业服务、劳动维权</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三位一体</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工作机制。完善就业见习补贴政策，实施离校未就业高校毕业生就业促进计划，鼓励高校毕业生面向基层就业。做好各类困难人员就业帮扶和托底安置，对就业援助对象实施优先扶持和重点帮助，跟踪解决就业过程中的困难和问题。促进退役军人就业，扶持自主择业军转干部，加强就业指导和服务。</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积极推进创新创业。</w:t>
      </w:r>
      <w:r>
        <w:rPr>
          <w:rFonts w:hint="eastAsia" w:ascii="Times New Roman" w:hAnsi="Times New Roman" w:eastAsia="方正仿宋_GBK" w:cs="Times New Roman"/>
          <w:sz w:val="32"/>
          <w:szCs w:val="32"/>
          <w:lang w:val="zh-CN"/>
        </w:rPr>
        <w:t>落实创业扶持政策，拓宽创业投融资渠道，加大减税降费力度，支持创业担保贷款发展。加快建立多层次多样化的大众创业格局，鼓励农民工、大学生、退役士兵等人员返乡创业、农村劳动力就地创业、农村就业困难人员家庭创业，加快形成劳动者勇于创业、社会支持创业、政府鼓励创业的新机制，营造大众创业、万众创新的良好氛围。</w:t>
      </w:r>
    </w:p>
    <w:p>
      <w:pPr>
        <w:spacing w:line="560" w:lineRule="exact"/>
        <w:ind w:firstLine="640" w:firstLineChars="200"/>
        <w:rPr>
          <w:rFonts w:hint="eastAsia"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提升社会保障水平。</w:t>
      </w:r>
      <w:r>
        <w:rPr>
          <w:rFonts w:hint="eastAsia" w:ascii="Times New Roman" w:hAnsi="Times New Roman" w:eastAsia="方正仿宋_GBK" w:cs="Times New Roman"/>
          <w:sz w:val="32"/>
          <w:szCs w:val="32"/>
          <w:lang w:val="zh-CN"/>
        </w:rPr>
        <w:t>推动社会保障体系全面覆盖城乡居民，建立社会保障待遇确定机制和调整机制，持续增强社会保障水平。完善企业社会保险制度，完善失业、工伤保险制度，维护失业人员和工伤人员的基本权益。规范社保基金管理，建立城乡统一的社会保险公共服务平台，全力实现城乡居民的社会保障。</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完善社会救助体系。</w:t>
      </w:r>
      <w:r>
        <w:rPr>
          <w:rFonts w:hint="eastAsia" w:ascii="Times New Roman" w:hAnsi="Times New Roman" w:eastAsia="方正仿宋_GBK" w:cs="Times New Roman"/>
          <w:sz w:val="32"/>
          <w:szCs w:val="32"/>
          <w:lang w:val="zh-CN"/>
        </w:rPr>
        <w:t>完善城乡最低生活保障制度，全面建立临时救助制度，实现医疗救助城乡统筹。扩大救助覆盖面，加大特殊群体关心关怀力度，做到困有所济、难有所救、残有所助。稳步提高社会救助标准，健全完善散居半失能、失能特困人员的照护服务机制，落实社会救助和保障标准与物价上涨挂钩联动机制。强化社会救助规范管理，完善居民家庭经济状况核对机制和平台建设，建立健全申请救助对象信用承诺和失信联合惩戒机制。促进慈善事业发展，完善财税等激励政策，加强社会救助与其他社会福利制度的衔接，拓宽救助渠道，激发社会力量参与社会救助的积极性。</w:t>
      </w:r>
    </w:p>
    <w:p>
      <w:pPr>
        <w:pStyle w:val="2"/>
        <w:adjustRightInd w:val="0"/>
        <w:snapToGrid w:val="0"/>
        <w:spacing w:before="0" w:after="0" w:line="560" w:lineRule="exact"/>
        <w:jc w:val="both"/>
        <w:rPr>
          <w:rFonts w:ascii="Times New Roman" w:hAnsi="Times New Roman" w:cs="Times New Roman"/>
          <w:bCs w:val="0"/>
        </w:rPr>
      </w:pPr>
      <w:bookmarkStart w:id="84" w:name="_Toc5769"/>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rPr>
          <w:rFonts w:ascii="Times New Roman" w:hAnsi="Times New Roman" w:cs="Times New Roman"/>
          <w:bCs w:val="0"/>
        </w:rPr>
      </w:pPr>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ascii="Times New Roman" w:hAnsi="Times New Roman" w:cs="Times New Roman"/>
          <w:bCs w:val="0"/>
        </w:rPr>
      </w:pPr>
      <w:r>
        <w:rPr>
          <w:rFonts w:hint="eastAsia" w:ascii="Times New Roman" w:hAnsi="Times New Roman" w:cs="Times New Roman"/>
          <w:bCs w:val="0"/>
        </w:rPr>
        <w:t>第九章</w:t>
      </w:r>
      <w:r>
        <w:rPr>
          <w:rFonts w:ascii="Times New Roman" w:hAnsi="Times New Roman" w:cs="Times New Roman"/>
          <w:bCs w:val="0"/>
        </w:rPr>
        <w:t xml:space="preserve"> </w:t>
      </w:r>
      <w:r>
        <w:rPr>
          <w:rFonts w:hint="eastAsia" w:ascii="Times New Roman" w:hAnsi="Times New Roman" w:cs="Times New Roman"/>
          <w:bCs w:val="0"/>
        </w:rPr>
        <w:t>发挥新时代句容精神动力</w:t>
      </w:r>
      <w:bookmarkEnd w:id="84"/>
    </w:p>
    <w:p>
      <w:pPr>
        <w:pStyle w:val="2"/>
        <w:adjustRightInd w:val="0"/>
        <w:snapToGrid w:val="0"/>
        <w:spacing w:before="0" w:after="0" w:line="560" w:lineRule="exact"/>
        <w:rPr>
          <w:rFonts w:ascii="Times New Roman" w:hAnsi="Times New Roman" w:cs="Times New Roman"/>
          <w:bCs w:val="0"/>
        </w:rPr>
      </w:pPr>
      <w:bookmarkStart w:id="85" w:name="_Toc17038"/>
      <w:r>
        <w:rPr>
          <w:rFonts w:hint="eastAsia" w:ascii="Times New Roman" w:hAnsi="Times New Roman" w:cs="Times New Roman"/>
          <w:bCs w:val="0"/>
        </w:rPr>
        <w:t>擦亮福地名城文化品牌</w:t>
      </w:r>
      <w:bookmarkEnd w:id="85"/>
    </w:p>
    <w:p>
      <w:pPr>
        <w:rPr>
          <w:rFonts w:ascii="Times New Roman" w:hAnsi="Times New Roman" w:cs="Times New Roman"/>
          <w:sz w:val="44"/>
          <w:szCs w:val="48"/>
        </w:rPr>
      </w:pP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仿宋_GBK" w:cs="Times New Roman"/>
          <w:sz w:val="32"/>
          <w:szCs w:val="32"/>
          <w:lang w:val="zh-CN"/>
        </w:rPr>
        <w:t>牢牢把握意识形态工作领导权主导权，大力弘扬社会主义核心价值观和新时代句容精神，开展更多</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通天线、接地气、暖人心</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的文化惠民活动，为经济社会发展提供强大的价值引导力、精神推动力。</w:t>
      </w:r>
    </w:p>
    <w:p>
      <w:pPr>
        <w:pStyle w:val="3"/>
        <w:spacing w:line="580" w:lineRule="exact"/>
        <w:rPr>
          <w:rFonts w:ascii="Times New Roman" w:hAnsi="Times New Roman"/>
          <w:bCs w:val="0"/>
        </w:rPr>
      </w:pPr>
      <w:bookmarkStart w:id="86" w:name="_Toc26433"/>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弘扬社会主义思想文化</w:t>
      </w:r>
      <w:bookmarkEnd w:id="86"/>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打造意识形态主阵地。</w:t>
      </w:r>
      <w:r>
        <w:rPr>
          <w:rFonts w:hint="eastAsia" w:ascii="Times New Roman" w:hAnsi="Times New Roman" w:eastAsia="方正仿宋_GBK" w:cs="Times New Roman"/>
          <w:sz w:val="32"/>
          <w:szCs w:val="32"/>
          <w:lang w:val="zh-CN"/>
        </w:rPr>
        <w:t>深入学习</w:t>
      </w:r>
      <w:r>
        <w:rPr>
          <w:rFonts w:hint="eastAsia" w:ascii="Times New Roman" w:hAnsi="Times New Roman" w:eastAsia="方正仿宋_GBK" w:cs="Times New Roman"/>
          <w:sz w:val="32"/>
          <w:szCs w:val="32"/>
        </w:rPr>
        <w:t>贯彻</w:t>
      </w:r>
      <w:r>
        <w:rPr>
          <w:rFonts w:hint="eastAsia" w:ascii="Times New Roman" w:hAnsi="Times New Roman" w:eastAsia="方正仿宋_GBK" w:cs="Times New Roman"/>
          <w:sz w:val="32"/>
          <w:szCs w:val="32"/>
          <w:lang w:val="zh-CN"/>
        </w:rPr>
        <w:t>习近平新时代中国特色社会主义思想，创新传播手段和表达方式，用群众的语言、喜闻乐见的形式宣传科学理论、阐释方针政策、传播主流价值，推动党的创新理论深入人心。</w:t>
      </w:r>
      <w:r>
        <w:rPr>
          <w:rFonts w:hint="eastAsia" w:ascii="Times New Roman" w:hAnsi="Times New Roman" w:eastAsia="方正仿宋_GBK" w:cs="Times New Roman"/>
          <w:sz w:val="32"/>
          <w:szCs w:val="32"/>
        </w:rPr>
        <w:t>牢牢把握正确政治方向、舆论导向、价值取向，掌握意识形态工作领导权，</w:t>
      </w:r>
      <w:r>
        <w:rPr>
          <w:rFonts w:hint="eastAsia" w:ascii="Times New Roman" w:hAnsi="Times New Roman" w:eastAsia="方正仿宋_GBK" w:cs="Times New Roman"/>
          <w:sz w:val="32"/>
          <w:szCs w:val="32"/>
          <w:lang w:val="zh-CN"/>
        </w:rPr>
        <w:t>压实压紧</w:t>
      </w:r>
      <w:r>
        <w:rPr>
          <w:rFonts w:hint="eastAsia" w:ascii="Times New Roman" w:hAnsi="Times New Roman" w:eastAsia="方正仿宋_GBK" w:cs="Times New Roman"/>
          <w:sz w:val="32"/>
          <w:szCs w:val="32"/>
        </w:rPr>
        <w:t>意识形态责任制链条</w:t>
      </w:r>
      <w:r>
        <w:rPr>
          <w:rFonts w:hint="eastAsia" w:ascii="Times New Roman" w:hAnsi="Times New Roman" w:eastAsia="方正仿宋_GBK" w:cs="Times New Roman"/>
          <w:sz w:val="32"/>
          <w:szCs w:val="32"/>
          <w:lang w:val="zh-CN"/>
        </w:rPr>
        <w:t>，增强</w:t>
      </w:r>
      <w:r>
        <w:rPr>
          <w:rFonts w:hint="eastAsia" w:ascii="Times New Roman" w:hAnsi="Times New Roman" w:eastAsia="方正仿宋_GBK" w:cs="Times New Roman"/>
          <w:sz w:val="32"/>
          <w:szCs w:val="32"/>
        </w:rPr>
        <w:t>社会主义意识形态的凝聚力和引领力</w:t>
      </w:r>
      <w:r>
        <w:rPr>
          <w:rFonts w:hint="eastAsia" w:ascii="Times New Roman" w:hAnsi="Times New Roman" w:eastAsia="方正仿宋_GBK" w:cs="Times New Roman"/>
          <w:sz w:val="32"/>
          <w:szCs w:val="32"/>
          <w:lang w:val="zh-CN"/>
        </w:rPr>
        <w:t>。拓展市级融媒体中心</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媒体</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功能，推进媒体融合发展，加强与中央电视台、江苏电视台、学习强国等</w:t>
      </w:r>
      <w:r>
        <w:rPr>
          <w:rFonts w:hint="eastAsia" w:ascii="Times New Roman" w:hAnsi="Times New Roman" w:eastAsia="方正仿宋_GBK" w:cs="Times New Roman"/>
          <w:sz w:val="32"/>
          <w:szCs w:val="32"/>
        </w:rPr>
        <w:t>上级主流</w:t>
      </w:r>
      <w:r>
        <w:rPr>
          <w:rFonts w:hint="eastAsia" w:ascii="Times New Roman" w:hAnsi="Times New Roman" w:eastAsia="方正仿宋_GBK" w:cs="Times New Roman"/>
          <w:sz w:val="32"/>
          <w:szCs w:val="32"/>
          <w:lang w:val="zh-CN"/>
        </w:rPr>
        <w:t>媒体</w:t>
      </w:r>
      <w:r>
        <w:rPr>
          <w:rFonts w:hint="eastAsia" w:ascii="Times New Roman" w:hAnsi="Times New Roman" w:eastAsia="方正仿宋_GBK" w:cs="Times New Roman"/>
          <w:sz w:val="32"/>
          <w:szCs w:val="32"/>
        </w:rPr>
        <w:t>和</w:t>
      </w:r>
      <w:r>
        <w:rPr>
          <w:rFonts w:hint="eastAsia" w:ascii="Times New Roman" w:hAnsi="Times New Roman" w:eastAsia="方正仿宋_GBK" w:cs="Times New Roman"/>
          <w:sz w:val="32"/>
          <w:szCs w:val="32"/>
          <w:lang w:val="zh-CN"/>
        </w:rPr>
        <w:t>平台合作，构建全媒体传播体系，</w:t>
      </w:r>
      <w:r>
        <w:rPr>
          <w:rFonts w:hint="eastAsia" w:ascii="Times New Roman" w:hAnsi="Times New Roman" w:eastAsia="方正仿宋_GBK" w:cs="Times New Roman"/>
          <w:sz w:val="32"/>
          <w:szCs w:val="32"/>
        </w:rPr>
        <w:t>弘扬正能量、传播好声音</w:t>
      </w:r>
      <w:r>
        <w:rPr>
          <w:rFonts w:hint="eastAsia" w:ascii="Times New Roman" w:hAnsi="Times New Roman" w:eastAsia="方正仿宋_GBK" w:cs="Times New Roman"/>
          <w:sz w:val="32"/>
          <w:szCs w:val="32"/>
          <w:lang w:val="zh-CN"/>
        </w:rPr>
        <w:t>。</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培育和践行社会主义核心价值观。</w:t>
      </w:r>
      <w:r>
        <w:rPr>
          <w:rFonts w:hint="eastAsia" w:ascii="Times New Roman" w:hAnsi="Times New Roman" w:eastAsia="方正仿宋_GBK" w:cs="Times New Roman"/>
          <w:sz w:val="32"/>
          <w:szCs w:val="32"/>
          <w:lang w:val="zh-CN"/>
        </w:rPr>
        <w:t>推动理想信念教育常态化制度化，开展党史、新中国史、改革开放史、社会主义发展史教育。创新载体、形式，推动社会主义核心价值观宣传阐释具象化、分众化。加强新时代公民道德建设，大力弘扬新时代</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句容精神</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，加强道德典型培树、宣传力度，实施道德讲堂赋能提质工程，涵养</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好人生态</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传递道德力量。深化爱党爱国爱社会主义教育，建好用好教育基地，广泛开展实践活动。抓好立德树人根本任务，加强青少年文明礼仪养成教育，持续深化未成年人思想道德建设。深化诚信主题教育实践，强化重点领域失信问题治理，深入推进诚信建设制度化。</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建设更高水平文明城市。</w:t>
      </w:r>
      <w:r>
        <w:rPr>
          <w:rFonts w:hint="eastAsia" w:ascii="Times New Roman" w:hAnsi="Times New Roman" w:eastAsia="方正仿宋_GBK" w:cs="Times New Roman"/>
          <w:sz w:val="32"/>
          <w:szCs w:val="32"/>
          <w:lang w:val="zh-CN"/>
        </w:rPr>
        <w:t>坚持以人民为中心的创建导向，围绕解决群众关心、基层需要、社会关注的痛点堵点问题，实施整治提升工程，着力打造优美环境、优良秩序、优质服务，切实增强群众的获得感、幸福感、安全感。将文明城市建设与加强城市治理和服务相结合，提升城市管理精细化、科学化和智慧化水平。健全完善群众性精神文明创建活动常态长效机制，努力把句容建设成有温度的人文之地、有感受度的精神家园。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zh-CN"/>
        </w:rPr>
        <w:t>，县级文明村占比达到</w:t>
      </w:r>
      <w:r>
        <w:rPr>
          <w:rFonts w:ascii="Times New Roman" w:hAnsi="Times New Roman" w:eastAsia="方正仿宋_GBK" w:cs="Times New Roman"/>
          <w:sz w:val="32"/>
          <w:szCs w:val="32"/>
          <w:lang w:val="zh-CN"/>
        </w:rPr>
        <w:t>75%</w:t>
      </w:r>
      <w:r>
        <w:rPr>
          <w:rFonts w:hint="eastAsia" w:ascii="Times New Roman" w:hAnsi="Times New Roman" w:eastAsia="方正仿宋_GBK" w:cs="Times New Roman"/>
          <w:sz w:val="32"/>
          <w:szCs w:val="32"/>
          <w:lang w:val="zh-CN"/>
        </w:rPr>
        <w:t>以上。</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深化新时代文明实践中心建设。</w:t>
      </w:r>
      <w:r>
        <w:rPr>
          <w:rFonts w:hint="eastAsia" w:ascii="Times New Roman" w:hAnsi="Times New Roman" w:eastAsia="方正仿宋_GBK" w:cs="Times New Roman"/>
          <w:sz w:val="32"/>
          <w:szCs w:val="32"/>
          <w:lang w:val="zh-CN"/>
        </w:rPr>
        <w:t>发展壮大志愿服务队伍，持续提升注册志愿者比例，打造一批有特色、有影响的志愿服务品牌项目。打造志愿服务网络平台，完善志愿服务星级评定和礼遇嘉许机制，进一步推动志愿服务制度化常态化。建强用好基层阵地，畅通群众参与渠道，推动新时代文明实践集中活动机制化、日常活动便捷化、主题活动特色化。</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建设最有味道的历史文化名城。</w:t>
      </w:r>
      <w:r>
        <w:rPr>
          <w:rFonts w:hint="eastAsia" w:ascii="Times New Roman" w:hAnsi="Times New Roman" w:eastAsia="方正仿宋_GBK" w:cs="Times New Roman"/>
          <w:sz w:val="32"/>
          <w:szCs w:val="32"/>
          <w:lang w:val="zh-CN"/>
        </w:rPr>
        <w:t>立足丰厚的历史文化底蕴和良好的生态资源本底，构筑城市文化战略品牌，讲好福地底蕴、江南气质、本地特色、国际魅力的</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句容故事</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，打造长三角文化魅力高地。突出</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福地名城</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文化特色，充分融合</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八大</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文化要素，强化</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北佛南道</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文化氛围，增强文化引领力、凝聚力和竞争力，打造句容文化标识，放大</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国际道教论坛</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道教协会全国代表会议</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的带动效应。</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大力繁荣发展文化产业</w:t>
      </w:r>
      <w:r>
        <w:rPr>
          <w:rFonts w:hint="eastAsia" w:ascii="Times New Roman" w:hAnsi="Times New Roman" w:eastAsia="方正楷体_GBK" w:cs="Times New Roman"/>
          <w:sz w:val="32"/>
          <w:szCs w:val="32"/>
          <w:lang w:val="zh-CN"/>
        </w:rPr>
        <w:t>。</w:t>
      </w:r>
      <w:r>
        <w:rPr>
          <w:rFonts w:hint="eastAsia" w:ascii="Times New Roman" w:hAnsi="Times New Roman" w:eastAsia="方正仿宋_GBK" w:cs="Times New Roman"/>
          <w:sz w:val="32"/>
          <w:szCs w:val="32"/>
          <w:lang w:val="zh-CN"/>
        </w:rPr>
        <w:t>依托重点景区、历史文化街区、中心商圈等板块，优化布局文化创意产业功能区、文创小镇、文创街区、文创空间等，强化文创产业载体建设，集聚文化创意企业、人才和要素，重点发展文化旅游、休闲旅游、演艺娱乐、文博非遗、特色文创、节庆会展等业态。发挥文化产业发展引导资金作用，培育壮大现代化文化企业，规范行业协会的运作与管理。鼓励文化企业走出去，积极参加品牌文化展会，促进城市文化事业、文化产业深度融合、繁荣发展。搭建文化消费云服务平台，畅通居民文化消费渠道。加快推进文化经济生产方式数字化，引导传统优势类产业转型升级。</w:t>
      </w:r>
    </w:p>
    <w:p>
      <w:pPr>
        <w:pStyle w:val="3"/>
        <w:spacing w:line="580" w:lineRule="exact"/>
        <w:rPr>
          <w:rFonts w:ascii="Times New Roman" w:hAnsi="Times New Roman"/>
          <w:bCs w:val="0"/>
        </w:rPr>
      </w:pPr>
      <w:bookmarkStart w:id="87" w:name="_Toc24471"/>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强化文体服务体系</w:t>
      </w:r>
      <w:bookmarkEnd w:id="87"/>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推进重大文化项目建设。</w:t>
      </w:r>
      <w:r>
        <w:rPr>
          <w:rFonts w:hint="eastAsia" w:ascii="Times New Roman" w:hAnsi="Times New Roman" w:eastAsia="方正仿宋_GBK" w:cs="Times New Roman"/>
          <w:sz w:val="32"/>
          <w:szCs w:val="32"/>
          <w:lang w:val="zh-CN"/>
        </w:rPr>
        <w:t>充分发掘城北城上村遗址价值，推进保护和利用，结合城上遗址公园建设，规划建设遗址博物馆；统筹规划建设句容博物馆、城市规划展示馆、句容综合档案馆，做到</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三馆合一</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，继续加强档案、史志等事业发展，厚植句容历史文化名城深厚底蕴。</w:t>
      </w:r>
      <w:r>
        <w:rPr>
          <w:rFonts w:hint="eastAsia" w:ascii="Times New Roman" w:hAnsi="Times New Roman" w:eastAsia="方正仿宋_GBK" w:cs="Times New Roman"/>
          <w:sz w:val="32"/>
          <w:szCs w:val="32"/>
        </w:rPr>
        <w:t>坚持政府主导、城乡一体、效能优先、创新发展的基本原则，统筹推进公共图书馆、文化馆总分馆建设。</w:t>
      </w:r>
      <w:r>
        <w:rPr>
          <w:rFonts w:hint="eastAsia" w:ascii="Times New Roman" w:hAnsi="Times New Roman" w:eastAsia="方正仿宋_GBK" w:cs="Times New Roman"/>
          <w:sz w:val="32"/>
          <w:szCs w:val="32"/>
          <w:lang w:val="zh-CN"/>
        </w:rPr>
        <w:t>建设城市书房、市博物馆、非物质文化遗产展览馆和市美术馆等文化基础设施，建设数字化文化场馆，提升市图书馆、文化馆、博物馆数字化服务能力。</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完善基层公共文化服务体系。</w:t>
      </w:r>
      <w:r>
        <w:rPr>
          <w:rFonts w:hint="eastAsia" w:ascii="Times New Roman" w:hAnsi="Times New Roman" w:eastAsia="方正仿宋_GBK" w:cs="Times New Roman"/>
          <w:sz w:val="32"/>
          <w:szCs w:val="32"/>
        </w:rPr>
        <w:t>通过健全服务项目、落实免费开放经费、配齐工作人员等措施，完善乡镇综合文化站文化服务功能。巩固国家基层综合性文化服务中心建设试点成果，打造村庄社区综合性文化服务中心建设</w:t>
      </w:r>
      <w:r>
        <w:rPr>
          <w:rFonts w:ascii="Times New Roman" w:hAnsi="Times New Roman" w:eastAsia="方正仿宋_GBK" w:cs="Times New Roman"/>
          <w:sz w:val="32"/>
          <w:szCs w:val="32"/>
        </w:rPr>
        <w:t>“1+X”</w:t>
      </w:r>
      <w:r>
        <w:rPr>
          <w:rFonts w:hint="eastAsia" w:ascii="Times New Roman" w:hAnsi="Times New Roman" w:eastAsia="方正仿宋_GBK" w:cs="Times New Roman"/>
          <w:sz w:val="32"/>
          <w:szCs w:val="32"/>
        </w:rPr>
        <w:t>模式升级版。实施茅山革命老区公共文化服务振兴计划，开展茅山革命老区经济薄弱村综合性文化服务中心强基工程，进行精准文化扶贫，加大和完善村级文化设施建设，提升公共文化服务效能。</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强化群众体育设施建设。</w:t>
      </w:r>
      <w:r>
        <w:rPr>
          <w:rFonts w:hint="eastAsia" w:ascii="Times New Roman" w:hAnsi="Times New Roman" w:eastAsia="方正仿宋_GBK" w:cs="Times New Roman"/>
          <w:sz w:val="32"/>
          <w:szCs w:val="32"/>
        </w:rPr>
        <w:t>深入贯彻落实全民健身国家战略，建设能承接高规格体育竞赛、表演、大型展览的综合性公共体育场馆。结合老旧小区改造、公园升级改造等市政建设，融入体育元素，建设小型化、多样化的体育场地，到</w:t>
      </w:r>
      <w:r>
        <w:rPr>
          <w:rFonts w:ascii="Times New Roman" w:hAnsi="Times New Roman" w:eastAsia="方正仿宋_GBK" w:cs="Times New Roman"/>
          <w:sz w:val="32"/>
          <w:szCs w:val="32"/>
        </w:rPr>
        <w:t>2025</w:t>
      </w:r>
      <w:r>
        <w:rPr>
          <w:rFonts w:hint="eastAsia" w:ascii="Times New Roman" w:hAnsi="Times New Roman" w:eastAsia="方正仿宋_GBK" w:cs="Times New Roman"/>
          <w:sz w:val="32"/>
          <w:szCs w:val="32"/>
        </w:rPr>
        <w:t>年，人均体育场地面积达</w:t>
      </w:r>
      <w:r>
        <w:rPr>
          <w:rFonts w:ascii="Times New Roman" w:hAnsi="Times New Roman" w:eastAsia="方正仿宋_GBK" w:cs="Times New Roman"/>
          <w:sz w:val="32"/>
          <w:szCs w:val="32"/>
        </w:rPr>
        <w:t>3.7</w:t>
      </w:r>
      <w:r>
        <w:rPr>
          <w:rFonts w:hint="eastAsia" w:ascii="Times New Roman" w:hAnsi="Times New Roman" w:eastAsia="方正仿宋_GBK" w:cs="Times New Roman"/>
          <w:sz w:val="32"/>
          <w:szCs w:val="32"/>
        </w:rPr>
        <w:t>平方米。抓好主题公园、街镇全民健身广场、健身步道（登山步道、环湖步道、骑行道）等形式多样的场地建设。</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rPr>
        <w:t>丰富公共文化产品和服务供给。</w:t>
      </w:r>
      <w:r>
        <w:rPr>
          <w:rFonts w:hint="eastAsia" w:ascii="Times New Roman" w:hAnsi="Times New Roman" w:eastAsia="方正仿宋_GBK" w:cs="Times New Roman"/>
          <w:sz w:val="32"/>
          <w:szCs w:val="32"/>
        </w:rPr>
        <w:t>结合乡土文化特色，文化</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三下乡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活动，定期组织开展全民艺术普及和培训、</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送戏下乡</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演出、</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非遗</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进乡镇进校园进课堂。整合全市各级各类公共文化服务资源，实现城乡文化资源在线共享；鼓励和教育部门合作，加强对农村留守儿童进行课业辅导，开展在线艺术欣赏、艺术培训、在线阅读等方面的文化服务，开启</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文化在线</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公共文化服务新模式。</w:t>
      </w:r>
    </w:p>
    <w:p>
      <w:pPr>
        <w:spacing w:line="540" w:lineRule="exact"/>
        <w:ind w:firstLine="640" w:firstLineChars="200"/>
        <w:rPr>
          <w:rFonts w:hint="eastAsia" w:ascii="Times New Roman" w:hAnsi="Times New Roman" w:eastAsia="方正仿宋_GBK" w:cs="Times New Roman"/>
          <w:bCs w:val="0"/>
          <w:lang w:eastAsia="zh-CN"/>
        </w:rPr>
      </w:pPr>
      <w:r>
        <w:rPr>
          <w:rFonts w:hint="eastAsia" w:ascii="Times New Roman" w:hAnsi="Times New Roman" w:eastAsia="方正楷体_GBK" w:cs="Times New Roman"/>
          <w:sz w:val="32"/>
          <w:szCs w:val="32"/>
        </w:rPr>
        <w:t>加强乡土文化人才队伍建设。</w:t>
      </w:r>
      <w:r>
        <w:rPr>
          <w:rFonts w:hint="eastAsia" w:ascii="Times New Roman" w:hAnsi="Times New Roman" w:eastAsia="方正仿宋_GBK" w:cs="Times New Roman"/>
          <w:sz w:val="32"/>
          <w:szCs w:val="32"/>
        </w:rPr>
        <w:t>鼓励“三支一扶”大学毕业生、志愿者等专兼职从事村综合性文化服务中心管理服务工作。按照公开招募、自愿报名、组织选拔、集中派遣的形式，探索在村级综合性文化服务中心设置由政府购买的公益文化岗位。重视发现和培养扎根基层的乡土文化能人、非物质文化遗产项目传承人，大力营造有利于乡土文化人才成长的环境</w:t>
      </w:r>
      <w:bookmarkStart w:id="88" w:name="_Toc24889"/>
      <w:r>
        <w:rPr>
          <w:rFonts w:hint="eastAsia" w:ascii="Times New Roman" w:hAnsi="Times New Roman" w:eastAsia="方正仿宋_GBK" w:cs="Times New Roman"/>
          <w:sz w:val="32"/>
          <w:szCs w:val="32"/>
          <w:lang w:eastAsia="zh-CN"/>
        </w:rPr>
        <w:t>。</w:t>
      </w:r>
    </w:p>
    <w:p>
      <w:pPr>
        <w:pStyle w:val="2"/>
        <w:adjustRightInd w:val="0"/>
        <w:snapToGrid w:val="0"/>
        <w:spacing w:before="0" w:after="0" w:line="540" w:lineRule="exact"/>
        <w:jc w:val="both"/>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pStyle w:val="2"/>
        <w:adjustRightInd w:val="0"/>
        <w:snapToGrid w:val="0"/>
        <w:spacing w:before="0" w:after="0" w:line="540" w:lineRule="exact"/>
        <w:jc w:val="center"/>
        <w:rPr>
          <w:rFonts w:hint="eastAsia" w:ascii="Times New Roman" w:hAnsi="Times New Roman" w:cs="Times New Roman"/>
          <w:bCs w:val="0"/>
        </w:rPr>
      </w:pPr>
    </w:p>
    <w:p>
      <w:pPr>
        <w:pStyle w:val="2"/>
        <w:adjustRightInd w:val="0"/>
        <w:snapToGrid w:val="0"/>
        <w:spacing w:before="0" w:after="0" w:line="540" w:lineRule="exact"/>
        <w:jc w:val="center"/>
        <w:rPr>
          <w:rFonts w:ascii="Times New Roman" w:hAnsi="Times New Roman" w:cs="Times New Roman"/>
          <w:bCs w:val="0"/>
        </w:rPr>
      </w:pPr>
      <w:r>
        <w:rPr>
          <w:rFonts w:hint="eastAsia" w:ascii="Times New Roman" w:hAnsi="Times New Roman" w:cs="Times New Roman"/>
          <w:bCs w:val="0"/>
        </w:rPr>
        <w:t>第十章</w:t>
      </w:r>
      <w:r>
        <w:rPr>
          <w:rFonts w:ascii="Times New Roman" w:hAnsi="Times New Roman" w:cs="Times New Roman"/>
          <w:bCs w:val="0"/>
        </w:rPr>
        <w:t xml:space="preserve"> </w:t>
      </w:r>
      <w:r>
        <w:rPr>
          <w:rFonts w:hint="eastAsia" w:ascii="Times New Roman" w:hAnsi="Times New Roman" w:cs="Times New Roman"/>
          <w:bCs w:val="0"/>
        </w:rPr>
        <w:t>全面深化体制机制改革</w:t>
      </w:r>
      <w:bookmarkEnd w:id="88"/>
    </w:p>
    <w:p>
      <w:pPr>
        <w:pStyle w:val="2"/>
        <w:adjustRightInd w:val="0"/>
        <w:snapToGrid w:val="0"/>
        <w:spacing w:before="0" w:after="0" w:line="540" w:lineRule="exact"/>
        <w:rPr>
          <w:rFonts w:ascii="Times New Roman" w:hAnsi="Times New Roman" w:cs="Times New Roman"/>
          <w:bCs w:val="0"/>
        </w:rPr>
      </w:pPr>
      <w:bookmarkStart w:id="89" w:name="_Toc663"/>
      <w:r>
        <w:rPr>
          <w:rFonts w:hint="eastAsia" w:ascii="Times New Roman" w:hAnsi="Times New Roman" w:cs="Times New Roman"/>
          <w:bCs w:val="0"/>
        </w:rPr>
        <w:t>激发全社会创造力和市场活力</w:t>
      </w:r>
      <w:bookmarkEnd w:id="89"/>
    </w:p>
    <w:p>
      <w:pPr>
        <w:spacing w:line="540" w:lineRule="exact"/>
        <w:rPr>
          <w:rFonts w:ascii="Times New Roman" w:hAnsi="Times New Roman" w:cs="Times New Roman"/>
          <w:sz w:val="44"/>
          <w:szCs w:val="48"/>
        </w:rPr>
      </w:pP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仿宋_GBK" w:cs="Times New Roman"/>
          <w:sz w:val="32"/>
          <w:szCs w:val="32"/>
          <w:lang w:val="zh-CN"/>
        </w:rPr>
        <w:t>全面深化各领域、各环节改革，加强改革系统集成，推动有效市场和有为政府更好结合，提高资源配置效率，更好调动各方面积极性，为</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一福地四名城</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建设注入新动力。</w:t>
      </w:r>
    </w:p>
    <w:p>
      <w:pPr>
        <w:pStyle w:val="3"/>
        <w:spacing w:line="540" w:lineRule="exact"/>
        <w:rPr>
          <w:rFonts w:ascii="Times New Roman" w:hAnsi="Times New Roman"/>
          <w:bCs w:val="0"/>
        </w:rPr>
      </w:pPr>
      <w:bookmarkStart w:id="90" w:name="_Toc14623"/>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建设高标准市场体系</w:t>
      </w:r>
      <w:bookmarkEnd w:id="90"/>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深化要素配置改革。</w:t>
      </w:r>
      <w:r>
        <w:rPr>
          <w:rFonts w:hint="eastAsia" w:ascii="Times New Roman" w:hAnsi="Times New Roman" w:eastAsia="方正仿宋_GBK" w:cs="Times New Roman"/>
          <w:sz w:val="32"/>
          <w:szCs w:val="32"/>
          <w:lang w:val="zh-CN"/>
        </w:rPr>
        <w:t>建立健全统一开放、竞争有序的要素市场体系，完善要素市场运行机制，实现要素自由流动、竞争有序，推动要素配置实现效益最大化。充分发挥市场配置资源的决定性作用。分类深化土地、劳动力、资本、技术等要素市场化配置改革。探索科技成果产权激励制度改革。推进政务数据</w:t>
      </w:r>
      <w:r>
        <w:rPr>
          <w:rFonts w:hint="eastAsia" w:ascii="Times New Roman" w:hAnsi="Times New Roman" w:eastAsia="方正仿宋_GBK" w:cs="Times New Roman"/>
          <w:sz w:val="32"/>
          <w:szCs w:val="32"/>
        </w:rPr>
        <w:t>整合和</w:t>
      </w:r>
      <w:r>
        <w:rPr>
          <w:rFonts w:hint="eastAsia" w:ascii="Times New Roman" w:hAnsi="Times New Roman" w:eastAsia="方正仿宋_GBK" w:cs="Times New Roman"/>
          <w:sz w:val="32"/>
          <w:szCs w:val="32"/>
          <w:lang w:val="zh-CN"/>
        </w:rPr>
        <w:t>依法有序共享，进一步推动大数据和实体经济深度融合，力争进入区域性数据要素市场。</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建立现代产权制度。</w:t>
      </w:r>
      <w:r>
        <w:rPr>
          <w:rFonts w:hint="eastAsia" w:ascii="Times New Roman" w:hAnsi="Times New Roman" w:eastAsia="方正仿宋_GBK" w:cs="Times New Roman"/>
          <w:sz w:val="32"/>
          <w:szCs w:val="32"/>
          <w:lang w:val="zh-CN"/>
        </w:rPr>
        <w:t>建立健全归属清晰、权责明确、保护严格、流转顺畅的现代产权制度，完善产权激励机制。落实农村第二轮土地承包到期后再延长</w:t>
      </w:r>
      <w:r>
        <w:rPr>
          <w:rFonts w:ascii="Times New Roman" w:hAnsi="Times New Roman" w:eastAsia="方正仿宋_GBK" w:cs="Times New Roman"/>
          <w:sz w:val="32"/>
          <w:szCs w:val="32"/>
          <w:lang w:val="zh-CN"/>
        </w:rPr>
        <w:t>30</w:t>
      </w:r>
      <w:r>
        <w:rPr>
          <w:rFonts w:hint="eastAsia" w:ascii="Times New Roman" w:hAnsi="Times New Roman" w:eastAsia="方正仿宋_GBK" w:cs="Times New Roman"/>
          <w:sz w:val="32"/>
          <w:szCs w:val="32"/>
          <w:lang w:val="zh-CN"/>
        </w:rPr>
        <w:t>年政策，完善农村基本经营制度。明确农村集体资产股份权能，推进经营性资产股份合作制改革。加快自然资源统一确权登记，推进农村集体资产所有权确权，推动所有权与使用权分离。</w:t>
      </w: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规范市场价格行为</w:t>
      </w:r>
      <w:r>
        <w:rPr>
          <w:rFonts w:hint="eastAsia" w:ascii="Times New Roman" w:hAnsi="Times New Roman" w:eastAsia="方正楷体_GBK" w:cs="Times New Roman"/>
          <w:sz w:val="32"/>
          <w:szCs w:val="32"/>
          <w:lang w:val="zh-CN"/>
        </w:rPr>
        <w:t>。</w:t>
      </w:r>
      <w:r>
        <w:rPr>
          <w:rFonts w:hint="eastAsia" w:ascii="Times New Roman" w:hAnsi="Times New Roman" w:eastAsia="方正仿宋_GBK" w:cs="Times New Roman"/>
          <w:sz w:val="32"/>
          <w:szCs w:val="32"/>
          <w:lang w:val="zh-CN"/>
        </w:rPr>
        <w:t>推动政府定价机制由制定具体价格水平向制定定价规则转变，最大限度减少政府对价格形成的不当干预。建立健全财政投入与供电、供水、供气、公共交通等公用事业和公共服务领域价格调整协调机制。全力做好重点民生商品保供稳价。建立健全价格监测预警体系，加强市场价格监管体系建设，规范市场价格行为，维护公平竞争市场秩序。</w:t>
      </w: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加强金融机构监管。</w:t>
      </w:r>
      <w:r>
        <w:rPr>
          <w:rFonts w:hint="eastAsia" w:ascii="Times New Roman" w:hAnsi="Times New Roman" w:eastAsia="方正仿宋_GBK" w:cs="Times New Roman"/>
          <w:sz w:val="32"/>
          <w:szCs w:val="32"/>
          <w:lang w:val="zh-CN"/>
        </w:rPr>
        <w:t>按照市机构改革工作部署，不断完善组织结构和监管架构，强化地方金融监管职责，全面履行对小额贷款公司、融资担保公司、典当行、融资租赁公司、商业保险公司的监督管理。借助金融监管信息系统，督促机构按要求报送非现场监管报表，充分发挥系统非现场监管的优势，及时掌握行业风险动态情况，并科学地实施监管。探索建立地方金融风险监测预警系统，加强数据共享，提升风险精准识别能力。</w:t>
      </w: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加大金融扶持实体经济力度。</w:t>
      </w:r>
      <w:r>
        <w:rPr>
          <w:rFonts w:hint="eastAsia" w:ascii="Times New Roman" w:hAnsi="Times New Roman" w:eastAsia="方正仿宋_GBK" w:cs="Times New Roman"/>
          <w:sz w:val="32"/>
          <w:szCs w:val="32"/>
          <w:lang w:val="zh-CN"/>
        </w:rPr>
        <w:t>加大机构引进力度，做大做强创新业务，完善金融服务体系。强化政银企合作，保持融资稳定增长，稳步扩大制造业资金供给，建立贷款风险分担机制，对金融机构加大考核力度，增加对中小微企业贷款的投放力度，降低企业融资成本。探索建立金融服务平台与公共信息信用库，整合金融资源，推广整村授信、信易贷等模式，对接中小微企业融资需求。不断提高企业直接融资比重，支持企业上市融资，充分完善落实上市优惠政策，扩大债券发行规模，拓宽股权融资方式。</w:t>
      </w:r>
    </w:p>
    <w:p>
      <w:pPr>
        <w:pStyle w:val="3"/>
        <w:spacing w:line="540" w:lineRule="exact"/>
        <w:rPr>
          <w:rFonts w:ascii="Times New Roman" w:hAnsi="Times New Roman"/>
          <w:bCs w:val="0"/>
        </w:rPr>
      </w:pPr>
      <w:bookmarkStart w:id="91" w:name="_Toc23888"/>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激发各类市场主体活力</w:t>
      </w:r>
      <w:bookmarkEnd w:id="91"/>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推进国有企业改革。</w:t>
      </w:r>
      <w:r>
        <w:rPr>
          <w:rFonts w:hint="eastAsia" w:ascii="Times New Roman" w:hAnsi="Times New Roman" w:eastAsia="方正仿宋_GBK" w:cs="Times New Roman"/>
          <w:sz w:val="32"/>
          <w:szCs w:val="32"/>
          <w:lang w:val="zh-CN"/>
        </w:rPr>
        <w:t>加快国有经济布局优化和结构调整，引导国有企业进一步聚焦实体经济，做强做精主业。加大战略性重组力度，推动形成集团化管理、一体化运营、差异化发展的运作模式。依托句容新农控股集团、句容投资集团等国</w:t>
      </w:r>
      <w:r>
        <w:rPr>
          <w:rFonts w:hint="eastAsia" w:ascii="Times New Roman" w:hAnsi="Times New Roman" w:eastAsia="方正仿宋_GBK" w:cs="Times New Roman"/>
          <w:sz w:val="32"/>
          <w:szCs w:val="32"/>
        </w:rPr>
        <w:t>有企业</w:t>
      </w:r>
      <w:r>
        <w:rPr>
          <w:rFonts w:hint="eastAsia" w:ascii="Times New Roman" w:hAnsi="Times New Roman" w:eastAsia="方正仿宋_GBK" w:cs="Times New Roman"/>
          <w:sz w:val="32"/>
          <w:szCs w:val="32"/>
          <w:lang w:val="zh-CN"/>
        </w:rPr>
        <w:t>，整合地方存量零散资源，积极与社会资本合作增强企业运营能力，实现国有资产的保值增值，做大做强地方品牌，提升市域的自主性能力。开展国企民企之间兼并重组和战略性组合，加快推进混合所有制企业在管理模式、经营机制、技术创新等方面的探索应用。优化企业内部治理结构，建立职业经理人制度，实现市场化运营。</w:t>
      </w: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支持民营企业发展。</w:t>
      </w:r>
      <w:r>
        <w:rPr>
          <w:rFonts w:hint="eastAsia" w:ascii="Times New Roman" w:hAnsi="Times New Roman" w:eastAsia="方正仿宋_GBK" w:cs="Times New Roman"/>
          <w:sz w:val="32"/>
          <w:szCs w:val="32"/>
          <w:lang w:val="zh-CN"/>
        </w:rPr>
        <w:t>破除制约市场竞争的各类障碍和隐性壁垒，营造各种所有制主体依法平等使用资源要素、公开公平公正参与竞争、同等受到法律保护的市场环境。优化民营经济发展环境，构建亲清政商关系，促进非公有制经济健康发展和非公有制经济人士健康成长，依法平等保护民营企业产权和企业家权益，破除制约民营企业发展的各种壁垒，完善促进中小微企业和个体工商户发展的法律环境和政策体系。弘扬企业家精神，加快建设一流企业。</w:t>
      </w:r>
    </w:p>
    <w:p>
      <w:pPr>
        <w:pStyle w:val="3"/>
        <w:spacing w:line="540" w:lineRule="exact"/>
        <w:rPr>
          <w:rFonts w:ascii="Times New Roman" w:hAnsi="Times New Roman"/>
          <w:bCs w:val="0"/>
        </w:rPr>
      </w:pPr>
      <w:bookmarkStart w:id="92" w:name="_Toc4688"/>
      <w:r>
        <w:rPr>
          <w:rFonts w:hint="eastAsia" w:ascii="Times New Roman" w:hAnsi="Times New Roman"/>
          <w:bCs w:val="0"/>
        </w:rPr>
        <w:t>第三节</w:t>
      </w:r>
      <w:r>
        <w:rPr>
          <w:rFonts w:ascii="Times New Roman" w:hAnsi="Times New Roman"/>
          <w:bCs w:val="0"/>
        </w:rPr>
        <w:t xml:space="preserve"> </w:t>
      </w:r>
      <w:r>
        <w:rPr>
          <w:rFonts w:hint="eastAsia" w:ascii="Times New Roman" w:hAnsi="Times New Roman"/>
          <w:bCs w:val="0"/>
        </w:rPr>
        <w:t>推进营商环境持续优化</w:t>
      </w:r>
      <w:bookmarkEnd w:id="92"/>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维护公平公正市场环境。</w:t>
      </w:r>
      <w:r>
        <w:rPr>
          <w:rFonts w:hint="eastAsia" w:ascii="Times New Roman" w:hAnsi="Times New Roman" w:eastAsia="方正仿宋_GBK" w:cs="Times New Roman"/>
          <w:sz w:val="32"/>
          <w:szCs w:val="32"/>
          <w:lang w:val="zh-CN"/>
        </w:rPr>
        <w:t>严格执行市场准入负面清单制度，确保各类市场主体依法平等进入。依法保障各种所有制经济权益，坚决破除制约市场竞争的各类障碍和隐形壁垒。实施公平统一市场监管制度，加强反垄断和反不正当竞争执法力度，有效防止市场经济活动垄断行为，规范交易行为。</w:t>
      </w: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rPr>
        <w:t>因地制宜制订惠企政策。</w:t>
      </w:r>
      <w:r>
        <w:rPr>
          <w:rFonts w:hint="eastAsia" w:ascii="Times New Roman" w:hAnsi="Times New Roman" w:eastAsia="方正仿宋_GBK" w:cs="Times New Roman"/>
          <w:sz w:val="32"/>
          <w:szCs w:val="32"/>
        </w:rPr>
        <w:t>进一步加大新增规上企业培扶、自动化技改、数字化转型、上市融资、人才引进等方面的扶持力度，适当降低奖励门槛、提升扶持资金额度，调动企业做大做强的积极性。对新引进项目，学习南京等地经验，针对重点发展的产业方向和引进项目的质量效益，给予专门的政策奖励，进一步提高政策精准性和项目招商的引导性，确保好项目进得来、留得住。</w:t>
      </w: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推进政务服务优化升级。</w:t>
      </w:r>
      <w:r>
        <w:rPr>
          <w:rFonts w:hint="eastAsia" w:ascii="Times New Roman" w:hAnsi="Times New Roman" w:eastAsia="方正仿宋_GBK" w:cs="Times New Roman"/>
          <w:sz w:val="32"/>
          <w:szCs w:val="32"/>
          <w:lang w:val="zh-CN"/>
        </w:rPr>
        <w:t>深入推进</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放管服</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改革，进一步转变政府职能、提高服务效率和水平，加快构建职责明确、依法行政的政府治理体系，提高服务效率和水平。推进数据共享，破除信息壁垒，促进部门单位全面链接政务服务网。推进镇、村为民（便民）服务中心建设和管理，在管理制度、服务流程和日常考核各方面满足办事群众的需求。优化企业发展环境，加快打造市场化法治化国际化的营商环境。推进</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证照分离</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改革，通过直接取消审批、审批改为备案、实行告知承诺、优化审批服务四种方式，确保所有涉企经营许可事项改革稳步推进。按照</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公开为常态、不公开为例外</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的原则，推进基层政务公开标准化、规范化。</w:t>
      </w:r>
    </w:p>
    <w:p>
      <w:pPr>
        <w:spacing w:line="54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建立健全公共信用体系。</w:t>
      </w:r>
      <w:r>
        <w:rPr>
          <w:rFonts w:hint="eastAsia" w:ascii="Times New Roman" w:hAnsi="Times New Roman" w:eastAsia="方正仿宋_GBK" w:cs="Times New Roman"/>
          <w:sz w:val="32"/>
          <w:szCs w:val="32"/>
          <w:lang w:val="zh-CN"/>
        </w:rPr>
        <w:t>梳理归集公共信用信息目录清单、联合奖惩行为清单，完善社会信用配套制度。坚持信用监管和信用服务双轮驱动，加快构建以信用为基础的新型监管机制，建立健全事前、事中和事后环节信用监管，推动信用监管信息公开公示。提升信用监管数字化水平，完善安全生产、生态环保等重点领域的信用监管措施，全面建立市场主体信用档案、规范市场主体信用评价、推进信用分类分级监管，加大联合奖惩措施的实施力度，完善信用修复机制。</w:t>
      </w:r>
    </w:p>
    <w:p>
      <w:pPr>
        <w:widowControl/>
        <w:spacing w:line="540" w:lineRule="exact"/>
        <w:jc w:val="left"/>
        <w:rPr>
          <w:rFonts w:ascii="Times New Roman" w:hAnsi="Times New Roman" w:eastAsia="仿宋" w:cs="Times New Roman"/>
          <w:sz w:val="32"/>
          <w:szCs w:val="32"/>
          <w:lang w:val="zh-CN"/>
        </w:rPr>
      </w:pPr>
      <w:bookmarkStart w:id="93" w:name="_Toc25543"/>
    </w:p>
    <w:p>
      <w:pPr>
        <w:pStyle w:val="2"/>
        <w:adjustRightInd w:val="0"/>
        <w:snapToGrid w:val="0"/>
        <w:spacing w:before="0" w:after="0" w:line="560" w:lineRule="exact"/>
        <w:rPr>
          <w:rFonts w:hint="eastAsia" w:ascii="Times New Roman" w:hAnsi="Times New Roman" w:cs="Times New Roman"/>
          <w:bCs w:val="0"/>
        </w:rPr>
      </w:pPr>
    </w:p>
    <w:p>
      <w:pPr>
        <w:pStyle w:val="2"/>
        <w:adjustRightInd w:val="0"/>
        <w:snapToGrid w:val="0"/>
        <w:spacing w:before="0" w:after="0" w:line="560" w:lineRule="exact"/>
        <w:rPr>
          <w:rFonts w:ascii="Times New Roman" w:hAnsi="Times New Roman" w:cs="Times New Roman"/>
          <w:bCs w:val="0"/>
        </w:rPr>
      </w:pPr>
      <w:r>
        <w:rPr>
          <w:rFonts w:hint="eastAsia" w:ascii="Times New Roman" w:hAnsi="Times New Roman" w:cs="Times New Roman"/>
          <w:bCs w:val="0"/>
        </w:rPr>
        <w:t>第十一章</w:t>
      </w:r>
      <w:r>
        <w:rPr>
          <w:rFonts w:ascii="Times New Roman" w:hAnsi="Times New Roman" w:cs="Times New Roman"/>
          <w:bCs w:val="0"/>
        </w:rPr>
        <w:t xml:space="preserve"> </w:t>
      </w:r>
      <w:r>
        <w:rPr>
          <w:rFonts w:hint="eastAsia" w:ascii="Times New Roman" w:hAnsi="Times New Roman" w:cs="Times New Roman"/>
          <w:bCs w:val="0"/>
        </w:rPr>
        <w:t>深化民主法治建设</w:t>
      </w:r>
      <w:bookmarkEnd w:id="93"/>
    </w:p>
    <w:p>
      <w:pPr>
        <w:pStyle w:val="2"/>
        <w:adjustRightInd w:val="0"/>
        <w:snapToGrid w:val="0"/>
        <w:spacing w:before="0" w:after="0" w:line="560" w:lineRule="exact"/>
        <w:rPr>
          <w:rFonts w:ascii="Times New Roman" w:hAnsi="Times New Roman" w:cs="Times New Roman"/>
          <w:bCs w:val="0"/>
        </w:rPr>
      </w:pPr>
      <w:bookmarkStart w:id="94" w:name="_Toc24178"/>
      <w:r>
        <w:rPr>
          <w:rFonts w:hint="eastAsia" w:ascii="Times New Roman" w:hAnsi="Times New Roman" w:cs="Times New Roman"/>
          <w:bCs w:val="0"/>
        </w:rPr>
        <w:t>推动社会治理体系现代化</w:t>
      </w:r>
      <w:bookmarkEnd w:id="94"/>
    </w:p>
    <w:p>
      <w:pPr>
        <w:rPr>
          <w:rFonts w:ascii="Times New Roman" w:hAnsi="Times New Roman" w:cs="Times New Roman"/>
          <w:sz w:val="44"/>
          <w:szCs w:val="48"/>
        </w:rPr>
      </w:pP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仿宋_GBK" w:cs="Times New Roman"/>
          <w:sz w:val="32"/>
          <w:szCs w:val="32"/>
          <w:lang w:val="zh-CN"/>
        </w:rPr>
        <w:t>坚持党的领导、人民当家作主、依法治国的有机统一，强化系统治理、依法治理、综合治理、源头治理，不断提升社会治理体系和治理能力现代化水平。</w:t>
      </w:r>
    </w:p>
    <w:p>
      <w:pPr>
        <w:pStyle w:val="3"/>
        <w:spacing w:line="580" w:lineRule="exact"/>
        <w:rPr>
          <w:rFonts w:ascii="Times New Roman" w:hAnsi="Times New Roman"/>
          <w:bCs w:val="0"/>
        </w:rPr>
      </w:pPr>
      <w:bookmarkStart w:id="95" w:name="_Toc8176"/>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加强社会主义民主法治建设</w:t>
      </w:r>
      <w:bookmarkEnd w:id="95"/>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全面推进依法治市。</w:t>
      </w:r>
      <w:r>
        <w:rPr>
          <w:rFonts w:hint="eastAsia" w:ascii="Times New Roman" w:hAnsi="Times New Roman" w:eastAsia="方正仿宋_GBK" w:cs="Times New Roman"/>
          <w:sz w:val="32"/>
          <w:szCs w:val="32"/>
          <w:lang w:val="zh-CN"/>
        </w:rPr>
        <w:t>深入推进综合行政执法体制改革，全面推行政府部门权责清单，规范执法行为。加强行政复议、行政调解、行政裁决工作，发挥行政机关化解纠纷的</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分流阀</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作用。坚持民主决策、科学决策、依法决策，明确行政决策程序，完善合法性审查制度，落实法律顾问、公职律师在重大公共决策中发挥积极作用的制度机制，实行终身责任追究制度及责任倒查机制。深化司法体制改革，坚持公正司法，推进严格司法，增强司法执法的权威性。</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大力建设法治社会。</w:t>
      </w:r>
      <w:r>
        <w:rPr>
          <w:rFonts w:hint="eastAsia" w:ascii="Times New Roman" w:hAnsi="Times New Roman" w:eastAsia="方正仿宋_GBK" w:cs="Times New Roman"/>
          <w:sz w:val="32"/>
          <w:szCs w:val="32"/>
        </w:rPr>
        <w:t>加强法治宣传教育，积极谋划、深入开展</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八五</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普法工作。丰富法治文化产品，持续打造</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法润句容</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普法品牌。加强公共法律服务平台建设，基本形成现代公共法律服务体系，保证人民群众获得及时有效的法律援助。加强矛盾排查和风险研判，完善社会矛盾纠纷多元预防调处化解综合机制，努力将矛盾纠纷化解在基层。</w:t>
      </w:r>
    </w:p>
    <w:p>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楷体_GBK" w:cs="Times New Roman"/>
          <w:sz w:val="32"/>
          <w:szCs w:val="32"/>
          <w:lang w:val="zh-CN"/>
        </w:rPr>
        <w:t>加强民主法治建设。</w:t>
      </w:r>
      <w:r>
        <w:rPr>
          <w:rFonts w:hint="eastAsia" w:ascii="Times New Roman" w:hAnsi="Times New Roman" w:eastAsia="方正仿宋_GBK" w:cs="Times New Roman"/>
          <w:sz w:val="32"/>
          <w:szCs w:val="32"/>
          <w:lang w:val="zh-CN"/>
        </w:rPr>
        <w:t>强化人大代表与人民群众的联系，加强协商民主制度建设，健全人民政协建言资政、凝聚共识双向发力机制。坚持大统战格局，巩固和发展句容最广泛的爱国统一战线，充分发挥民主党派、工商联和无党派人士作用，全面贯彻落实党的民族宗教、</w:t>
      </w:r>
      <w:r>
        <w:rPr>
          <w:rFonts w:hint="eastAsia" w:ascii="Times New Roman" w:hAnsi="Times New Roman" w:eastAsia="方正仿宋_GBK" w:cs="Times New Roman"/>
          <w:sz w:val="32"/>
          <w:szCs w:val="32"/>
        </w:rPr>
        <w:t>侨务等</w:t>
      </w:r>
      <w:r>
        <w:rPr>
          <w:rFonts w:hint="eastAsia" w:ascii="Times New Roman" w:hAnsi="Times New Roman" w:eastAsia="方正仿宋_GBK" w:cs="Times New Roman"/>
          <w:sz w:val="32"/>
          <w:szCs w:val="32"/>
          <w:lang w:val="zh-CN"/>
        </w:rPr>
        <w:t>政策，铸牢中华民族共同体意识。完善基层民主制度，畅通民主渠道，健全基层选举、议事、公开、述职、问责等机制。加强工会、共青团、妇联等群团组织建设和双拥工作，切实保障妇女儿童、青年、残疾人、退役军人等群体权益，使群团组织成为促进社会和谐发展的重要力量。</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健全完善监督体系。</w:t>
      </w:r>
      <w:r>
        <w:rPr>
          <w:rFonts w:hint="eastAsia" w:ascii="Times New Roman" w:hAnsi="Times New Roman" w:eastAsia="方正仿宋_GBK" w:cs="Times New Roman"/>
          <w:sz w:val="32"/>
          <w:szCs w:val="32"/>
          <w:lang w:val="zh-CN"/>
        </w:rPr>
        <w:t>完善党内监督体系，落实各级党组织监督责任，保障党员监督权利。完善政府内部层级监督，强化行政监督和审计监督，编制审计</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十四五</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规划并组织实施，改进上级行政机关对下级行政机关的监督，建立健全常态化、长效化监督制度。完善社会监督和舆论监督，建立行政机关违法行政行为投诉举报登记制度，畅通监督渠道，依法及时调查处理违法行政行为。发挥报刊、广播、电视等传统媒体监督作用，加强与互联网等新兴媒体的互动，重视运用和规范网络监督，建立健全网络舆情监测、收集、研判、处置机制，推动网络监督规范化、法治化。</w:t>
      </w:r>
    </w:p>
    <w:p>
      <w:pPr>
        <w:pStyle w:val="3"/>
        <w:spacing w:line="580" w:lineRule="exact"/>
        <w:rPr>
          <w:rFonts w:ascii="Times New Roman" w:hAnsi="Times New Roman"/>
          <w:bCs w:val="0"/>
        </w:rPr>
      </w:pPr>
      <w:bookmarkStart w:id="96" w:name="_Toc2790"/>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加强和创新现代社会治理</w:t>
      </w:r>
      <w:bookmarkEnd w:id="96"/>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夯实社会治理基础。</w:t>
      </w:r>
      <w:r>
        <w:rPr>
          <w:rFonts w:hint="eastAsia" w:ascii="Times New Roman" w:hAnsi="Times New Roman" w:eastAsia="方正仿宋_GBK" w:cs="Times New Roman"/>
          <w:sz w:val="32"/>
          <w:szCs w:val="32"/>
          <w:lang w:val="zh-CN"/>
        </w:rPr>
        <w:t>健全社区管理和服务机制，加快推动治理资源下沉，构建公共服务圈、群众自治圈、社会共治圈，塑造具有韧性的社区共同体。深入推进乡村善治工程，探索新型农村社区治理模式，引导社会组织、社会工作者、志愿者以及社会精英、现代乡贤等参与服务管理，完善事关村民切身利益的议事协商机制。发挥好</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大数据</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网格化</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铁脚板</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治理机制优势，推进城乡社会治理现代化。</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提升综合治理水平。</w:t>
      </w:r>
      <w:r>
        <w:rPr>
          <w:rFonts w:hint="eastAsia" w:ascii="Times New Roman" w:hAnsi="Times New Roman" w:eastAsia="方正仿宋_GBK" w:cs="Times New Roman"/>
          <w:sz w:val="32"/>
          <w:szCs w:val="32"/>
          <w:lang w:val="zh-CN"/>
        </w:rPr>
        <w:t>完善共建、共治、共享社会治安综合治理体制，推动形成全员参与的大治理格局。继续开展好禁毒人民战争，推进扫黑除恶专项斗争常态化，创新提升动态监管、联动处置水平，严厉打击各类违法犯罪行为，不断拓展平安创建广度、深度，着力建设更高水平平安句容。</w:t>
      </w:r>
    </w:p>
    <w:p>
      <w:pPr>
        <w:pStyle w:val="3"/>
        <w:spacing w:line="580" w:lineRule="exact"/>
        <w:rPr>
          <w:rFonts w:ascii="Times New Roman" w:hAnsi="Times New Roman"/>
          <w:bCs w:val="0"/>
        </w:rPr>
      </w:pPr>
      <w:bookmarkStart w:id="97" w:name="_Toc12261"/>
      <w:r>
        <w:rPr>
          <w:rFonts w:hint="eastAsia" w:ascii="Times New Roman" w:hAnsi="Times New Roman"/>
          <w:bCs w:val="0"/>
        </w:rPr>
        <w:t>第三节</w:t>
      </w:r>
      <w:r>
        <w:rPr>
          <w:rFonts w:ascii="Times New Roman" w:hAnsi="Times New Roman"/>
          <w:bCs w:val="0"/>
        </w:rPr>
        <w:t xml:space="preserve"> </w:t>
      </w:r>
      <w:r>
        <w:rPr>
          <w:rFonts w:hint="eastAsia" w:ascii="Times New Roman" w:hAnsi="Times New Roman"/>
          <w:bCs w:val="0"/>
        </w:rPr>
        <w:t>完善城市安全应急管理体系</w:t>
      </w:r>
      <w:bookmarkEnd w:id="97"/>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牢固树立总体国家安全观。</w:t>
      </w:r>
      <w:r>
        <w:rPr>
          <w:rFonts w:hint="eastAsia" w:ascii="Times New Roman" w:hAnsi="Times New Roman" w:eastAsia="方正仿宋_GBK" w:cs="Times New Roman"/>
          <w:sz w:val="32"/>
          <w:szCs w:val="32"/>
          <w:lang w:val="zh-CN"/>
        </w:rPr>
        <w:t>加强底线思维，依法严密防范、严厉打击各种危害国家安全的活动。大力开展国家安全宣传教育，增强全民国家安全意识。加大债务管控，全力保障经济安全，实施金融安全战略，推进与重点关联领域的协同监管，筑牢金融安全防线。保障粮食供应稳定，统筹抓好政策性收购和市场化收购，合理调控储备计划，强化粮食安全责任。提高生物安全治理能力，定期开展生物安全风险评估，强化生物安全资源监管，提高检测预警和防御能力。强化网络安全保护，完善网络安全工作体系，着力提升关键信息基础设施防护能力，加强重要数据资源和个人信息安全保护，大力宣传普及网络安全知识技能，增强全民网络安全意识。</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巩固公共安全保障体系。</w:t>
      </w:r>
      <w:r>
        <w:rPr>
          <w:rFonts w:hint="eastAsia" w:ascii="Times New Roman" w:hAnsi="Times New Roman" w:eastAsia="方正仿宋_GBK" w:cs="Times New Roman"/>
          <w:sz w:val="32"/>
          <w:szCs w:val="32"/>
          <w:lang w:val="zh-CN"/>
        </w:rPr>
        <w:t>科学制定安全相关规划，加强安全基础设施建设。健全安全责任体系，严格落实党委和政府安全生产工作的领导责任，明确部门安全监管职责，建立健全职业病防治工作机制，加强职业病危险防治工作。加大重点行业安全监管，提升安全标准和信息化水平。严格落实各类生产经营单位安全生产和职业健康主体责任，加强全员全过程全方位安全管理。畅通和规范群众诉求表达、利益协调、权益保障通道。</w:t>
      </w:r>
    </w:p>
    <w:p>
      <w:pPr>
        <w:spacing w:line="560" w:lineRule="exact"/>
        <w:ind w:firstLine="640" w:firstLineChars="200"/>
        <w:rPr>
          <w:rFonts w:hint="eastAsia" w:ascii="Times New Roman" w:hAnsi="Times New Roman" w:cs="Times New Roman"/>
          <w:bCs w:val="0"/>
        </w:rPr>
      </w:pPr>
      <w:r>
        <w:rPr>
          <w:rFonts w:hint="eastAsia" w:ascii="Times New Roman" w:hAnsi="Times New Roman" w:eastAsia="方正楷体_GBK" w:cs="Times New Roman"/>
          <w:sz w:val="32"/>
          <w:szCs w:val="32"/>
          <w:lang w:val="zh-CN"/>
        </w:rPr>
        <w:t>完善应急管理体系建设。</w:t>
      </w:r>
      <w:r>
        <w:rPr>
          <w:rFonts w:hint="eastAsia" w:ascii="Times New Roman" w:hAnsi="Times New Roman" w:eastAsia="方正仿宋_GBK" w:cs="Times New Roman"/>
          <w:sz w:val="32"/>
          <w:szCs w:val="32"/>
          <w:lang w:val="zh-CN"/>
        </w:rPr>
        <w:t>健全横向到边、纵向到底的应急预案体系，加强预案动态调整机制。完善国防动员体制机制，稳步提升人防综合防护体系建设，推进人防与国防动员体系、应急管理体系高效衔接。健全应急物资储备体系，实现粮食、能源、医疗器械等重要战略物资的集中管理、统一调拨、统一配送。加强应急避难场所建设，提升防灾减灾救灾能力，全面提升气象、水文、地质等多种灾害的防范能力，在消防、防灾减灾、安全生产、食品安全、危险化学品管理等安全重点领域实现全环节全过程预警监管处置。</w:t>
      </w:r>
      <w:bookmarkStart w:id="98" w:name="_Toc29362"/>
      <w:bookmarkStart w:id="99" w:name="_Toc14768"/>
    </w:p>
    <w:p>
      <w:pPr>
        <w:pStyle w:val="2"/>
        <w:adjustRightInd w:val="0"/>
        <w:snapToGrid w:val="0"/>
        <w:spacing w:before="0" w:after="0" w:line="560" w:lineRule="exact"/>
        <w:jc w:val="both"/>
        <w:rPr>
          <w:rFonts w:hint="eastAsia" w:ascii="Times New Roman" w:hAnsi="Times New Roman" w:cs="Times New Roman"/>
          <w:bCs w:val="0"/>
        </w:rPr>
      </w:pPr>
    </w:p>
    <w:p>
      <w:pPr>
        <w:pStyle w:val="2"/>
        <w:adjustRightInd w:val="0"/>
        <w:snapToGrid w:val="0"/>
        <w:spacing w:before="0" w:after="0" w:line="560" w:lineRule="exact"/>
        <w:jc w:val="both"/>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rPr>
          <w:rFonts w:hint="eastAsia" w:ascii="Times New Roman" w:hAnsi="Times New Roman" w:cs="Times New Roman"/>
          <w:bCs w:val="0"/>
        </w:rPr>
      </w:pPr>
    </w:p>
    <w:p>
      <w:pPr>
        <w:pStyle w:val="2"/>
        <w:adjustRightInd w:val="0"/>
        <w:snapToGrid w:val="0"/>
        <w:spacing w:before="0" w:after="0" w:line="560" w:lineRule="exact"/>
        <w:jc w:val="both"/>
        <w:rPr>
          <w:rFonts w:hint="eastAsia" w:ascii="Times New Roman" w:hAnsi="Times New Roman" w:cs="Times New Roman"/>
          <w:bCs w:val="0"/>
        </w:rPr>
      </w:pPr>
    </w:p>
    <w:p>
      <w:pPr>
        <w:pStyle w:val="2"/>
        <w:adjustRightInd w:val="0"/>
        <w:snapToGrid w:val="0"/>
        <w:spacing w:before="0" w:after="0" w:line="560" w:lineRule="exact"/>
        <w:jc w:val="center"/>
        <w:rPr>
          <w:rFonts w:ascii="Times New Roman" w:hAnsi="Times New Roman" w:cs="Times New Roman"/>
          <w:bCs w:val="0"/>
        </w:rPr>
      </w:pPr>
      <w:r>
        <w:rPr>
          <w:rFonts w:hint="eastAsia" w:ascii="Times New Roman" w:hAnsi="Times New Roman" w:cs="Times New Roman"/>
          <w:bCs w:val="0"/>
        </w:rPr>
        <w:t>第十二章</w:t>
      </w:r>
      <w:r>
        <w:rPr>
          <w:rFonts w:ascii="Times New Roman" w:hAnsi="Times New Roman" w:cs="Times New Roman"/>
          <w:bCs w:val="0"/>
        </w:rPr>
        <w:t xml:space="preserve"> </w:t>
      </w:r>
      <w:r>
        <w:rPr>
          <w:rFonts w:hint="eastAsia" w:ascii="Times New Roman" w:hAnsi="Times New Roman" w:cs="Times New Roman"/>
          <w:bCs w:val="0"/>
        </w:rPr>
        <w:t>加强规划引领能力</w:t>
      </w:r>
      <w:bookmarkEnd w:id="98"/>
    </w:p>
    <w:p>
      <w:pPr>
        <w:pStyle w:val="2"/>
        <w:adjustRightInd w:val="0"/>
        <w:snapToGrid w:val="0"/>
        <w:spacing w:before="0" w:after="0" w:line="560" w:lineRule="exact"/>
        <w:rPr>
          <w:rFonts w:ascii="Times New Roman" w:hAnsi="Times New Roman" w:cs="Times New Roman"/>
          <w:bCs w:val="0"/>
        </w:rPr>
      </w:pPr>
      <w:bookmarkStart w:id="100" w:name="_Toc10909"/>
      <w:r>
        <w:rPr>
          <w:rFonts w:hint="eastAsia" w:ascii="Times New Roman" w:hAnsi="Times New Roman" w:cs="Times New Roman"/>
          <w:bCs w:val="0"/>
        </w:rPr>
        <w:t>推动规划组织保障和衔接实施</w:t>
      </w:r>
      <w:bookmarkEnd w:id="99"/>
      <w:bookmarkEnd w:id="100"/>
    </w:p>
    <w:p>
      <w:pPr>
        <w:spacing w:line="560" w:lineRule="exact"/>
        <w:ind w:firstLine="640" w:firstLineChars="200"/>
        <w:rPr>
          <w:rFonts w:ascii="Times New Roman" w:hAnsi="Times New Roman" w:eastAsia="方正仿宋_GBK" w:cs="Times New Roman"/>
          <w:sz w:val="32"/>
          <w:szCs w:val="32"/>
        </w:rPr>
      </w:pP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仿宋_GBK" w:cs="Times New Roman"/>
          <w:sz w:val="32"/>
          <w:szCs w:val="32"/>
          <w:lang w:val="zh-CN"/>
        </w:rPr>
        <w:t>实现</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十四五</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规划和二〇三五年远景目标，必须坚持党的全面领导，充分调动一切积极因素，激发全面争先进位、奋力追赶超越的精气神，形成推动发展的强大合力。</w:t>
      </w:r>
    </w:p>
    <w:p>
      <w:pPr>
        <w:pStyle w:val="3"/>
        <w:spacing w:line="580" w:lineRule="exact"/>
        <w:rPr>
          <w:rFonts w:ascii="Times New Roman" w:hAnsi="Times New Roman"/>
          <w:bCs w:val="0"/>
        </w:rPr>
      </w:pPr>
      <w:bookmarkStart w:id="101" w:name="_Toc11498"/>
      <w:bookmarkStart w:id="102" w:name="_Toc213"/>
      <w:r>
        <w:rPr>
          <w:rFonts w:hint="eastAsia" w:ascii="Times New Roman" w:hAnsi="Times New Roman"/>
          <w:bCs w:val="0"/>
        </w:rPr>
        <w:t>第一节</w:t>
      </w:r>
      <w:r>
        <w:rPr>
          <w:rFonts w:ascii="Times New Roman" w:hAnsi="Times New Roman"/>
          <w:bCs w:val="0"/>
        </w:rPr>
        <w:t xml:space="preserve"> </w:t>
      </w:r>
      <w:r>
        <w:rPr>
          <w:rFonts w:hint="eastAsia" w:ascii="Times New Roman" w:hAnsi="Times New Roman"/>
          <w:bCs w:val="0"/>
        </w:rPr>
        <w:t>全面加强党的领导</w:t>
      </w:r>
      <w:bookmarkEnd w:id="101"/>
      <w:bookmarkEnd w:id="102"/>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坚持党的全面领导。</w:t>
      </w:r>
      <w:r>
        <w:rPr>
          <w:rFonts w:hint="eastAsia" w:ascii="Times New Roman" w:hAnsi="Times New Roman" w:eastAsia="方正仿宋_GBK" w:cs="Times New Roman"/>
          <w:sz w:val="32"/>
          <w:szCs w:val="32"/>
          <w:lang w:val="zh-CN"/>
        </w:rPr>
        <w:t>全面贯彻落实习近平新时代中国特色社会主义思想。坚决贯彻党的基本理论、基本路线、基本方略，增强</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四个意识</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，坚定</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四个自信</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，做到</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两个维护</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。充分发挥党统揽全局、协调各方的领导核心作用，把党的领导落实到</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十四五</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规划实施的各领域和全过程。</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加强干部队伍建设。</w:t>
      </w:r>
      <w:r>
        <w:rPr>
          <w:rFonts w:hint="eastAsia" w:ascii="Times New Roman" w:hAnsi="Times New Roman" w:eastAsia="方正仿宋_GBK" w:cs="Times New Roman"/>
          <w:sz w:val="32"/>
          <w:szCs w:val="32"/>
          <w:lang w:val="zh-CN"/>
        </w:rPr>
        <w:t>加强</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四硬</w:t>
      </w:r>
      <w:r>
        <w:rPr>
          <w:rFonts w:ascii="Times New Roman" w:hAnsi="Times New Roman" w:eastAsia="方正仿宋_GBK" w:cs="Times New Roman"/>
          <w:sz w:val="32"/>
          <w:szCs w:val="32"/>
          <w:lang w:val="zh-CN"/>
        </w:rPr>
        <w:t>”</w:t>
      </w:r>
      <w:r>
        <w:rPr>
          <w:rFonts w:hint="eastAsia" w:ascii="Times New Roman" w:hAnsi="Times New Roman" w:eastAsia="方正仿宋_GBK" w:cs="Times New Roman"/>
          <w:sz w:val="32"/>
          <w:szCs w:val="32"/>
          <w:lang w:val="zh-CN"/>
        </w:rPr>
        <w:t>型高素质干部队伍建设，优化领导班子知识结构和专业结构，提高科学决策、科学管理的能力，更好地把握形势、破解难题、推动发展。坚持全面从严治党，深入推进党风廉政建设和反腐败斗争，努力实现干部清正、政府廉洁、政治清明，为经济社会发展营造良好的政治生态。</w:t>
      </w:r>
    </w:p>
    <w:p>
      <w:pPr>
        <w:pStyle w:val="3"/>
        <w:spacing w:line="580" w:lineRule="exact"/>
        <w:rPr>
          <w:rFonts w:ascii="Times New Roman" w:hAnsi="Times New Roman"/>
          <w:bCs w:val="0"/>
        </w:rPr>
      </w:pPr>
      <w:bookmarkStart w:id="103" w:name="_Toc453"/>
      <w:bookmarkStart w:id="104" w:name="_Toc18294"/>
      <w:r>
        <w:rPr>
          <w:rFonts w:hint="eastAsia" w:ascii="Times New Roman" w:hAnsi="Times New Roman"/>
          <w:bCs w:val="0"/>
        </w:rPr>
        <w:t>第二节</w:t>
      </w:r>
      <w:r>
        <w:rPr>
          <w:rFonts w:ascii="Times New Roman" w:hAnsi="Times New Roman"/>
          <w:bCs w:val="0"/>
        </w:rPr>
        <w:t xml:space="preserve"> </w:t>
      </w:r>
      <w:r>
        <w:rPr>
          <w:rFonts w:hint="eastAsia" w:ascii="Times New Roman" w:hAnsi="Times New Roman"/>
          <w:bCs w:val="0"/>
        </w:rPr>
        <w:t>健全规划落实机制</w:t>
      </w:r>
      <w:bookmarkEnd w:id="103"/>
      <w:bookmarkEnd w:id="104"/>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建立统一规划体系。</w:t>
      </w:r>
      <w:r>
        <w:rPr>
          <w:rFonts w:hint="eastAsia" w:ascii="Times New Roman" w:hAnsi="Times New Roman" w:eastAsia="方正仿宋_GBK" w:cs="Times New Roman"/>
          <w:sz w:val="32"/>
          <w:szCs w:val="32"/>
          <w:lang w:val="zh-CN"/>
        </w:rPr>
        <w:t>加强规划编制、实施和管理的制度建设，突出规划前瞻性引领性作用，按照国家统一规划体系的要求，推进统一规划体系建设。切实发挥国土空间规划的基础作用，强化专项规划和区域规划的支撑作用，进一步严格规划编制程序，细化目录清单、编制备案、衔接协调、审核报送等规划管理制度。进一步提高规划的科学性、指导性和操作性，形成各类规划定位清晰、功能互补、统一衔接的规划体系。切实贯彻本规划的战略意图和主要任务，确保各级各类规划在总体要求上指向一致、空间配置上相互协调、时序安排上科学有序。</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明确规划实施责任。</w:t>
      </w:r>
      <w:r>
        <w:rPr>
          <w:rFonts w:hint="eastAsia" w:ascii="Times New Roman" w:hAnsi="Times New Roman" w:eastAsia="方正仿宋_GBK" w:cs="Times New Roman"/>
          <w:sz w:val="32"/>
          <w:szCs w:val="32"/>
          <w:lang w:val="zh-CN"/>
        </w:rPr>
        <w:t>市政府统一组织本规划的实施工作</w:t>
      </w:r>
      <w:r>
        <w:rPr>
          <w:rFonts w:ascii="Times New Roman" w:hAnsi="Times New Roman" w:eastAsia="方正仿宋_GBK" w:cs="Times New Roman"/>
          <w:sz w:val="32"/>
          <w:szCs w:val="32"/>
          <w:lang w:val="zh-CN"/>
        </w:rPr>
        <w:t xml:space="preserve">, </w:t>
      </w:r>
      <w:r>
        <w:rPr>
          <w:rFonts w:hint="eastAsia" w:ascii="Times New Roman" w:hAnsi="Times New Roman" w:eastAsia="方正仿宋_GBK" w:cs="Times New Roman"/>
          <w:sz w:val="32"/>
          <w:szCs w:val="32"/>
          <w:lang w:val="zh-CN"/>
        </w:rPr>
        <w:t>制定规划实施方案，落实牵头单位和工作责任，明确实施进度和推进措施，逐项落实目标任务。将规划提出的发展目标、重点任务和重大项目，纳入经济社会发展年度计划，并分解到市相关部门和各镇（街道、园区）。</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强化政策统筹引导。</w:t>
      </w:r>
      <w:r>
        <w:rPr>
          <w:rFonts w:hint="eastAsia" w:ascii="Times New Roman" w:hAnsi="Times New Roman" w:eastAsia="方正仿宋_GBK" w:cs="Times New Roman"/>
          <w:sz w:val="32"/>
          <w:szCs w:val="32"/>
          <w:lang w:val="zh-CN"/>
        </w:rPr>
        <w:t>围绕规划提出的目标任务，加强经济社会发展政策的统筹协调，注重政策目标与政策工具、短期政策与长期政策的衔接配合。充分发挥规划的指导作用，创新和完善宏观调控方式，有效引导社会资源，合理配置公共资源。围绕经济社会发展重点领域，研究制定一系列能够有效解决突出矛盾、营造公平环境、激发社会活力的重大政策举措，为实现规划确定的目标任务提供有力支撑。</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强化重大项目支撑。</w:t>
      </w:r>
      <w:r>
        <w:rPr>
          <w:rFonts w:hint="eastAsia" w:ascii="Times New Roman" w:hAnsi="Times New Roman" w:eastAsia="方正仿宋_GBK" w:cs="Times New Roman"/>
          <w:sz w:val="32"/>
          <w:szCs w:val="32"/>
          <w:lang w:val="zh-CN"/>
        </w:rPr>
        <w:t>科学谋划重大项目，坚持以规划确定项目、以项目落实规划，围绕产业转型升级、深化改革开放、城市建设管理、民生福祉改善等重点领域，组织实施好一批关系全局和长远发展的重大项目。优化重大项目投资领域和区域布局，保持投资规模稳步较快增长。优化财政支出结构和政府投资结构，优先安排涉及民生、公共服务等领域的财政支出和项目投入，集中财力保证政府投资重大项目的资金需求。强化项目建设全过程管理，推进项目精益管理，提高项目建设的协调服务水平。</w:t>
      </w:r>
    </w:p>
    <w:p>
      <w:pPr>
        <w:pStyle w:val="3"/>
        <w:spacing w:line="580" w:lineRule="exact"/>
        <w:rPr>
          <w:rFonts w:ascii="Times New Roman" w:hAnsi="Times New Roman"/>
          <w:bCs w:val="0"/>
        </w:rPr>
      </w:pPr>
      <w:bookmarkStart w:id="105" w:name="_Toc3619"/>
      <w:r>
        <w:rPr>
          <w:rFonts w:hint="eastAsia" w:ascii="Times New Roman" w:hAnsi="Times New Roman"/>
          <w:bCs w:val="0"/>
        </w:rPr>
        <w:t>第三节</w:t>
      </w:r>
      <w:r>
        <w:rPr>
          <w:rFonts w:ascii="Times New Roman" w:hAnsi="Times New Roman"/>
          <w:bCs w:val="0"/>
        </w:rPr>
        <w:t xml:space="preserve"> </w:t>
      </w:r>
      <w:r>
        <w:rPr>
          <w:rFonts w:hint="eastAsia" w:ascii="Times New Roman" w:hAnsi="Times New Roman"/>
          <w:bCs w:val="0"/>
        </w:rPr>
        <w:t>科学实施监督评估</w:t>
      </w:r>
      <w:bookmarkEnd w:id="105"/>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加强规划实施监测。</w:t>
      </w:r>
      <w:r>
        <w:rPr>
          <w:rFonts w:hint="eastAsia" w:ascii="Times New Roman" w:hAnsi="Times New Roman" w:eastAsia="方正仿宋_GBK" w:cs="Times New Roman"/>
          <w:sz w:val="32"/>
          <w:szCs w:val="32"/>
          <w:lang w:val="zh-CN"/>
        </w:rPr>
        <w:t>开展对规划指标、政策措施和重大项目实施情况的跟踪监测分析。强化动态管理，提高规划实施的效果。强化指标约束，把约束性指标分解落实到各相关部门、各镇（街道、园区），实行规划目标责任制。</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完善规划评估制度。</w:t>
      </w:r>
      <w:r>
        <w:rPr>
          <w:rFonts w:hint="eastAsia" w:ascii="Times New Roman" w:hAnsi="Times New Roman" w:eastAsia="方正仿宋_GBK" w:cs="Times New Roman"/>
          <w:sz w:val="32"/>
          <w:szCs w:val="32"/>
          <w:lang w:val="zh-CN"/>
        </w:rPr>
        <w:t>健全规划中期评估制度，在规划实施的中期阶段，由市政府组织全面评估，检查规划落实情况，形成中期评估报告，并提请市人大常委会审议。完善规划调整制度，按规定程序依法对规划进行调整或修订。</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完善规划实施机制。</w:t>
      </w:r>
      <w:r>
        <w:rPr>
          <w:rFonts w:hint="eastAsia" w:ascii="Times New Roman" w:hAnsi="Times New Roman" w:eastAsia="方正仿宋_GBK" w:cs="Times New Roman"/>
          <w:sz w:val="32"/>
          <w:szCs w:val="32"/>
          <w:lang w:val="zh-CN"/>
        </w:rPr>
        <w:t>建立规划实施定期考核机制，按照规划实施的目标责任和任务分工，全面考核各相关部门、各镇（街道、园区）的贯彻落实情况。坚持单位自评和统计部门监测相结合，运用定量考核与定性评估的方法，提高规划评估考核的科学性。</w:t>
      </w:r>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完善规划监督机制。</w:t>
      </w:r>
      <w:r>
        <w:rPr>
          <w:rFonts w:hint="eastAsia" w:ascii="Times New Roman" w:hAnsi="Times New Roman" w:eastAsia="方正仿宋_GBK" w:cs="Times New Roman"/>
          <w:sz w:val="32"/>
          <w:szCs w:val="32"/>
          <w:lang w:val="zh-CN"/>
        </w:rPr>
        <w:t>畅通监督渠道，发挥行政监察、组织人事、统计审计等部门的监督作用，完善政府向人大、政协的报告和沟通机制。发挥社会各界对规划实施情况的监督作用，积极开展公众评价。</w:t>
      </w:r>
    </w:p>
    <w:p>
      <w:pPr>
        <w:pStyle w:val="3"/>
        <w:spacing w:line="580" w:lineRule="exact"/>
        <w:rPr>
          <w:rFonts w:ascii="Times New Roman" w:hAnsi="Times New Roman"/>
          <w:bCs w:val="0"/>
        </w:rPr>
      </w:pPr>
      <w:bookmarkStart w:id="106" w:name="_Toc18205"/>
      <w:r>
        <w:rPr>
          <w:rFonts w:hint="eastAsia" w:ascii="Times New Roman" w:hAnsi="Times New Roman"/>
          <w:bCs w:val="0"/>
        </w:rPr>
        <w:t>第四节</w:t>
      </w:r>
      <w:r>
        <w:rPr>
          <w:rFonts w:ascii="Times New Roman" w:hAnsi="Times New Roman"/>
          <w:bCs w:val="0"/>
        </w:rPr>
        <w:t xml:space="preserve"> </w:t>
      </w:r>
      <w:r>
        <w:rPr>
          <w:rFonts w:hint="eastAsia" w:ascii="Times New Roman" w:hAnsi="Times New Roman"/>
          <w:bCs w:val="0"/>
        </w:rPr>
        <w:t>广泛凝聚社会力量</w:t>
      </w:r>
      <w:bookmarkEnd w:id="106"/>
    </w:p>
    <w:p>
      <w:pPr>
        <w:spacing w:line="560" w:lineRule="exact"/>
        <w:ind w:firstLine="640" w:firstLineChars="200"/>
        <w:rPr>
          <w:rFonts w:ascii="Times New Roman" w:hAnsi="Times New Roman" w:eastAsia="方正仿宋_GBK" w:cs="Times New Roman"/>
          <w:sz w:val="32"/>
          <w:szCs w:val="32"/>
          <w:lang w:val="zh-CN"/>
        </w:rPr>
      </w:pPr>
      <w:r>
        <w:rPr>
          <w:rFonts w:hint="eastAsia" w:ascii="Times New Roman" w:hAnsi="Times New Roman" w:eastAsia="方正楷体_GBK" w:cs="Times New Roman"/>
          <w:sz w:val="32"/>
          <w:szCs w:val="32"/>
          <w:lang w:val="zh-CN"/>
        </w:rPr>
        <w:t>广泛凝聚社会力量。</w:t>
      </w:r>
      <w:r>
        <w:rPr>
          <w:rFonts w:hint="eastAsia" w:ascii="Times New Roman" w:hAnsi="Times New Roman" w:eastAsia="方正仿宋_GBK" w:cs="Times New Roman"/>
          <w:sz w:val="32"/>
          <w:szCs w:val="32"/>
          <w:lang w:val="zh-CN"/>
        </w:rPr>
        <w:t>引导社会公众参与规划实施全流程，提高规划实施的科学性、执行力与透明度。加强规划宣传，创新宣传形式，丰富宣传途径，积极利用传统媒体的阵地作用和新兴媒体的传播力，打造立体化的传播体系，多形式、多层次开展规划宣传。</w:t>
      </w: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p>
    <w:p>
      <w:pPr>
        <w:spacing w:line="560" w:lineRule="exact"/>
        <w:ind w:firstLine="640" w:firstLineChars="200"/>
        <w:rPr>
          <w:rFonts w:ascii="Times New Roman" w:hAnsi="Times New Roman" w:eastAsia="方正仿宋_GBK" w:cs="Times New Roman"/>
          <w:sz w:val="32"/>
          <w:szCs w:val="32"/>
          <w:lang w:val="zh-CN"/>
        </w:rPr>
      </w:pPr>
      <w:bookmarkStart w:id="107" w:name="_GoBack"/>
      <w:bookmarkEnd w:id="107"/>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script"/>
    <w:pitch w:val="default"/>
    <w:sig w:usb0="00000001" w:usb1="080E0000" w:usb2="00000000" w:usb3="00000000" w:csb0="00040000" w:csb1="00000000"/>
  </w:font>
  <w:font w:name="?? Light">
    <w:altName w:val="Courier New"/>
    <w:panose1 w:val="00000000000000000000"/>
    <w:charset w:val="00"/>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-118745</wp:posOffset>
              </wp:positionV>
              <wp:extent cx="1828800" cy="1828800"/>
              <wp:effectExtent l="0" t="0" r="0" b="0"/>
              <wp:wrapNone/>
              <wp:docPr id="13"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3"/>
                            <w:jc w:val="center"/>
                            <w:rPr>
                              <w:rFonts w:ascii="Times New Roman" w:hAnsi="Times New Roman"/>
                              <w:sz w:val="32"/>
                              <w:szCs w:val="32"/>
                            </w:rPr>
                          </w:pPr>
                          <w:r>
                            <w:rPr>
                              <w:rFonts w:ascii="Times New Roman" w:hAnsi="Times New Roman"/>
                              <w:sz w:val="32"/>
                              <w:szCs w:val="32"/>
                              <w:lang w:val="zh-CN"/>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83</w:t>
                          </w:r>
                          <w:r>
                            <w:rPr>
                              <w:rFonts w:ascii="Times New Roman" w:hAnsi="Times New Roman"/>
                              <w:sz w:val="32"/>
                              <w:szCs w:val="32"/>
                            </w:rPr>
                            <w:fldChar w:fldCharType="end"/>
                          </w:r>
                          <w:r>
                            <w:rPr>
                              <w:rFonts w:ascii="Times New Roman" w:hAnsi="Times New Roman"/>
                              <w:sz w:val="32"/>
                              <w:szCs w:val="32"/>
                              <w:lang w:val="zh-CN"/>
                            </w:rPr>
                            <w:t xml:space="preserve"> —</w:t>
                          </w:r>
                        </w:p>
                      </w:txbxContent>
                    </wps:txbx>
                    <wps:bodyPr wrap="none" lIns="0" tIns="0" rIns="0" bIns="0" upright="1">
                      <a:spAutoFit/>
                    </wps:bodyPr>
                  </wps:wsp>
                </a:graphicData>
              </a:graphic>
            </wp:anchor>
          </w:drawing>
        </mc:Choice>
        <mc:Fallback>
          <w:pict>
            <v:shape id="文本框 1033" o:spid="_x0000_s1026" o:spt="202" type="#_x0000_t202" style="position:absolute;left:0pt;margin-top:-9.35pt;height:144pt;width:144pt;mso-position-horizontal:outside;mso-position-horizontal-relative:margin;mso-wrap-style:none;z-index:251659264;mso-width-relative:page;mso-height-relative:page;" filled="f" stroked="f" coordsize="21600,21600" o:gfxdata="UEsDBAoAAAAAAIdO4kAAAAAAAAAAAAAAAAAEAAAAZHJzL1BLAwQUAAAACACHTuJAQSN9F9YAAAAI&#10;AQAADwAAAGRycy9kb3ducmV2LnhtbE2PQU/DMAyF70j8h8hI3La0GxqlazqJiXJEYuXAMWu8ttA4&#10;VZJ15d9jTuxm+z09f6/YzXYQE/rQO1KQLhMQSI0zPbUKPupqkYEIUZPRgyNU8IMBduXtTaFz4y70&#10;jtMhtoJDKORaQRfjmEsZmg6tDks3IrF2ct7qyKtvpfH6wuF2kKsk2Uire+IPnR5x32HzfThbBfuq&#10;rv2EwQ+f+Fqtv96eH/BlVur+Lk22ICLO8d8Mf/iMDiUzHd2ZTBCDAi4SFSzS7BEEy6ss48uRh83T&#10;GmRZyOsC5S9QSwMEFAAAAAgAh07iQONTJvrVAQAApgMAAA4AAABkcnMvZTJvRG9jLnhtbK1TS27b&#10;MBDdF8gdCO5jyTYaGILlIIGRokCRFkh7AJoiLQL8gUNb8gXSG3TVTfc9l8/RISU5RbrJohtqhjN8&#10;M+/NaH3bG02OIoBytqbzWUmJsNw1yu5r+u3rw/WKEojMNkw7K2p6EkBvN1fv1p2vxMK1TjciEASx&#10;UHW+pm2MvioK4K0wDGbOC4tB6YJhEd2wL5rAOkQ3uliU5U3RudD44LgAwNvtEKQjYngLoJNScbF1&#10;/GCEjQNqEJpFpASt8kA3uVspBY+fpQQRia4pMo35xCJo79JZbNas2gfmW8XHFthbWnjFyTBlsegF&#10;assiI4eg/oEyigcHTsYZd6YYiGRFkMW8fKXNU8u8yFxQavAX0eH/wfLH45dAVIObsKTEMoMTP//4&#10;fv75+/zrmczL5TJJ1HmoMPPJY27s712P6dM94GVi3stg0hc5EYyjwKeLwKKPhKdHq8VqVWKIY2xy&#10;EL94ee4DxA/CGZKMmgacYBaWHT9BHFKnlFTNugeldZ6itqSr6c3yfZkfXCIIri3WSCSGZpMV+10/&#10;Mtu55oTEOtyCmlpcekr0R4sip4WZjDAZu8k4+KD2LfY4z/XA3x0idpObTBUG2LEwji/THFct7cff&#10;fs56+b02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I30X1gAAAAgBAAAPAAAAAAAAAAEAIAAA&#10;ACIAAABkcnMvZG93bnJldi54bWxQSwECFAAUAAAACACHTuJA41Mm+tUBAACmAwAADgAAAAAAAAAB&#10;ACAAAAAlAQAAZHJzL2Uyb0RvYy54bWxQSwUGAAAAAAYABgBZAQAAbAUAAAAA&#10;">
              <v:fill on="f" focussize="0,0"/>
              <v:stroke on="f" weight="0.5pt"/>
              <v:imagedata o:title=""/>
              <o:lock v:ext="edit" aspectratio="f"/>
              <v:textbox inset="0mm,0mm,0mm,0mm" style="mso-fit-shape-to-text:t;">
                <w:txbxContent>
                  <w:p>
                    <w:pPr>
                      <w:pStyle w:val="13"/>
                      <w:jc w:val="center"/>
                      <w:rPr>
                        <w:rFonts w:ascii="Times New Roman" w:hAnsi="Times New Roman"/>
                        <w:sz w:val="32"/>
                        <w:szCs w:val="32"/>
                      </w:rPr>
                    </w:pPr>
                    <w:r>
                      <w:rPr>
                        <w:rFonts w:ascii="Times New Roman" w:hAnsi="Times New Roman"/>
                        <w:sz w:val="32"/>
                        <w:szCs w:val="32"/>
                        <w:lang w:val="zh-CN"/>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83</w:t>
                    </w:r>
                    <w:r>
                      <w:rPr>
                        <w:rFonts w:ascii="Times New Roman" w:hAnsi="Times New Roman"/>
                        <w:sz w:val="32"/>
                        <w:szCs w:val="32"/>
                      </w:rPr>
                      <w:fldChar w:fldCharType="end"/>
                    </w:r>
                    <w:r>
                      <w:rPr>
                        <w:rFonts w:ascii="Times New Roman" w:hAnsi="Times New Roman"/>
                        <w:sz w:val="32"/>
                        <w:szCs w:val="32"/>
                        <w:lang w:val="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9E8"/>
    <w:rsid w:val="000014D6"/>
    <w:rsid w:val="00001DAF"/>
    <w:rsid w:val="00003EA1"/>
    <w:rsid w:val="00007B1F"/>
    <w:rsid w:val="00007D81"/>
    <w:rsid w:val="00010D7E"/>
    <w:rsid w:val="00011663"/>
    <w:rsid w:val="00011F4B"/>
    <w:rsid w:val="00013360"/>
    <w:rsid w:val="000133CB"/>
    <w:rsid w:val="00013A57"/>
    <w:rsid w:val="00014491"/>
    <w:rsid w:val="000153AE"/>
    <w:rsid w:val="00015475"/>
    <w:rsid w:val="00016EBD"/>
    <w:rsid w:val="00016F93"/>
    <w:rsid w:val="000171CE"/>
    <w:rsid w:val="000172DA"/>
    <w:rsid w:val="00017A27"/>
    <w:rsid w:val="00017CB7"/>
    <w:rsid w:val="00017EF2"/>
    <w:rsid w:val="00020116"/>
    <w:rsid w:val="000203D2"/>
    <w:rsid w:val="00020D72"/>
    <w:rsid w:val="00022C2A"/>
    <w:rsid w:val="00022D38"/>
    <w:rsid w:val="000234F6"/>
    <w:rsid w:val="0002405B"/>
    <w:rsid w:val="000241C6"/>
    <w:rsid w:val="00024BC0"/>
    <w:rsid w:val="00024D79"/>
    <w:rsid w:val="00024F63"/>
    <w:rsid w:val="00026703"/>
    <w:rsid w:val="00026A83"/>
    <w:rsid w:val="00026F52"/>
    <w:rsid w:val="000308BE"/>
    <w:rsid w:val="00030901"/>
    <w:rsid w:val="00030ABE"/>
    <w:rsid w:val="000310A9"/>
    <w:rsid w:val="000319A0"/>
    <w:rsid w:val="0003209B"/>
    <w:rsid w:val="00032136"/>
    <w:rsid w:val="00032951"/>
    <w:rsid w:val="00033FE6"/>
    <w:rsid w:val="000411F6"/>
    <w:rsid w:val="0004134D"/>
    <w:rsid w:val="00041551"/>
    <w:rsid w:val="000423C4"/>
    <w:rsid w:val="000425D3"/>
    <w:rsid w:val="0004272D"/>
    <w:rsid w:val="00042B0F"/>
    <w:rsid w:val="00042E64"/>
    <w:rsid w:val="000450B7"/>
    <w:rsid w:val="00046083"/>
    <w:rsid w:val="0004684F"/>
    <w:rsid w:val="00046C2A"/>
    <w:rsid w:val="00047737"/>
    <w:rsid w:val="00050FFF"/>
    <w:rsid w:val="0005158C"/>
    <w:rsid w:val="000515DB"/>
    <w:rsid w:val="00051919"/>
    <w:rsid w:val="00053F12"/>
    <w:rsid w:val="0005407D"/>
    <w:rsid w:val="00054D47"/>
    <w:rsid w:val="00056668"/>
    <w:rsid w:val="00056DE6"/>
    <w:rsid w:val="00056FFE"/>
    <w:rsid w:val="00057148"/>
    <w:rsid w:val="0005715A"/>
    <w:rsid w:val="000601DC"/>
    <w:rsid w:val="0006092F"/>
    <w:rsid w:val="00060D18"/>
    <w:rsid w:val="00061268"/>
    <w:rsid w:val="000614B5"/>
    <w:rsid w:val="00062024"/>
    <w:rsid w:val="00062D51"/>
    <w:rsid w:val="00063437"/>
    <w:rsid w:val="00064E97"/>
    <w:rsid w:val="000659BB"/>
    <w:rsid w:val="00065AF9"/>
    <w:rsid w:val="000665E1"/>
    <w:rsid w:val="00066D7B"/>
    <w:rsid w:val="00071B24"/>
    <w:rsid w:val="000721CC"/>
    <w:rsid w:val="000726B5"/>
    <w:rsid w:val="000730F7"/>
    <w:rsid w:val="00074593"/>
    <w:rsid w:val="00074DCB"/>
    <w:rsid w:val="00074F5E"/>
    <w:rsid w:val="000764B2"/>
    <w:rsid w:val="00077808"/>
    <w:rsid w:val="0007793D"/>
    <w:rsid w:val="00077A37"/>
    <w:rsid w:val="00077DFF"/>
    <w:rsid w:val="00080119"/>
    <w:rsid w:val="00081C4F"/>
    <w:rsid w:val="000826B0"/>
    <w:rsid w:val="00083537"/>
    <w:rsid w:val="00084E9C"/>
    <w:rsid w:val="0008636A"/>
    <w:rsid w:val="00086C10"/>
    <w:rsid w:val="000922C0"/>
    <w:rsid w:val="000923F7"/>
    <w:rsid w:val="0009284A"/>
    <w:rsid w:val="00093CAF"/>
    <w:rsid w:val="00094120"/>
    <w:rsid w:val="00094AF2"/>
    <w:rsid w:val="00094C4E"/>
    <w:rsid w:val="00095440"/>
    <w:rsid w:val="000959A0"/>
    <w:rsid w:val="00095E6C"/>
    <w:rsid w:val="0009670D"/>
    <w:rsid w:val="00096B65"/>
    <w:rsid w:val="000A04C3"/>
    <w:rsid w:val="000A0666"/>
    <w:rsid w:val="000A1B29"/>
    <w:rsid w:val="000A1D15"/>
    <w:rsid w:val="000A1FAE"/>
    <w:rsid w:val="000A2ECB"/>
    <w:rsid w:val="000A42D1"/>
    <w:rsid w:val="000A4BE7"/>
    <w:rsid w:val="000A4EAD"/>
    <w:rsid w:val="000A50B8"/>
    <w:rsid w:val="000A52D9"/>
    <w:rsid w:val="000A6D4E"/>
    <w:rsid w:val="000A7C25"/>
    <w:rsid w:val="000B0275"/>
    <w:rsid w:val="000B08AE"/>
    <w:rsid w:val="000B0D32"/>
    <w:rsid w:val="000B120E"/>
    <w:rsid w:val="000B2825"/>
    <w:rsid w:val="000B29F6"/>
    <w:rsid w:val="000B55A6"/>
    <w:rsid w:val="000B5B51"/>
    <w:rsid w:val="000B5C1E"/>
    <w:rsid w:val="000B67BA"/>
    <w:rsid w:val="000B7941"/>
    <w:rsid w:val="000B7F29"/>
    <w:rsid w:val="000C1EF2"/>
    <w:rsid w:val="000C34B2"/>
    <w:rsid w:val="000C4BBE"/>
    <w:rsid w:val="000C663B"/>
    <w:rsid w:val="000C7575"/>
    <w:rsid w:val="000D1220"/>
    <w:rsid w:val="000D208F"/>
    <w:rsid w:val="000D21B7"/>
    <w:rsid w:val="000D322F"/>
    <w:rsid w:val="000D3581"/>
    <w:rsid w:val="000D3771"/>
    <w:rsid w:val="000D3E23"/>
    <w:rsid w:val="000D5C8C"/>
    <w:rsid w:val="000D5F3B"/>
    <w:rsid w:val="000E01D3"/>
    <w:rsid w:val="000E1337"/>
    <w:rsid w:val="000E20F6"/>
    <w:rsid w:val="000E214F"/>
    <w:rsid w:val="000E236E"/>
    <w:rsid w:val="000E2633"/>
    <w:rsid w:val="000E2CB4"/>
    <w:rsid w:val="000E334A"/>
    <w:rsid w:val="000E388B"/>
    <w:rsid w:val="000E4835"/>
    <w:rsid w:val="000E4A40"/>
    <w:rsid w:val="000E52D8"/>
    <w:rsid w:val="000E73DB"/>
    <w:rsid w:val="000F0A74"/>
    <w:rsid w:val="000F1404"/>
    <w:rsid w:val="000F195A"/>
    <w:rsid w:val="000F35F3"/>
    <w:rsid w:val="000F3B3C"/>
    <w:rsid w:val="000F4A37"/>
    <w:rsid w:val="000F52F4"/>
    <w:rsid w:val="000F5F7F"/>
    <w:rsid w:val="000F641A"/>
    <w:rsid w:val="000F68D8"/>
    <w:rsid w:val="000F6F8B"/>
    <w:rsid w:val="00102158"/>
    <w:rsid w:val="001026B5"/>
    <w:rsid w:val="00102E7D"/>
    <w:rsid w:val="00102FCA"/>
    <w:rsid w:val="001041DC"/>
    <w:rsid w:val="0010474D"/>
    <w:rsid w:val="00104BAC"/>
    <w:rsid w:val="00104DF4"/>
    <w:rsid w:val="0010501E"/>
    <w:rsid w:val="0010504C"/>
    <w:rsid w:val="00105FB4"/>
    <w:rsid w:val="00107773"/>
    <w:rsid w:val="00107D9B"/>
    <w:rsid w:val="0011052C"/>
    <w:rsid w:val="00111E1F"/>
    <w:rsid w:val="00112174"/>
    <w:rsid w:val="00112388"/>
    <w:rsid w:val="001124D2"/>
    <w:rsid w:val="00113B04"/>
    <w:rsid w:val="00114C67"/>
    <w:rsid w:val="00114ED5"/>
    <w:rsid w:val="00115291"/>
    <w:rsid w:val="001201A3"/>
    <w:rsid w:val="00121D17"/>
    <w:rsid w:val="00121F6D"/>
    <w:rsid w:val="00123B9B"/>
    <w:rsid w:val="00123D59"/>
    <w:rsid w:val="0012416E"/>
    <w:rsid w:val="00124935"/>
    <w:rsid w:val="00124ABC"/>
    <w:rsid w:val="00125234"/>
    <w:rsid w:val="00126488"/>
    <w:rsid w:val="001270A4"/>
    <w:rsid w:val="0012729D"/>
    <w:rsid w:val="00127B0E"/>
    <w:rsid w:val="001301C0"/>
    <w:rsid w:val="00130512"/>
    <w:rsid w:val="00130715"/>
    <w:rsid w:val="00130746"/>
    <w:rsid w:val="00131389"/>
    <w:rsid w:val="001329EC"/>
    <w:rsid w:val="00132B10"/>
    <w:rsid w:val="00133141"/>
    <w:rsid w:val="00133477"/>
    <w:rsid w:val="00133CF2"/>
    <w:rsid w:val="0013485D"/>
    <w:rsid w:val="0013534C"/>
    <w:rsid w:val="00135369"/>
    <w:rsid w:val="00135E03"/>
    <w:rsid w:val="001371B8"/>
    <w:rsid w:val="00140216"/>
    <w:rsid w:val="001407DF"/>
    <w:rsid w:val="001415EB"/>
    <w:rsid w:val="00142204"/>
    <w:rsid w:val="001425D9"/>
    <w:rsid w:val="001428B1"/>
    <w:rsid w:val="00143C06"/>
    <w:rsid w:val="00144558"/>
    <w:rsid w:val="0014481A"/>
    <w:rsid w:val="00144BC8"/>
    <w:rsid w:val="00145237"/>
    <w:rsid w:val="001459C2"/>
    <w:rsid w:val="00146196"/>
    <w:rsid w:val="00146230"/>
    <w:rsid w:val="00146BE3"/>
    <w:rsid w:val="00150E38"/>
    <w:rsid w:val="001517DC"/>
    <w:rsid w:val="001518FB"/>
    <w:rsid w:val="00152B92"/>
    <w:rsid w:val="00152BEE"/>
    <w:rsid w:val="00153938"/>
    <w:rsid w:val="00153E3A"/>
    <w:rsid w:val="00155687"/>
    <w:rsid w:val="00156333"/>
    <w:rsid w:val="00156745"/>
    <w:rsid w:val="00156EF9"/>
    <w:rsid w:val="0015737C"/>
    <w:rsid w:val="001573DB"/>
    <w:rsid w:val="00160029"/>
    <w:rsid w:val="00160802"/>
    <w:rsid w:val="00160960"/>
    <w:rsid w:val="00161353"/>
    <w:rsid w:val="00162664"/>
    <w:rsid w:val="00162705"/>
    <w:rsid w:val="001627A4"/>
    <w:rsid w:val="00162BD7"/>
    <w:rsid w:val="00162BF8"/>
    <w:rsid w:val="00162F70"/>
    <w:rsid w:val="00163534"/>
    <w:rsid w:val="00163AA0"/>
    <w:rsid w:val="00164A07"/>
    <w:rsid w:val="001653EF"/>
    <w:rsid w:val="00165873"/>
    <w:rsid w:val="00165B26"/>
    <w:rsid w:val="0016632D"/>
    <w:rsid w:val="00166648"/>
    <w:rsid w:val="00166B32"/>
    <w:rsid w:val="00167566"/>
    <w:rsid w:val="001679F8"/>
    <w:rsid w:val="00167D02"/>
    <w:rsid w:val="00170658"/>
    <w:rsid w:val="00170704"/>
    <w:rsid w:val="001714FA"/>
    <w:rsid w:val="0017179E"/>
    <w:rsid w:val="00171D23"/>
    <w:rsid w:val="0017286E"/>
    <w:rsid w:val="00172DD2"/>
    <w:rsid w:val="00174C89"/>
    <w:rsid w:val="00174C9E"/>
    <w:rsid w:val="00174DB7"/>
    <w:rsid w:val="00174FA0"/>
    <w:rsid w:val="001755DA"/>
    <w:rsid w:val="00175897"/>
    <w:rsid w:val="00177572"/>
    <w:rsid w:val="00177980"/>
    <w:rsid w:val="00177BEB"/>
    <w:rsid w:val="00177D42"/>
    <w:rsid w:val="0018047D"/>
    <w:rsid w:val="00181437"/>
    <w:rsid w:val="00181C19"/>
    <w:rsid w:val="001825F5"/>
    <w:rsid w:val="0018344D"/>
    <w:rsid w:val="00183673"/>
    <w:rsid w:val="0018390C"/>
    <w:rsid w:val="00184187"/>
    <w:rsid w:val="00184C30"/>
    <w:rsid w:val="00185FA5"/>
    <w:rsid w:val="00187437"/>
    <w:rsid w:val="001876A8"/>
    <w:rsid w:val="00192237"/>
    <w:rsid w:val="0019224D"/>
    <w:rsid w:val="00192E02"/>
    <w:rsid w:val="00192F14"/>
    <w:rsid w:val="001935C2"/>
    <w:rsid w:val="00193C99"/>
    <w:rsid w:val="00194965"/>
    <w:rsid w:val="00194F42"/>
    <w:rsid w:val="00197311"/>
    <w:rsid w:val="00197FF6"/>
    <w:rsid w:val="001A0D81"/>
    <w:rsid w:val="001A1257"/>
    <w:rsid w:val="001A1C4A"/>
    <w:rsid w:val="001A2A41"/>
    <w:rsid w:val="001A2D5E"/>
    <w:rsid w:val="001A3B22"/>
    <w:rsid w:val="001A456A"/>
    <w:rsid w:val="001A4EDA"/>
    <w:rsid w:val="001A4FDA"/>
    <w:rsid w:val="001A5649"/>
    <w:rsid w:val="001A6028"/>
    <w:rsid w:val="001A6346"/>
    <w:rsid w:val="001A7EE1"/>
    <w:rsid w:val="001B16B7"/>
    <w:rsid w:val="001B2A45"/>
    <w:rsid w:val="001B2B51"/>
    <w:rsid w:val="001B307E"/>
    <w:rsid w:val="001B3755"/>
    <w:rsid w:val="001B42EC"/>
    <w:rsid w:val="001B495C"/>
    <w:rsid w:val="001B55CA"/>
    <w:rsid w:val="001B5871"/>
    <w:rsid w:val="001B5ECB"/>
    <w:rsid w:val="001B6439"/>
    <w:rsid w:val="001B6684"/>
    <w:rsid w:val="001B69E4"/>
    <w:rsid w:val="001B7368"/>
    <w:rsid w:val="001B757C"/>
    <w:rsid w:val="001C0074"/>
    <w:rsid w:val="001C0688"/>
    <w:rsid w:val="001C1057"/>
    <w:rsid w:val="001C1A4D"/>
    <w:rsid w:val="001C1C52"/>
    <w:rsid w:val="001C3188"/>
    <w:rsid w:val="001C392A"/>
    <w:rsid w:val="001C3C1B"/>
    <w:rsid w:val="001C544E"/>
    <w:rsid w:val="001C6400"/>
    <w:rsid w:val="001C64DE"/>
    <w:rsid w:val="001C7051"/>
    <w:rsid w:val="001C7F12"/>
    <w:rsid w:val="001C7F9A"/>
    <w:rsid w:val="001D0844"/>
    <w:rsid w:val="001D19B8"/>
    <w:rsid w:val="001D32F1"/>
    <w:rsid w:val="001D3F81"/>
    <w:rsid w:val="001D5AE6"/>
    <w:rsid w:val="001D6037"/>
    <w:rsid w:val="001D6CB7"/>
    <w:rsid w:val="001D6E35"/>
    <w:rsid w:val="001D7933"/>
    <w:rsid w:val="001E0EB4"/>
    <w:rsid w:val="001E1A69"/>
    <w:rsid w:val="001E26FD"/>
    <w:rsid w:val="001E3199"/>
    <w:rsid w:val="001E3E34"/>
    <w:rsid w:val="001E4F7C"/>
    <w:rsid w:val="001E53BE"/>
    <w:rsid w:val="001E6D7D"/>
    <w:rsid w:val="001E6E82"/>
    <w:rsid w:val="001E7C2B"/>
    <w:rsid w:val="001F016E"/>
    <w:rsid w:val="001F0979"/>
    <w:rsid w:val="001F1038"/>
    <w:rsid w:val="001F20CA"/>
    <w:rsid w:val="001F2B69"/>
    <w:rsid w:val="001F41F0"/>
    <w:rsid w:val="001F4551"/>
    <w:rsid w:val="001F46BB"/>
    <w:rsid w:val="001F5448"/>
    <w:rsid w:val="001F74C8"/>
    <w:rsid w:val="00200286"/>
    <w:rsid w:val="00200EEE"/>
    <w:rsid w:val="002010B9"/>
    <w:rsid w:val="00201A31"/>
    <w:rsid w:val="00201C03"/>
    <w:rsid w:val="00202BBC"/>
    <w:rsid w:val="00203F62"/>
    <w:rsid w:val="0020516F"/>
    <w:rsid w:val="00205EBF"/>
    <w:rsid w:val="00205ED5"/>
    <w:rsid w:val="00207D42"/>
    <w:rsid w:val="002101C0"/>
    <w:rsid w:val="002113D2"/>
    <w:rsid w:val="0021181A"/>
    <w:rsid w:val="002127E1"/>
    <w:rsid w:val="0021289E"/>
    <w:rsid w:val="0021290F"/>
    <w:rsid w:val="0021291B"/>
    <w:rsid w:val="00213155"/>
    <w:rsid w:val="0021373A"/>
    <w:rsid w:val="002150F1"/>
    <w:rsid w:val="00215CBA"/>
    <w:rsid w:val="00216D5E"/>
    <w:rsid w:val="00217CB6"/>
    <w:rsid w:val="00217D6E"/>
    <w:rsid w:val="0022139B"/>
    <w:rsid w:val="00221822"/>
    <w:rsid w:val="0022215F"/>
    <w:rsid w:val="00222745"/>
    <w:rsid w:val="00222CED"/>
    <w:rsid w:val="002231E5"/>
    <w:rsid w:val="0022352F"/>
    <w:rsid w:val="00225211"/>
    <w:rsid w:val="002256BF"/>
    <w:rsid w:val="00226C58"/>
    <w:rsid w:val="00227BD9"/>
    <w:rsid w:val="00227DD1"/>
    <w:rsid w:val="0023095A"/>
    <w:rsid w:val="00230AF1"/>
    <w:rsid w:val="00232214"/>
    <w:rsid w:val="00232BD1"/>
    <w:rsid w:val="002333D9"/>
    <w:rsid w:val="0023491F"/>
    <w:rsid w:val="00235911"/>
    <w:rsid w:val="0023676D"/>
    <w:rsid w:val="00237CA9"/>
    <w:rsid w:val="0024097C"/>
    <w:rsid w:val="00240C68"/>
    <w:rsid w:val="00243174"/>
    <w:rsid w:val="00243A91"/>
    <w:rsid w:val="00243E99"/>
    <w:rsid w:val="00243F79"/>
    <w:rsid w:val="0024424F"/>
    <w:rsid w:val="00244279"/>
    <w:rsid w:val="002443C7"/>
    <w:rsid w:val="00244601"/>
    <w:rsid w:val="00244789"/>
    <w:rsid w:val="0024503E"/>
    <w:rsid w:val="00247EA9"/>
    <w:rsid w:val="00250DD1"/>
    <w:rsid w:val="002513B1"/>
    <w:rsid w:val="002517BF"/>
    <w:rsid w:val="002521DD"/>
    <w:rsid w:val="00252492"/>
    <w:rsid w:val="00252BEC"/>
    <w:rsid w:val="0025427E"/>
    <w:rsid w:val="002554D5"/>
    <w:rsid w:val="0025590D"/>
    <w:rsid w:val="00255BC8"/>
    <w:rsid w:val="002564B1"/>
    <w:rsid w:val="002602A7"/>
    <w:rsid w:val="00261AD1"/>
    <w:rsid w:val="002626D2"/>
    <w:rsid w:val="00263CF8"/>
    <w:rsid w:val="00265465"/>
    <w:rsid w:val="00265DB4"/>
    <w:rsid w:val="0026647A"/>
    <w:rsid w:val="00266DC5"/>
    <w:rsid w:val="0026750D"/>
    <w:rsid w:val="002675F9"/>
    <w:rsid w:val="002703B3"/>
    <w:rsid w:val="00271970"/>
    <w:rsid w:val="00274007"/>
    <w:rsid w:val="002746C9"/>
    <w:rsid w:val="0027658E"/>
    <w:rsid w:val="00276C83"/>
    <w:rsid w:val="00276DA7"/>
    <w:rsid w:val="002770F4"/>
    <w:rsid w:val="002773E0"/>
    <w:rsid w:val="0028072A"/>
    <w:rsid w:val="00280C78"/>
    <w:rsid w:val="0028346C"/>
    <w:rsid w:val="00284293"/>
    <w:rsid w:val="002846F4"/>
    <w:rsid w:val="0028486C"/>
    <w:rsid w:val="0028502F"/>
    <w:rsid w:val="002868F8"/>
    <w:rsid w:val="00286CDF"/>
    <w:rsid w:val="00287489"/>
    <w:rsid w:val="00287ED5"/>
    <w:rsid w:val="002903BF"/>
    <w:rsid w:val="002908C5"/>
    <w:rsid w:val="00290E81"/>
    <w:rsid w:val="00290EEE"/>
    <w:rsid w:val="00291845"/>
    <w:rsid w:val="0029237B"/>
    <w:rsid w:val="00293D0B"/>
    <w:rsid w:val="00294B35"/>
    <w:rsid w:val="00294D68"/>
    <w:rsid w:val="00294E49"/>
    <w:rsid w:val="00295094"/>
    <w:rsid w:val="0029669D"/>
    <w:rsid w:val="002A15F0"/>
    <w:rsid w:val="002A267C"/>
    <w:rsid w:val="002A424C"/>
    <w:rsid w:val="002A4335"/>
    <w:rsid w:val="002A56C5"/>
    <w:rsid w:val="002A60D9"/>
    <w:rsid w:val="002A6780"/>
    <w:rsid w:val="002B048D"/>
    <w:rsid w:val="002B0519"/>
    <w:rsid w:val="002B0D5D"/>
    <w:rsid w:val="002B3D80"/>
    <w:rsid w:val="002B3FC8"/>
    <w:rsid w:val="002B41A4"/>
    <w:rsid w:val="002B4ED8"/>
    <w:rsid w:val="002B64CA"/>
    <w:rsid w:val="002B6F9B"/>
    <w:rsid w:val="002B70A9"/>
    <w:rsid w:val="002B7490"/>
    <w:rsid w:val="002B7CE4"/>
    <w:rsid w:val="002C0184"/>
    <w:rsid w:val="002C1AE5"/>
    <w:rsid w:val="002C2065"/>
    <w:rsid w:val="002C2959"/>
    <w:rsid w:val="002C32B5"/>
    <w:rsid w:val="002C4492"/>
    <w:rsid w:val="002C5A01"/>
    <w:rsid w:val="002C5A31"/>
    <w:rsid w:val="002C5B8B"/>
    <w:rsid w:val="002C6AE3"/>
    <w:rsid w:val="002C7C64"/>
    <w:rsid w:val="002D0164"/>
    <w:rsid w:val="002D107E"/>
    <w:rsid w:val="002D30EE"/>
    <w:rsid w:val="002D3598"/>
    <w:rsid w:val="002D3C0D"/>
    <w:rsid w:val="002D492A"/>
    <w:rsid w:val="002D520E"/>
    <w:rsid w:val="002D565A"/>
    <w:rsid w:val="002D682E"/>
    <w:rsid w:val="002D6F3E"/>
    <w:rsid w:val="002D70AE"/>
    <w:rsid w:val="002E0457"/>
    <w:rsid w:val="002E06C7"/>
    <w:rsid w:val="002E0838"/>
    <w:rsid w:val="002E0E7A"/>
    <w:rsid w:val="002E12AF"/>
    <w:rsid w:val="002E2445"/>
    <w:rsid w:val="002E281D"/>
    <w:rsid w:val="002E43EA"/>
    <w:rsid w:val="002E5FF5"/>
    <w:rsid w:val="002E6D62"/>
    <w:rsid w:val="002E7679"/>
    <w:rsid w:val="002E7711"/>
    <w:rsid w:val="002E797E"/>
    <w:rsid w:val="002E7CC9"/>
    <w:rsid w:val="002E7D97"/>
    <w:rsid w:val="002F024A"/>
    <w:rsid w:val="002F04B6"/>
    <w:rsid w:val="002F3067"/>
    <w:rsid w:val="002F3B40"/>
    <w:rsid w:val="002F3C1C"/>
    <w:rsid w:val="002F4268"/>
    <w:rsid w:val="002F611D"/>
    <w:rsid w:val="002F6267"/>
    <w:rsid w:val="002F674F"/>
    <w:rsid w:val="002F6EA9"/>
    <w:rsid w:val="002F74FF"/>
    <w:rsid w:val="002F7515"/>
    <w:rsid w:val="003001B0"/>
    <w:rsid w:val="00300956"/>
    <w:rsid w:val="00300E54"/>
    <w:rsid w:val="0030135C"/>
    <w:rsid w:val="003022C0"/>
    <w:rsid w:val="003023CE"/>
    <w:rsid w:val="00302A23"/>
    <w:rsid w:val="00303727"/>
    <w:rsid w:val="00303E2C"/>
    <w:rsid w:val="00303EF2"/>
    <w:rsid w:val="00304C32"/>
    <w:rsid w:val="003054F8"/>
    <w:rsid w:val="00306278"/>
    <w:rsid w:val="00307878"/>
    <w:rsid w:val="00307D9A"/>
    <w:rsid w:val="003119B3"/>
    <w:rsid w:val="00312382"/>
    <w:rsid w:val="00312637"/>
    <w:rsid w:val="00312667"/>
    <w:rsid w:val="00312C87"/>
    <w:rsid w:val="00313446"/>
    <w:rsid w:val="00313652"/>
    <w:rsid w:val="00315693"/>
    <w:rsid w:val="00315C90"/>
    <w:rsid w:val="00315E90"/>
    <w:rsid w:val="00317277"/>
    <w:rsid w:val="00320A73"/>
    <w:rsid w:val="003212EE"/>
    <w:rsid w:val="00322FCD"/>
    <w:rsid w:val="003230A1"/>
    <w:rsid w:val="00323243"/>
    <w:rsid w:val="00323252"/>
    <w:rsid w:val="003235E6"/>
    <w:rsid w:val="00324202"/>
    <w:rsid w:val="0032466B"/>
    <w:rsid w:val="00325CD4"/>
    <w:rsid w:val="00327425"/>
    <w:rsid w:val="00327566"/>
    <w:rsid w:val="00327C67"/>
    <w:rsid w:val="00331440"/>
    <w:rsid w:val="00334948"/>
    <w:rsid w:val="00335A08"/>
    <w:rsid w:val="0033607F"/>
    <w:rsid w:val="003362B3"/>
    <w:rsid w:val="00337492"/>
    <w:rsid w:val="003376E6"/>
    <w:rsid w:val="003401D5"/>
    <w:rsid w:val="0034120A"/>
    <w:rsid w:val="0034163A"/>
    <w:rsid w:val="0034163F"/>
    <w:rsid w:val="00342F61"/>
    <w:rsid w:val="00343550"/>
    <w:rsid w:val="00343744"/>
    <w:rsid w:val="00343E76"/>
    <w:rsid w:val="003446C6"/>
    <w:rsid w:val="00345117"/>
    <w:rsid w:val="00346051"/>
    <w:rsid w:val="00346D8C"/>
    <w:rsid w:val="00347468"/>
    <w:rsid w:val="00350754"/>
    <w:rsid w:val="003516F0"/>
    <w:rsid w:val="003520C1"/>
    <w:rsid w:val="00352DCF"/>
    <w:rsid w:val="00352F9A"/>
    <w:rsid w:val="003539DA"/>
    <w:rsid w:val="00354506"/>
    <w:rsid w:val="003548DF"/>
    <w:rsid w:val="00354D62"/>
    <w:rsid w:val="00354D66"/>
    <w:rsid w:val="00355CC3"/>
    <w:rsid w:val="00356398"/>
    <w:rsid w:val="00356A4E"/>
    <w:rsid w:val="00356E0B"/>
    <w:rsid w:val="0035751A"/>
    <w:rsid w:val="00357BDF"/>
    <w:rsid w:val="0036036A"/>
    <w:rsid w:val="00362D47"/>
    <w:rsid w:val="003635DC"/>
    <w:rsid w:val="00363F13"/>
    <w:rsid w:val="00364BA8"/>
    <w:rsid w:val="0036524D"/>
    <w:rsid w:val="003655B8"/>
    <w:rsid w:val="0036592B"/>
    <w:rsid w:val="003659B6"/>
    <w:rsid w:val="00366AAA"/>
    <w:rsid w:val="00367D1F"/>
    <w:rsid w:val="00371702"/>
    <w:rsid w:val="003724DE"/>
    <w:rsid w:val="0037250E"/>
    <w:rsid w:val="00372D28"/>
    <w:rsid w:val="00373F3E"/>
    <w:rsid w:val="00376241"/>
    <w:rsid w:val="0037653F"/>
    <w:rsid w:val="003767A4"/>
    <w:rsid w:val="00377B00"/>
    <w:rsid w:val="00377C25"/>
    <w:rsid w:val="00377C94"/>
    <w:rsid w:val="00377D69"/>
    <w:rsid w:val="00380B43"/>
    <w:rsid w:val="00381185"/>
    <w:rsid w:val="0038130F"/>
    <w:rsid w:val="003839A0"/>
    <w:rsid w:val="00384754"/>
    <w:rsid w:val="003850F8"/>
    <w:rsid w:val="00386209"/>
    <w:rsid w:val="00386357"/>
    <w:rsid w:val="0038749A"/>
    <w:rsid w:val="00387B3C"/>
    <w:rsid w:val="0039023C"/>
    <w:rsid w:val="00391A11"/>
    <w:rsid w:val="00392ED5"/>
    <w:rsid w:val="003932EE"/>
    <w:rsid w:val="00393D72"/>
    <w:rsid w:val="003947E8"/>
    <w:rsid w:val="0039481E"/>
    <w:rsid w:val="003950C6"/>
    <w:rsid w:val="00396D0A"/>
    <w:rsid w:val="00396D6C"/>
    <w:rsid w:val="00397484"/>
    <w:rsid w:val="0039772B"/>
    <w:rsid w:val="003A0A93"/>
    <w:rsid w:val="003A257A"/>
    <w:rsid w:val="003A3CE7"/>
    <w:rsid w:val="003A47A3"/>
    <w:rsid w:val="003A4BE2"/>
    <w:rsid w:val="003A66BF"/>
    <w:rsid w:val="003A6AC1"/>
    <w:rsid w:val="003B0212"/>
    <w:rsid w:val="003B25D3"/>
    <w:rsid w:val="003B26D4"/>
    <w:rsid w:val="003B271B"/>
    <w:rsid w:val="003B46A2"/>
    <w:rsid w:val="003B59A0"/>
    <w:rsid w:val="003B5C0F"/>
    <w:rsid w:val="003B6E04"/>
    <w:rsid w:val="003C02AF"/>
    <w:rsid w:val="003C06EE"/>
    <w:rsid w:val="003C10AC"/>
    <w:rsid w:val="003C276C"/>
    <w:rsid w:val="003C29BE"/>
    <w:rsid w:val="003C4020"/>
    <w:rsid w:val="003C4A2F"/>
    <w:rsid w:val="003C576D"/>
    <w:rsid w:val="003C7599"/>
    <w:rsid w:val="003C7BFE"/>
    <w:rsid w:val="003D0582"/>
    <w:rsid w:val="003D0ED3"/>
    <w:rsid w:val="003D1388"/>
    <w:rsid w:val="003D2653"/>
    <w:rsid w:val="003D2C7F"/>
    <w:rsid w:val="003D3DEE"/>
    <w:rsid w:val="003D4716"/>
    <w:rsid w:val="003D5D14"/>
    <w:rsid w:val="003D6ACB"/>
    <w:rsid w:val="003D74B4"/>
    <w:rsid w:val="003E0190"/>
    <w:rsid w:val="003E0907"/>
    <w:rsid w:val="003E0AF0"/>
    <w:rsid w:val="003E22C5"/>
    <w:rsid w:val="003E22FA"/>
    <w:rsid w:val="003E362A"/>
    <w:rsid w:val="003E3A3D"/>
    <w:rsid w:val="003E4965"/>
    <w:rsid w:val="003F0E63"/>
    <w:rsid w:val="003F1E6E"/>
    <w:rsid w:val="003F22BA"/>
    <w:rsid w:val="003F410D"/>
    <w:rsid w:val="003F42AF"/>
    <w:rsid w:val="003F4718"/>
    <w:rsid w:val="003F4CDD"/>
    <w:rsid w:val="003F5520"/>
    <w:rsid w:val="003F6964"/>
    <w:rsid w:val="003F74F6"/>
    <w:rsid w:val="00401ED5"/>
    <w:rsid w:val="004023DB"/>
    <w:rsid w:val="00402CDE"/>
    <w:rsid w:val="00402FA1"/>
    <w:rsid w:val="00403360"/>
    <w:rsid w:val="00404181"/>
    <w:rsid w:val="00405951"/>
    <w:rsid w:val="004066D7"/>
    <w:rsid w:val="00406958"/>
    <w:rsid w:val="00410B50"/>
    <w:rsid w:val="00411A70"/>
    <w:rsid w:val="00411DF5"/>
    <w:rsid w:val="004128E4"/>
    <w:rsid w:val="004136E3"/>
    <w:rsid w:val="00414C86"/>
    <w:rsid w:val="00414D97"/>
    <w:rsid w:val="004151F9"/>
    <w:rsid w:val="004160FA"/>
    <w:rsid w:val="00416481"/>
    <w:rsid w:val="00417A8F"/>
    <w:rsid w:val="004205EA"/>
    <w:rsid w:val="00422699"/>
    <w:rsid w:val="0042269F"/>
    <w:rsid w:val="0042296E"/>
    <w:rsid w:val="00422BF9"/>
    <w:rsid w:val="0042369D"/>
    <w:rsid w:val="0042517E"/>
    <w:rsid w:val="00425276"/>
    <w:rsid w:val="00425AC3"/>
    <w:rsid w:val="00425DA6"/>
    <w:rsid w:val="00426834"/>
    <w:rsid w:val="0042733B"/>
    <w:rsid w:val="00427C6B"/>
    <w:rsid w:val="00430D93"/>
    <w:rsid w:val="0043143E"/>
    <w:rsid w:val="00432A9A"/>
    <w:rsid w:val="0043464F"/>
    <w:rsid w:val="00434B80"/>
    <w:rsid w:val="00434D28"/>
    <w:rsid w:val="004360A9"/>
    <w:rsid w:val="00436460"/>
    <w:rsid w:val="00436A64"/>
    <w:rsid w:val="0043767D"/>
    <w:rsid w:val="00437CBE"/>
    <w:rsid w:val="00437CEE"/>
    <w:rsid w:val="00440034"/>
    <w:rsid w:val="0044116D"/>
    <w:rsid w:val="00442297"/>
    <w:rsid w:val="00442409"/>
    <w:rsid w:val="00443256"/>
    <w:rsid w:val="00443352"/>
    <w:rsid w:val="0044336B"/>
    <w:rsid w:val="0044448F"/>
    <w:rsid w:val="0044520B"/>
    <w:rsid w:val="00445592"/>
    <w:rsid w:val="00446F02"/>
    <w:rsid w:val="00450057"/>
    <w:rsid w:val="004505A6"/>
    <w:rsid w:val="00452F2D"/>
    <w:rsid w:val="0045346B"/>
    <w:rsid w:val="004566E0"/>
    <w:rsid w:val="00456E7F"/>
    <w:rsid w:val="004572D7"/>
    <w:rsid w:val="00460A95"/>
    <w:rsid w:val="00461D73"/>
    <w:rsid w:val="00462A31"/>
    <w:rsid w:val="0046571B"/>
    <w:rsid w:val="004661C6"/>
    <w:rsid w:val="004662DA"/>
    <w:rsid w:val="00467AF8"/>
    <w:rsid w:val="00467C6E"/>
    <w:rsid w:val="00467D9E"/>
    <w:rsid w:val="00470583"/>
    <w:rsid w:val="00470C81"/>
    <w:rsid w:val="0047163A"/>
    <w:rsid w:val="00471B9A"/>
    <w:rsid w:val="0047232A"/>
    <w:rsid w:val="0047238A"/>
    <w:rsid w:val="00473AB4"/>
    <w:rsid w:val="0047595F"/>
    <w:rsid w:val="00475D6D"/>
    <w:rsid w:val="00476BEB"/>
    <w:rsid w:val="00476EC0"/>
    <w:rsid w:val="004779CD"/>
    <w:rsid w:val="00477A67"/>
    <w:rsid w:val="00481829"/>
    <w:rsid w:val="00481A55"/>
    <w:rsid w:val="00481FF6"/>
    <w:rsid w:val="00482130"/>
    <w:rsid w:val="00482838"/>
    <w:rsid w:val="004829D6"/>
    <w:rsid w:val="00483FA9"/>
    <w:rsid w:val="004850A1"/>
    <w:rsid w:val="004852A8"/>
    <w:rsid w:val="004862D4"/>
    <w:rsid w:val="004905CC"/>
    <w:rsid w:val="00490C1A"/>
    <w:rsid w:val="004920D9"/>
    <w:rsid w:val="0049316B"/>
    <w:rsid w:val="00493938"/>
    <w:rsid w:val="00493C91"/>
    <w:rsid w:val="00494C0A"/>
    <w:rsid w:val="00496D23"/>
    <w:rsid w:val="00497AC9"/>
    <w:rsid w:val="004A0189"/>
    <w:rsid w:val="004A0F6B"/>
    <w:rsid w:val="004A109F"/>
    <w:rsid w:val="004A1763"/>
    <w:rsid w:val="004A2833"/>
    <w:rsid w:val="004A2D15"/>
    <w:rsid w:val="004A3847"/>
    <w:rsid w:val="004A3D65"/>
    <w:rsid w:val="004A4643"/>
    <w:rsid w:val="004A53B9"/>
    <w:rsid w:val="004A765F"/>
    <w:rsid w:val="004B1350"/>
    <w:rsid w:val="004B2B43"/>
    <w:rsid w:val="004B33EA"/>
    <w:rsid w:val="004B3DF1"/>
    <w:rsid w:val="004B4573"/>
    <w:rsid w:val="004B4727"/>
    <w:rsid w:val="004B550B"/>
    <w:rsid w:val="004B5549"/>
    <w:rsid w:val="004B6820"/>
    <w:rsid w:val="004B6856"/>
    <w:rsid w:val="004B6D09"/>
    <w:rsid w:val="004B73D0"/>
    <w:rsid w:val="004B7CC8"/>
    <w:rsid w:val="004C0736"/>
    <w:rsid w:val="004C0AFB"/>
    <w:rsid w:val="004C1834"/>
    <w:rsid w:val="004C1DAF"/>
    <w:rsid w:val="004C1F36"/>
    <w:rsid w:val="004C2039"/>
    <w:rsid w:val="004C3F0E"/>
    <w:rsid w:val="004C3F6D"/>
    <w:rsid w:val="004C456E"/>
    <w:rsid w:val="004C4FEC"/>
    <w:rsid w:val="004C546D"/>
    <w:rsid w:val="004C578C"/>
    <w:rsid w:val="004C5A70"/>
    <w:rsid w:val="004C65D5"/>
    <w:rsid w:val="004C7B70"/>
    <w:rsid w:val="004D1313"/>
    <w:rsid w:val="004D26CE"/>
    <w:rsid w:val="004D3E94"/>
    <w:rsid w:val="004D3ED2"/>
    <w:rsid w:val="004D4568"/>
    <w:rsid w:val="004D4848"/>
    <w:rsid w:val="004D48DB"/>
    <w:rsid w:val="004D5545"/>
    <w:rsid w:val="004D5717"/>
    <w:rsid w:val="004D57CD"/>
    <w:rsid w:val="004D5908"/>
    <w:rsid w:val="004D59E5"/>
    <w:rsid w:val="004D768E"/>
    <w:rsid w:val="004D785D"/>
    <w:rsid w:val="004D7923"/>
    <w:rsid w:val="004E0C93"/>
    <w:rsid w:val="004E1495"/>
    <w:rsid w:val="004E21EF"/>
    <w:rsid w:val="004E293E"/>
    <w:rsid w:val="004E2F15"/>
    <w:rsid w:val="004E39BF"/>
    <w:rsid w:val="004E41DB"/>
    <w:rsid w:val="004E5BB4"/>
    <w:rsid w:val="004E699B"/>
    <w:rsid w:val="004E7160"/>
    <w:rsid w:val="004E7BAD"/>
    <w:rsid w:val="004F030E"/>
    <w:rsid w:val="004F077E"/>
    <w:rsid w:val="004F0BF4"/>
    <w:rsid w:val="004F0CF7"/>
    <w:rsid w:val="004F1625"/>
    <w:rsid w:val="004F1D54"/>
    <w:rsid w:val="004F20DE"/>
    <w:rsid w:val="004F2EAE"/>
    <w:rsid w:val="004F4006"/>
    <w:rsid w:val="004F458E"/>
    <w:rsid w:val="004F5117"/>
    <w:rsid w:val="004F59BD"/>
    <w:rsid w:val="004F5B24"/>
    <w:rsid w:val="004F6066"/>
    <w:rsid w:val="004F6DFE"/>
    <w:rsid w:val="004F7B8B"/>
    <w:rsid w:val="004F7D4F"/>
    <w:rsid w:val="0050290A"/>
    <w:rsid w:val="005043FE"/>
    <w:rsid w:val="00505036"/>
    <w:rsid w:val="00506638"/>
    <w:rsid w:val="005068B4"/>
    <w:rsid w:val="00507FE5"/>
    <w:rsid w:val="00510537"/>
    <w:rsid w:val="005126B7"/>
    <w:rsid w:val="00512D5D"/>
    <w:rsid w:val="00513A10"/>
    <w:rsid w:val="0051530E"/>
    <w:rsid w:val="00516FB5"/>
    <w:rsid w:val="005172EB"/>
    <w:rsid w:val="005175A7"/>
    <w:rsid w:val="0051769E"/>
    <w:rsid w:val="00517732"/>
    <w:rsid w:val="00517C7D"/>
    <w:rsid w:val="00520477"/>
    <w:rsid w:val="0052218C"/>
    <w:rsid w:val="00522BC7"/>
    <w:rsid w:val="005243F8"/>
    <w:rsid w:val="005248C3"/>
    <w:rsid w:val="00526337"/>
    <w:rsid w:val="005269F4"/>
    <w:rsid w:val="00526C9C"/>
    <w:rsid w:val="00527092"/>
    <w:rsid w:val="00530B02"/>
    <w:rsid w:val="005316B2"/>
    <w:rsid w:val="005316C0"/>
    <w:rsid w:val="005341F4"/>
    <w:rsid w:val="00534CE9"/>
    <w:rsid w:val="00536652"/>
    <w:rsid w:val="00536B2D"/>
    <w:rsid w:val="00540BFC"/>
    <w:rsid w:val="00540CD1"/>
    <w:rsid w:val="00541AB8"/>
    <w:rsid w:val="00541B87"/>
    <w:rsid w:val="005428E9"/>
    <w:rsid w:val="00542D2F"/>
    <w:rsid w:val="00542E8C"/>
    <w:rsid w:val="005433C2"/>
    <w:rsid w:val="005437D0"/>
    <w:rsid w:val="005453BA"/>
    <w:rsid w:val="00546763"/>
    <w:rsid w:val="005469CD"/>
    <w:rsid w:val="00547FE9"/>
    <w:rsid w:val="00550994"/>
    <w:rsid w:val="00552443"/>
    <w:rsid w:val="00552621"/>
    <w:rsid w:val="005544B6"/>
    <w:rsid w:val="00554CD3"/>
    <w:rsid w:val="00555A00"/>
    <w:rsid w:val="00556233"/>
    <w:rsid w:val="00560FE3"/>
    <w:rsid w:val="005615CF"/>
    <w:rsid w:val="00561699"/>
    <w:rsid w:val="00561EBD"/>
    <w:rsid w:val="00563856"/>
    <w:rsid w:val="0056436E"/>
    <w:rsid w:val="00565055"/>
    <w:rsid w:val="00565702"/>
    <w:rsid w:val="00565780"/>
    <w:rsid w:val="00565EF0"/>
    <w:rsid w:val="005667E9"/>
    <w:rsid w:val="005668D0"/>
    <w:rsid w:val="00566E39"/>
    <w:rsid w:val="00567839"/>
    <w:rsid w:val="0057140C"/>
    <w:rsid w:val="00572BC9"/>
    <w:rsid w:val="00573913"/>
    <w:rsid w:val="00573FF9"/>
    <w:rsid w:val="00574922"/>
    <w:rsid w:val="00574C9E"/>
    <w:rsid w:val="00574EF3"/>
    <w:rsid w:val="0057571E"/>
    <w:rsid w:val="00575F92"/>
    <w:rsid w:val="005778B1"/>
    <w:rsid w:val="005807BE"/>
    <w:rsid w:val="00581AEA"/>
    <w:rsid w:val="0058206F"/>
    <w:rsid w:val="005831A1"/>
    <w:rsid w:val="00583B12"/>
    <w:rsid w:val="00583E47"/>
    <w:rsid w:val="00584197"/>
    <w:rsid w:val="00584291"/>
    <w:rsid w:val="00584997"/>
    <w:rsid w:val="005859EC"/>
    <w:rsid w:val="00585D41"/>
    <w:rsid w:val="005869D6"/>
    <w:rsid w:val="005875D0"/>
    <w:rsid w:val="0059159E"/>
    <w:rsid w:val="005935A2"/>
    <w:rsid w:val="0059457F"/>
    <w:rsid w:val="005948F1"/>
    <w:rsid w:val="00594988"/>
    <w:rsid w:val="005949CE"/>
    <w:rsid w:val="00595F88"/>
    <w:rsid w:val="00596AAA"/>
    <w:rsid w:val="00597736"/>
    <w:rsid w:val="00597C8C"/>
    <w:rsid w:val="005A0022"/>
    <w:rsid w:val="005A0D5B"/>
    <w:rsid w:val="005A0FF7"/>
    <w:rsid w:val="005A149D"/>
    <w:rsid w:val="005A3107"/>
    <w:rsid w:val="005A3CE7"/>
    <w:rsid w:val="005A40F9"/>
    <w:rsid w:val="005A43A5"/>
    <w:rsid w:val="005A749E"/>
    <w:rsid w:val="005B0309"/>
    <w:rsid w:val="005B0D80"/>
    <w:rsid w:val="005B17BE"/>
    <w:rsid w:val="005B1E44"/>
    <w:rsid w:val="005B25CA"/>
    <w:rsid w:val="005B389A"/>
    <w:rsid w:val="005B39B5"/>
    <w:rsid w:val="005B41CF"/>
    <w:rsid w:val="005B4370"/>
    <w:rsid w:val="005B43D3"/>
    <w:rsid w:val="005B6586"/>
    <w:rsid w:val="005B67A1"/>
    <w:rsid w:val="005C02EF"/>
    <w:rsid w:val="005C035E"/>
    <w:rsid w:val="005C176C"/>
    <w:rsid w:val="005C322D"/>
    <w:rsid w:val="005C3746"/>
    <w:rsid w:val="005C3878"/>
    <w:rsid w:val="005C3EB0"/>
    <w:rsid w:val="005C64A3"/>
    <w:rsid w:val="005C6707"/>
    <w:rsid w:val="005C70E8"/>
    <w:rsid w:val="005D068E"/>
    <w:rsid w:val="005D0D46"/>
    <w:rsid w:val="005D150C"/>
    <w:rsid w:val="005D1F5A"/>
    <w:rsid w:val="005D27EF"/>
    <w:rsid w:val="005D3481"/>
    <w:rsid w:val="005D46A5"/>
    <w:rsid w:val="005D50CF"/>
    <w:rsid w:val="005D6351"/>
    <w:rsid w:val="005D6526"/>
    <w:rsid w:val="005D658C"/>
    <w:rsid w:val="005D66EB"/>
    <w:rsid w:val="005D7378"/>
    <w:rsid w:val="005D74E9"/>
    <w:rsid w:val="005D7D7B"/>
    <w:rsid w:val="005E11E2"/>
    <w:rsid w:val="005E141C"/>
    <w:rsid w:val="005E283A"/>
    <w:rsid w:val="005E32FB"/>
    <w:rsid w:val="005E36F0"/>
    <w:rsid w:val="005E39C1"/>
    <w:rsid w:val="005E51D1"/>
    <w:rsid w:val="005E52DB"/>
    <w:rsid w:val="005E5530"/>
    <w:rsid w:val="005F0688"/>
    <w:rsid w:val="005F251E"/>
    <w:rsid w:val="005F32DD"/>
    <w:rsid w:val="005F660F"/>
    <w:rsid w:val="005F78A9"/>
    <w:rsid w:val="006004B6"/>
    <w:rsid w:val="0060073C"/>
    <w:rsid w:val="00600EF2"/>
    <w:rsid w:val="00603103"/>
    <w:rsid w:val="006033CB"/>
    <w:rsid w:val="00604290"/>
    <w:rsid w:val="006053BB"/>
    <w:rsid w:val="006058CB"/>
    <w:rsid w:val="00605F67"/>
    <w:rsid w:val="0060611A"/>
    <w:rsid w:val="00606718"/>
    <w:rsid w:val="0060750A"/>
    <w:rsid w:val="0060753D"/>
    <w:rsid w:val="006118FE"/>
    <w:rsid w:val="006122AA"/>
    <w:rsid w:val="00612468"/>
    <w:rsid w:val="00613021"/>
    <w:rsid w:val="00613421"/>
    <w:rsid w:val="00613EDD"/>
    <w:rsid w:val="00614FBB"/>
    <w:rsid w:val="00616C82"/>
    <w:rsid w:val="00617147"/>
    <w:rsid w:val="00617318"/>
    <w:rsid w:val="006173AC"/>
    <w:rsid w:val="00617D12"/>
    <w:rsid w:val="006209D9"/>
    <w:rsid w:val="006211C4"/>
    <w:rsid w:val="0062163B"/>
    <w:rsid w:val="00622B91"/>
    <w:rsid w:val="00622D81"/>
    <w:rsid w:val="00622F82"/>
    <w:rsid w:val="00626ED2"/>
    <w:rsid w:val="00627098"/>
    <w:rsid w:val="00630163"/>
    <w:rsid w:val="00630254"/>
    <w:rsid w:val="006304F7"/>
    <w:rsid w:val="00630514"/>
    <w:rsid w:val="006307C8"/>
    <w:rsid w:val="00630843"/>
    <w:rsid w:val="00630AF3"/>
    <w:rsid w:val="00631279"/>
    <w:rsid w:val="00632F3A"/>
    <w:rsid w:val="00632F72"/>
    <w:rsid w:val="00635A41"/>
    <w:rsid w:val="00636088"/>
    <w:rsid w:val="00636693"/>
    <w:rsid w:val="00636869"/>
    <w:rsid w:val="00636886"/>
    <w:rsid w:val="006377B8"/>
    <w:rsid w:val="00640C17"/>
    <w:rsid w:val="006417FA"/>
    <w:rsid w:val="00642A7A"/>
    <w:rsid w:val="00642D77"/>
    <w:rsid w:val="00642E5B"/>
    <w:rsid w:val="006436BD"/>
    <w:rsid w:val="00643B32"/>
    <w:rsid w:val="00643D9F"/>
    <w:rsid w:val="006443B2"/>
    <w:rsid w:val="0064478B"/>
    <w:rsid w:val="006447BC"/>
    <w:rsid w:val="00644FA2"/>
    <w:rsid w:val="0064551A"/>
    <w:rsid w:val="00647B47"/>
    <w:rsid w:val="0065125B"/>
    <w:rsid w:val="00652639"/>
    <w:rsid w:val="00652A62"/>
    <w:rsid w:val="00654156"/>
    <w:rsid w:val="00654D38"/>
    <w:rsid w:val="0065638A"/>
    <w:rsid w:val="006566DC"/>
    <w:rsid w:val="006567B9"/>
    <w:rsid w:val="0065788C"/>
    <w:rsid w:val="00660100"/>
    <w:rsid w:val="00661D86"/>
    <w:rsid w:val="00662BE0"/>
    <w:rsid w:val="00662BFD"/>
    <w:rsid w:val="00662E66"/>
    <w:rsid w:val="00664044"/>
    <w:rsid w:val="006643F0"/>
    <w:rsid w:val="0066481C"/>
    <w:rsid w:val="00664991"/>
    <w:rsid w:val="00664FC1"/>
    <w:rsid w:val="0066507D"/>
    <w:rsid w:val="006652D3"/>
    <w:rsid w:val="0066574A"/>
    <w:rsid w:val="00665760"/>
    <w:rsid w:val="0066755B"/>
    <w:rsid w:val="00670157"/>
    <w:rsid w:val="006717A9"/>
    <w:rsid w:val="00671E7F"/>
    <w:rsid w:val="00672371"/>
    <w:rsid w:val="00672738"/>
    <w:rsid w:val="0067303E"/>
    <w:rsid w:val="00673702"/>
    <w:rsid w:val="00673BBB"/>
    <w:rsid w:val="0067454B"/>
    <w:rsid w:val="00674728"/>
    <w:rsid w:val="006753D7"/>
    <w:rsid w:val="0067627B"/>
    <w:rsid w:val="0067673F"/>
    <w:rsid w:val="00676744"/>
    <w:rsid w:val="0067711D"/>
    <w:rsid w:val="00677711"/>
    <w:rsid w:val="006815EF"/>
    <w:rsid w:val="0068164E"/>
    <w:rsid w:val="006833C3"/>
    <w:rsid w:val="00683849"/>
    <w:rsid w:val="006855A5"/>
    <w:rsid w:val="006866C7"/>
    <w:rsid w:val="00686F16"/>
    <w:rsid w:val="006876AF"/>
    <w:rsid w:val="00687E45"/>
    <w:rsid w:val="00690835"/>
    <w:rsid w:val="0069084C"/>
    <w:rsid w:val="00690F98"/>
    <w:rsid w:val="00692067"/>
    <w:rsid w:val="0069279F"/>
    <w:rsid w:val="006929BC"/>
    <w:rsid w:val="006936E5"/>
    <w:rsid w:val="006937F8"/>
    <w:rsid w:val="00694BAA"/>
    <w:rsid w:val="00695C7D"/>
    <w:rsid w:val="00695F99"/>
    <w:rsid w:val="00696FCF"/>
    <w:rsid w:val="00697C6E"/>
    <w:rsid w:val="006A0FC4"/>
    <w:rsid w:val="006A1770"/>
    <w:rsid w:val="006A2F3A"/>
    <w:rsid w:val="006A3385"/>
    <w:rsid w:val="006A3636"/>
    <w:rsid w:val="006A39EA"/>
    <w:rsid w:val="006A3D11"/>
    <w:rsid w:val="006A59C9"/>
    <w:rsid w:val="006A59EB"/>
    <w:rsid w:val="006A6004"/>
    <w:rsid w:val="006A610F"/>
    <w:rsid w:val="006A7BF8"/>
    <w:rsid w:val="006B035D"/>
    <w:rsid w:val="006B13D7"/>
    <w:rsid w:val="006B184C"/>
    <w:rsid w:val="006B2121"/>
    <w:rsid w:val="006B30CB"/>
    <w:rsid w:val="006B3F25"/>
    <w:rsid w:val="006B513E"/>
    <w:rsid w:val="006B5556"/>
    <w:rsid w:val="006B5743"/>
    <w:rsid w:val="006B5E8B"/>
    <w:rsid w:val="006B6180"/>
    <w:rsid w:val="006B74F4"/>
    <w:rsid w:val="006B7BFC"/>
    <w:rsid w:val="006C035A"/>
    <w:rsid w:val="006C29B0"/>
    <w:rsid w:val="006C306B"/>
    <w:rsid w:val="006C3446"/>
    <w:rsid w:val="006C3AD3"/>
    <w:rsid w:val="006C3EC9"/>
    <w:rsid w:val="006C3F6C"/>
    <w:rsid w:val="006C4160"/>
    <w:rsid w:val="006C4427"/>
    <w:rsid w:val="006C4BF6"/>
    <w:rsid w:val="006C5151"/>
    <w:rsid w:val="006C5E64"/>
    <w:rsid w:val="006C5F53"/>
    <w:rsid w:val="006C60F6"/>
    <w:rsid w:val="006C6794"/>
    <w:rsid w:val="006C68A8"/>
    <w:rsid w:val="006C6AE0"/>
    <w:rsid w:val="006C6BD8"/>
    <w:rsid w:val="006C7C3D"/>
    <w:rsid w:val="006C7D05"/>
    <w:rsid w:val="006D0514"/>
    <w:rsid w:val="006D07BB"/>
    <w:rsid w:val="006D0A70"/>
    <w:rsid w:val="006D11CF"/>
    <w:rsid w:val="006D34DB"/>
    <w:rsid w:val="006D45F6"/>
    <w:rsid w:val="006D461A"/>
    <w:rsid w:val="006D4A7C"/>
    <w:rsid w:val="006D4BC6"/>
    <w:rsid w:val="006D5170"/>
    <w:rsid w:val="006D5276"/>
    <w:rsid w:val="006D5B09"/>
    <w:rsid w:val="006D5B43"/>
    <w:rsid w:val="006D7A43"/>
    <w:rsid w:val="006E0EF9"/>
    <w:rsid w:val="006E3268"/>
    <w:rsid w:val="006E3B2D"/>
    <w:rsid w:val="006E3CB4"/>
    <w:rsid w:val="006E4616"/>
    <w:rsid w:val="006E4998"/>
    <w:rsid w:val="006E538C"/>
    <w:rsid w:val="006E56AE"/>
    <w:rsid w:val="006E6403"/>
    <w:rsid w:val="006E6453"/>
    <w:rsid w:val="006E64E9"/>
    <w:rsid w:val="006E68BF"/>
    <w:rsid w:val="006E69D8"/>
    <w:rsid w:val="006E7DE3"/>
    <w:rsid w:val="006F216D"/>
    <w:rsid w:val="006F3D24"/>
    <w:rsid w:val="006F522F"/>
    <w:rsid w:val="006F54FB"/>
    <w:rsid w:val="006F615D"/>
    <w:rsid w:val="006F6F12"/>
    <w:rsid w:val="006F7365"/>
    <w:rsid w:val="006F769B"/>
    <w:rsid w:val="0070037B"/>
    <w:rsid w:val="00700C09"/>
    <w:rsid w:val="00700E9D"/>
    <w:rsid w:val="00701B61"/>
    <w:rsid w:val="007022C7"/>
    <w:rsid w:val="00702B47"/>
    <w:rsid w:val="00703473"/>
    <w:rsid w:val="00703A18"/>
    <w:rsid w:val="00703C59"/>
    <w:rsid w:val="007044D8"/>
    <w:rsid w:val="007061D9"/>
    <w:rsid w:val="00706BBA"/>
    <w:rsid w:val="00707540"/>
    <w:rsid w:val="0070766F"/>
    <w:rsid w:val="00710670"/>
    <w:rsid w:val="007107BE"/>
    <w:rsid w:val="00710816"/>
    <w:rsid w:val="00710E44"/>
    <w:rsid w:val="007128C1"/>
    <w:rsid w:val="007134EF"/>
    <w:rsid w:val="0071388F"/>
    <w:rsid w:val="00716756"/>
    <w:rsid w:val="00716C05"/>
    <w:rsid w:val="00716D72"/>
    <w:rsid w:val="00720FD1"/>
    <w:rsid w:val="007216FB"/>
    <w:rsid w:val="00721FCB"/>
    <w:rsid w:val="007227E8"/>
    <w:rsid w:val="00722F18"/>
    <w:rsid w:val="00723692"/>
    <w:rsid w:val="00723C85"/>
    <w:rsid w:val="007260F7"/>
    <w:rsid w:val="007266B1"/>
    <w:rsid w:val="007266EE"/>
    <w:rsid w:val="007268CC"/>
    <w:rsid w:val="00727273"/>
    <w:rsid w:val="0072742F"/>
    <w:rsid w:val="00727934"/>
    <w:rsid w:val="0073020F"/>
    <w:rsid w:val="00732B04"/>
    <w:rsid w:val="00733275"/>
    <w:rsid w:val="00733E6B"/>
    <w:rsid w:val="0073489A"/>
    <w:rsid w:val="00734D0B"/>
    <w:rsid w:val="00735594"/>
    <w:rsid w:val="0073649B"/>
    <w:rsid w:val="00736EDA"/>
    <w:rsid w:val="00736FC3"/>
    <w:rsid w:val="0073700C"/>
    <w:rsid w:val="007405EA"/>
    <w:rsid w:val="00741CD2"/>
    <w:rsid w:val="00741E16"/>
    <w:rsid w:val="007420E5"/>
    <w:rsid w:val="00743442"/>
    <w:rsid w:val="00743774"/>
    <w:rsid w:val="00743D36"/>
    <w:rsid w:val="0074467F"/>
    <w:rsid w:val="007446BB"/>
    <w:rsid w:val="00744BF0"/>
    <w:rsid w:val="00745F4F"/>
    <w:rsid w:val="00746385"/>
    <w:rsid w:val="00747CE7"/>
    <w:rsid w:val="00750168"/>
    <w:rsid w:val="0075025E"/>
    <w:rsid w:val="00750B52"/>
    <w:rsid w:val="00750D68"/>
    <w:rsid w:val="00751636"/>
    <w:rsid w:val="00751E44"/>
    <w:rsid w:val="0075207F"/>
    <w:rsid w:val="00752576"/>
    <w:rsid w:val="00752E43"/>
    <w:rsid w:val="00752E77"/>
    <w:rsid w:val="00753169"/>
    <w:rsid w:val="0075401C"/>
    <w:rsid w:val="007549C3"/>
    <w:rsid w:val="00755473"/>
    <w:rsid w:val="0075559E"/>
    <w:rsid w:val="0075565D"/>
    <w:rsid w:val="00755691"/>
    <w:rsid w:val="007558DA"/>
    <w:rsid w:val="007559E8"/>
    <w:rsid w:val="00755A47"/>
    <w:rsid w:val="00756035"/>
    <w:rsid w:val="00756AF0"/>
    <w:rsid w:val="00756BB0"/>
    <w:rsid w:val="00757727"/>
    <w:rsid w:val="00757972"/>
    <w:rsid w:val="007579F8"/>
    <w:rsid w:val="00757B04"/>
    <w:rsid w:val="00757C13"/>
    <w:rsid w:val="007603C6"/>
    <w:rsid w:val="00760D35"/>
    <w:rsid w:val="00761B87"/>
    <w:rsid w:val="00762D76"/>
    <w:rsid w:val="0076342E"/>
    <w:rsid w:val="007641D9"/>
    <w:rsid w:val="0076456B"/>
    <w:rsid w:val="00764986"/>
    <w:rsid w:val="00764DC4"/>
    <w:rsid w:val="007659EE"/>
    <w:rsid w:val="00766E9E"/>
    <w:rsid w:val="00767D84"/>
    <w:rsid w:val="00770066"/>
    <w:rsid w:val="00770B82"/>
    <w:rsid w:val="00770E1E"/>
    <w:rsid w:val="00771B8F"/>
    <w:rsid w:val="00773296"/>
    <w:rsid w:val="00774639"/>
    <w:rsid w:val="00774816"/>
    <w:rsid w:val="0077485E"/>
    <w:rsid w:val="00774D08"/>
    <w:rsid w:val="00775867"/>
    <w:rsid w:val="00775934"/>
    <w:rsid w:val="00775999"/>
    <w:rsid w:val="00775AFE"/>
    <w:rsid w:val="00775CB8"/>
    <w:rsid w:val="007766E2"/>
    <w:rsid w:val="0077789F"/>
    <w:rsid w:val="00777A54"/>
    <w:rsid w:val="00777F27"/>
    <w:rsid w:val="00781FBE"/>
    <w:rsid w:val="00782F04"/>
    <w:rsid w:val="0078392C"/>
    <w:rsid w:val="00783B82"/>
    <w:rsid w:val="00783F3A"/>
    <w:rsid w:val="00785EE5"/>
    <w:rsid w:val="00786456"/>
    <w:rsid w:val="007864EE"/>
    <w:rsid w:val="00786633"/>
    <w:rsid w:val="00786781"/>
    <w:rsid w:val="00786966"/>
    <w:rsid w:val="00787029"/>
    <w:rsid w:val="00787532"/>
    <w:rsid w:val="00787847"/>
    <w:rsid w:val="00787C12"/>
    <w:rsid w:val="00790E0A"/>
    <w:rsid w:val="007910C1"/>
    <w:rsid w:val="0079268D"/>
    <w:rsid w:val="00792955"/>
    <w:rsid w:val="00792BE9"/>
    <w:rsid w:val="00793606"/>
    <w:rsid w:val="0079434C"/>
    <w:rsid w:val="00794429"/>
    <w:rsid w:val="007944E3"/>
    <w:rsid w:val="00794559"/>
    <w:rsid w:val="00795EC4"/>
    <w:rsid w:val="007964C2"/>
    <w:rsid w:val="00796734"/>
    <w:rsid w:val="00796758"/>
    <w:rsid w:val="0079718C"/>
    <w:rsid w:val="00797345"/>
    <w:rsid w:val="007A0769"/>
    <w:rsid w:val="007A084B"/>
    <w:rsid w:val="007A0E96"/>
    <w:rsid w:val="007A0EA0"/>
    <w:rsid w:val="007A1688"/>
    <w:rsid w:val="007A1D07"/>
    <w:rsid w:val="007A299E"/>
    <w:rsid w:val="007A363F"/>
    <w:rsid w:val="007A3B75"/>
    <w:rsid w:val="007A415E"/>
    <w:rsid w:val="007A444E"/>
    <w:rsid w:val="007A5AE5"/>
    <w:rsid w:val="007A6125"/>
    <w:rsid w:val="007A7561"/>
    <w:rsid w:val="007A7AAB"/>
    <w:rsid w:val="007B04A9"/>
    <w:rsid w:val="007B2158"/>
    <w:rsid w:val="007B28B7"/>
    <w:rsid w:val="007B2E15"/>
    <w:rsid w:val="007B30A1"/>
    <w:rsid w:val="007B39A6"/>
    <w:rsid w:val="007B3B38"/>
    <w:rsid w:val="007B4619"/>
    <w:rsid w:val="007B46AD"/>
    <w:rsid w:val="007B4F25"/>
    <w:rsid w:val="007B53F5"/>
    <w:rsid w:val="007B5602"/>
    <w:rsid w:val="007B5F04"/>
    <w:rsid w:val="007B5FAA"/>
    <w:rsid w:val="007B6F6B"/>
    <w:rsid w:val="007B738F"/>
    <w:rsid w:val="007B74EA"/>
    <w:rsid w:val="007B763D"/>
    <w:rsid w:val="007C04E7"/>
    <w:rsid w:val="007C0676"/>
    <w:rsid w:val="007C0A06"/>
    <w:rsid w:val="007C106B"/>
    <w:rsid w:val="007C2FF3"/>
    <w:rsid w:val="007C307F"/>
    <w:rsid w:val="007C30AC"/>
    <w:rsid w:val="007C4CB7"/>
    <w:rsid w:val="007C543C"/>
    <w:rsid w:val="007C580A"/>
    <w:rsid w:val="007C5E9B"/>
    <w:rsid w:val="007C6B49"/>
    <w:rsid w:val="007C7304"/>
    <w:rsid w:val="007C77DE"/>
    <w:rsid w:val="007D0360"/>
    <w:rsid w:val="007D079E"/>
    <w:rsid w:val="007D1F11"/>
    <w:rsid w:val="007D2062"/>
    <w:rsid w:val="007D2DFB"/>
    <w:rsid w:val="007D3C82"/>
    <w:rsid w:val="007D4503"/>
    <w:rsid w:val="007D477D"/>
    <w:rsid w:val="007D4D6E"/>
    <w:rsid w:val="007D55B6"/>
    <w:rsid w:val="007D5D64"/>
    <w:rsid w:val="007D717B"/>
    <w:rsid w:val="007D74F0"/>
    <w:rsid w:val="007E0429"/>
    <w:rsid w:val="007E0DE6"/>
    <w:rsid w:val="007E110C"/>
    <w:rsid w:val="007E1113"/>
    <w:rsid w:val="007E1FD0"/>
    <w:rsid w:val="007E2ABD"/>
    <w:rsid w:val="007E2E6A"/>
    <w:rsid w:val="007E3769"/>
    <w:rsid w:val="007E3E0D"/>
    <w:rsid w:val="007E44BE"/>
    <w:rsid w:val="007E50A1"/>
    <w:rsid w:val="007E5F6B"/>
    <w:rsid w:val="007E63D6"/>
    <w:rsid w:val="007E665D"/>
    <w:rsid w:val="007E6E0D"/>
    <w:rsid w:val="007E6E80"/>
    <w:rsid w:val="007E6F99"/>
    <w:rsid w:val="007E70F1"/>
    <w:rsid w:val="007E7271"/>
    <w:rsid w:val="007E7DC4"/>
    <w:rsid w:val="007F0164"/>
    <w:rsid w:val="007F08E2"/>
    <w:rsid w:val="007F1D2A"/>
    <w:rsid w:val="007F1FF0"/>
    <w:rsid w:val="007F3868"/>
    <w:rsid w:val="007F3CB3"/>
    <w:rsid w:val="007F46AE"/>
    <w:rsid w:val="0080042C"/>
    <w:rsid w:val="00800715"/>
    <w:rsid w:val="0080219A"/>
    <w:rsid w:val="008044A3"/>
    <w:rsid w:val="008057B6"/>
    <w:rsid w:val="00805CAF"/>
    <w:rsid w:val="00806111"/>
    <w:rsid w:val="00807D86"/>
    <w:rsid w:val="008104B4"/>
    <w:rsid w:val="00810989"/>
    <w:rsid w:val="00810A00"/>
    <w:rsid w:val="00810D2A"/>
    <w:rsid w:val="00810DBB"/>
    <w:rsid w:val="00811D43"/>
    <w:rsid w:val="00812618"/>
    <w:rsid w:val="0081285C"/>
    <w:rsid w:val="00812990"/>
    <w:rsid w:val="008133B0"/>
    <w:rsid w:val="008146B3"/>
    <w:rsid w:val="008158D0"/>
    <w:rsid w:val="008159F6"/>
    <w:rsid w:val="00815A1C"/>
    <w:rsid w:val="00817510"/>
    <w:rsid w:val="00817FFE"/>
    <w:rsid w:val="008205A1"/>
    <w:rsid w:val="00820725"/>
    <w:rsid w:val="008215F0"/>
    <w:rsid w:val="008235FC"/>
    <w:rsid w:val="00823841"/>
    <w:rsid w:val="00823A05"/>
    <w:rsid w:val="008248AC"/>
    <w:rsid w:val="00825377"/>
    <w:rsid w:val="00825AA8"/>
    <w:rsid w:val="00825D87"/>
    <w:rsid w:val="00826F3E"/>
    <w:rsid w:val="00827646"/>
    <w:rsid w:val="008302AF"/>
    <w:rsid w:val="0083127D"/>
    <w:rsid w:val="008314C6"/>
    <w:rsid w:val="00831D07"/>
    <w:rsid w:val="0083269C"/>
    <w:rsid w:val="008334BA"/>
    <w:rsid w:val="00833B82"/>
    <w:rsid w:val="00833FF9"/>
    <w:rsid w:val="0083589C"/>
    <w:rsid w:val="008359BC"/>
    <w:rsid w:val="00835A33"/>
    <w:rsid w:val="00837173"/>
    <w:rsid w:val="00837389"/>
    <w:rsid w:val="008401CA"/>
    <w:rsid w:val="00840C02"/>
    <w:rsid w:val="00843161"/>
    <w:rsid w:val="008441FA"/>
    <w:rsid w:val="00844608"/>
    <w:rsid w:val="00844A00"/>
    <w:rsid w:val="00844A18"/>
    <w:rsid w:val="00844D1C"/>
    <w:rsid w:val="00845532"/>
    <w:rsid w:val="00845A38"/>
    <w:rsid w:val="00845C29"/>
    <w:rsid w:val="00846C7B"/>
    <w:rsid w:val="008477A4"/>
    <w:rsid w:val="00850902"/>
    <w:rsid w:val="00851A0F"/>
    <w:rsid w:val="00851CF9"/>
    <w:rsid w:val="00851DD6"/>
    <w:rsid w:val="0085218D"/>
    <w:rsid w:val="0085455E"/>
    <w:rsid w:val="00855241"/>
    <w:rsid w:val="008559F7"/>
    <w:rsid w:val="0085675A"/>
    <w:rsid w:val="00856D6E"/>
    <w:rsid w:val="00857533"/>
    <w:rsid w:val="00860387"/>
    <w:rsid w:val="00860616"/>
    <w:rsid w:val="0086082B"/>
    <w:rsid w:val="0086318F"/>
    <w:rsid w:val="00863468"/>
    <w:rsid w:val="00864F6E"/>
    <w:rsid w:val="008655F0"/>
    <w:rsid w:val="00865864"/>
    <w:rsid w:val="008674CD"/>
    <w:rsid w:val="00867777"/>
    <w:rsid w:val="00870E4B"/>
    <w:rsid w:val="00871A9F"/>
    <w:rsid w:val="00872272"/>
    <w:rsid w:val="00872890"/>
    <w:rsid w:val="00873470"/>
    <w:rsid w:val="00873EF6"/>
    <w:rsid w:val="00875863"/>
    <w:rsid w:val="00875B3D"/>
    <w:rsid w:val="00875BEF"/>
    <w:rsid w:val="0087699C"/>
    <w:rsid w:val="00877E52"/>
    <w:rsid w:val="008811FF"/>
    <w:rsid w:val="0088269B"/>
    <w:rsid w:val="0088282F"/>
    <w:rsid w:val="008845F3"/>
    <w:rsid w:val="0088566C"/>
    <w:rsid w:val="0088630E"/>
    <w:rsid w:val="00886949"/>
    <w:rsid w:val="00886AE2"/>
    <w:rsid w:val="0089198C"/>
    <w:rsid w:val="00891C65"/>
    <w:rsid w:val="00891F45"/>
    <w:rsid w:val="00892952"/>
    <w:rsid w:val="00892F7B"/>
    <w:rsid w:val="008938C0"/>
    <w:rsid w:val="008943D7"/>
    <w:rsid w:val="008949E1"/>
    <w:rsid w:val="00897473"/>
    <w:rsid w:val="00897E12"/>
    <w:rsid w:val="00897F18"/>
    <w:rsid w:val="008A1563"/>
    <w:rsid w:val="008A1A7F"/>
    <w:rsid w:val="008A252D"/>
    <w:rsid w:val="008A3B26"/>
    <w:rsid w:val="008A3DF6"/>
    <w:rsid w:val="008A41D8"/>
    <w:rsid w:val="008A491B"/>
    <w:rsid w:val="008A5B24"/>
    <w:rsid w:val="008A620E"/>
    <w:rsid w:val="008A6290"/>
    <w:rsid w:val="008A6BF8"/>
    <w:rsid w:val="008B06B1"/>
    <w:rsid w:val="008B082E"/>
    <w:rsid w:val="008B1FE3"/>
    <w:rsid w:val="008B3181"/>
    <w:rsid w:val="008B3870"/>
    <w:rsid w:val="008B3AB0"/>
    <w:rsid w:val="008B4069"/>
    <w:rsid w:val="008B47E3"/>
    <w:rsid w:val="008B5BA3"/>
    <w:rsid w:val="008B5BEF"/>
    <w:rsid w:val="008B6741"/>
    <w:rsid w:val="008B6A1C"/>
    <w:rsid w:val="008B7129"/>
    <w:rsid w:val="008B7CFC"/>
    <w:rsid w:val="008C156D"/>
    <w:rsid w:val="008C36E6"/>
    <w:rsid w:val="008C4192"/>
    <w:rsid w:val="008C4BFD"/>
    <w:rsid w:val="008C514D"/>
    <w:rsid w:val="008C5241"/>
    <w:rsid w:val="008C57B2"/>
    <w:rsid w:val="008C6CB2"/>
    <w:rsid w:val="008C6E08"/>
    <w:rsid w:val="008C70DF"/>
    <w:rsid w:val="008C7A2D"/>
    <w:rsid w:val="008C7C9B"/>
    <w:rsid w:val="008D0A29"/>
    <w:rsid w:val="008D0B40"/>
    <w:rsid w:val="008D0BCF"/>
    <w:rsid w:val="008D0C2F"/>
    <w:rsid w:val="008D3FE1"/>
    <w:rsid w:val="008D65E8"/>
    <w:rsid w:val="008D6867"/>
    <w:rsid w:val="008D6C0E"/>
    <w:rsid w:val="008D751F"/>
    <w:rsid w:val="008D7738"/>
    <w:rsid w:val="008E11FF"/>
    <w:rsid w:val="008E1518"/>
    <w:rsid w:val="008E1AAC"/>
    <w:rsid w:val="008E4FC3"/>
    <w:rsid w:val="008E61EC"/>
    <w:rsid w:val="008E6AA3"/>
    <w:rsid w:val="008E727E"/>
    <w:rsid w:val="008F03E9"/>
    <w:rsid w:val="008F0DBE"/>
    <w:rsid w:val="008F11CE"/>
    <w:rsid w:val="008F16B9"/>
    <w:rsid w:val="008F187D"/>
    <w:rsid w:val="008F342A"/>
    <w:rsid w:val="008F38C3"/>
    <w:rsid w:val="008F4D7B"/>
    <w:rsid w:val="008F52C4"/>
    <w:rsid w:val="008F5848"/>
    <w:rsid w:val="008F6A9C"/>
    <w:rsid w:val="00900EBD"/>
    <w:rsid w:val="009018CE"/>
    <w:rsid w:val="00903269"/>
    <w:rsid w:val="00903653"/>
    <w:rsid w:val="00905068"/>
    <w:rsid w:val="00905353"/>
    <w:rsid w:val="00905EFC"/>
    <w:rsid w:val="0090667A"/>
    <w:rsid w:val="0090721C"/>
    <w:rsid w:val="00907E75"/>
    <w:rsid w:val="00910342"/>
    <w:rsid w:val="0091034C"/>
    <w:rsid w:val="00911AB8"/>
    <w:rsid w:val="00912EB9"/>
    <w:rsid w:val="009134B1"/>
    <w:rsid w:val="00913678"/>
    <w:rsid w:val="00913A37"/>
    <w:rsid w:val="00914CB8"/>
    <w:rsid w:val="00915D37"/>
    <w:rsid w:val="00915DB0"/>
    <w:rsid w:val="009167EE"/>
    <w:rsid w:val="0091725A"/>
    <w:rsid w:val="0091736D"/>
    <w:rsid w:val="00917AFA"/>
    <w:rsid w:val="009204E7"/>
    <w:rsid w:val="00921D2E"/>
    <w:rsid w:val="009233E6"/>
    <w:rsid w:val="009238F7"/>
    <w:rsid w:val="009246F2"/>
    <w:rsid w:val="00924F86"/>
    <w:rsid w:val="0092562F"/>
    <w:rsid w:val="0092572C"/>
    <w:rsid w:val="00925D98"/>
    <w:rsid w:val="009274A4"/>
    <w:rsid w:val="00927A8D"/>
    <w:rsid w:val="009307FF"/>
    <w:rsid w:val="00930A6E"/>
    <w:rsid w:val="00931D68"/>
    <w:rsid w:val="009320D3"/>
    <w:rsid w:val="0093389F"/>
    <w:rsid w:val="00933B45"/>
    <w:rsid w:val="00934BEB"/>
    <w:rsid w:val="00934CC2"/>
    <w:rsid w:val="00935022"/>
    <w:rsid w:val="00935BDB"/>
    <w:rsid w:val="00936C23"/>
    <w:rsid w:val="00936D67"/>
    <w:rsid w:val="009379A1"/>
    <w:rsid w:val="0094036F"/>
    <w:rsid w:val="009404EA"/>
    <w:rsid w:val="00941032"/>
    <w:rsid w:val="00941D33"/>
    <w:rsid w:val="0094209E"/>
    <w:rsid w:val="009426E7"/>
    <w:rsid w:val="00942F33"/>
    <w:rsid w:val="009430E3"/>
    <w:rsid w:val="00943277"/>
    <w:rsid w:val="00943357"/>
    <w:rsid w:val="00943361"/>
    <w:rsid w:val="009442F2"/>
    <w:rsid w:val="00946567"/>
    <w:rsid w:val="009503AE"/>
    <w:rsid w:val="0095091D"/>
    <w:rsid w:val="009509F0"/>
    <w:rsid w:val="009512C2"/>
    <w:rsid w:val="009516B4"/>
    <w:rsid w:val="00951809"/>
    <w:rsid w:val="009528E4"/>
    <w:rsid w:val="00952B59"/>
    <w:rsid w:val="00952E11"/>
    <w:rsid w:val="00952E8D"/>
    <w:rsid w:val="00952F00"/>
    <w:rsid w:val="00953203"/>
    <w:rsid w:val="0095433A"/>
    <w:rsid w:val="00955E02"/>
    <w:rsid w:val="00957C82"/>
    <w:rsid w:val="00957F35"/>
    <w:rsid w:val="009602E5"/>
    <w:rsid w:val="00960BEA"/>
    <w:rsid w:val="00960F19"/>
    <w:rsid w:val="009611F0"/>
    <w:rsid w:val="00962763"/>
    <w:rsid w:val="00963510"/>
    <w:rsid w:val="00963D49"/>
    <w:rsid w:val="00964FE1"/>
    <w:rsid w:val="00967111"/>
    <w:rsid w:val="009705DC"/>
    <w:rsid w:val="00970A92"/>
    <w:rsid w:val="00970BF4"/>
    <w:rsid w:val="00971F16"/>
    <w:rsid w:val="0097203F"/>
    <w:rsid w:val="0097243A"/>
    <w:rsid w:val="00974EB1"/>
    <w:rsid w:val="0097561E"/>
    <w:rsid w:val="009757D2"/>
    <w:rsid w:val="00975921"/>
    <w:rsid w:val="00977EF0"/>
    <w:rsid w:val="00977FDB"/>
    <w:rsid w:val="009803A9"/>
    <w:rsid w:val="00981C2C"/>
    <w:rsid w:val="009823E0"/>
    <w:rsid w:val="009831F0"/>
    <w:rsid w:val="00983547"/>
    <w:rsid w:val="009838BB"/>
    <w:rsid w:val="00983A0D"/>
    <w:rsid w:val="00983A43"/>
    <w:rsid w:val="00984309"/>
    <w:rsid w:val="009846E1"/>
    <w:rsid w:val="0098608F"/>
    <w:rsid w:val="00986DBB"/>
    <w:rsid w:val="00986F49"/>
    <w:rsid w:val="009906D0"/>
    <w:rsid w:val="0099105A"/>
    <w:rsid w:val="00991B02"/>
    <w:rsid w:val="00991F27"/>
    <w:rsid w:val="009935C9"/>
    <w:rsid w:val="00994857"/>
    <w:rsid w:val="00994FBB"/>
    <w:rsid w:val="009951BC"/>
    <w:rsid w:val="00995313"/>
    <w:rsid w:val="00996072"/>
    <w:rsid w:val="00996C50"/>
    <w:rsid w:val="009978E3"/>
    <w:rsid w:val="00997F1E"/>
    <w:rsid w:val="009A0045"/>
    <w:rsid w:val="009A1FDE"/>
    <w:rsid w:val="009A1FFC"/>
    <w:rsid w:val="009A21C5"/>
    <w:rsid w:val="009A2AF8"/>
    <w:rsid w:val="009A2E2C"/>
    <w:rsid w:val="009A3536"/>
    <w:rsid w:val="009A3BF2"/>
    <w:rsid w:val="009A5829"/>
    <w:rsid w:val="009A5C21"/>
    <w:rsid w:val="009A7631"/>
    <w:rsid w:val="009B0298"/>
    <w:rsid w:val="009B391A"/>
    <w:rsid w:val="009B45E0"/>
    <w:rsid w:val="009B46E9"/>
    <w:rsid w:val="009B47F1"/>
    <w:rsid w:val="009B51DF"/>
    <w:rsid w:val="009B5A63"/>
    <w:rsid w:val="009B6333"/>
    <w:rsid w:val="009B6B35"/>
    <w:rsid w:val="009C03A3"/>
    <w:rsid w:val="009C0E95"/>
    <w:rsid w:val="009C2674"/>
    <w:rsid w:val="009C30EF"/>
    <w:rsid w:val="009C3F3E"/>
    <w:rsid w:val="009C4E73"/>
    <w:rsid w:val="009C6361"/>
    <w:rsid w:val="009D05C8"/>
    <w:rsid w:val="009D133D"/>
    <w:rsid w:val="009D174B"/>
    <w:rsid w:val="009D2D55"/>
    <w:rsid w:val="009D3D1E"/>
    <w:rsid w:val="009D427B"/>
    <w:rsid w:val="009D5253"/>
    <w:rsid w:val="009D71AF"/>
    <w:rsid w:val="009D7CC4"/>
    <w:rsid w:val="009E0444"/>
    <w:rsid w:val="009E0E3F"/>
    <w:rsid w:val="009E12B0"/>
    <w:rsid w:val="009E1789"/>
    <w:rsid w:val="009E17D9"/>
    <w:rsid w:val="009E2E48"/>
    <w:rsid w:val="009E5498"/>
    <w:rsid w:val="009E54EE"/>
    <w:rsid w:val="009E57A9"/>
    <w:rsid w:val="009F0540"/>
    <w:rsid w:val="009F08EC"/>
    <w:rsid w:val="009F1588"/>
    <w:rsid w:val="009F19E7"/>
    <w:rsid w:val="009F19EC"/>
    <w:rsid w:val="009F307C"/>
    <w:rsid w:val="009F3EDF"/>
    <w:rsid w:val="009F4488"/>
    <w:rsid w:val="009F4A97"/>
    <w:rsid w:val="009F4E05"/>
    <w:rsid w:val="009F5923"/>
    <w:rsid w:val="009F653C"/>
    <w:rsid w:val="009F6548"/>
    <w:rsid w:val="009F7866"/>
    <w:rsid w:val="009F791C"/>
    <w:rsid w:val="00A00235"/>
    <w:rsid w:val="00A00257"/>
    <w:rsid w:val="00A00297"/>
    <w:rsid w:val="00A006F1"/>
    <w:rsid w:val="00A00717"/>
    <w:rsid w:val="00A009AE"/>
    <w:rsid w:val="00A01319"/>
    <w:rsid w:val="00A01A49"/>
    <w:rsid w:val="00A0273F"/>
    <w:rsid w:val="00A02B71"/>
    <w:rsid w:val="00A02E5C"/>
    <w:rsid w:val="00A02E60"/>
    <w:rsid w:val="00A046FD"/>
    <w:rsid w:val="00A0600F"/>
    <w:rsid w:val="00A10549"/>
    <w:rsid w:val="00A10CC6"/>
    <w:rsid w:val="00A112C4"/>
    <w:rsid w:val="00A12D34"/>
    <w:rsid w:val="00A13C36"/>
    <w:rsid w:val="00A14258"/>
    <w:rsid w:val="00A1577E"/>
    <w:rsid w:val="00A15BE0"/>
    <w:rsid w:val="00A16904"/>
    <w:rsid w:val="00A169B3"/>
    <w:rsid w:val="00A16AB3"/>
    <w:rsid w:val="00A16DF8"/>
    <w:rsid w:val="00A16FA0"/>
    <w:rsid w:val="00A174BE"/>
    <w:rsid w:val="00A219FC"/>
    <w:rsid w:val="00A222E7"/>
    <w:rsid w:val="00A22745"/>
    <w:rsid w:val="00A230F3"/>
    <w:rsid w:val="00A23534"/>
    <w:rsid w:val="00A23686"/>
    <w:rsid w:val="00A237D3"/>
    <w:rsid w:val="00A238FC"/>
    <w:rsid w:val="00A23EAD"/>
    <w:rsid w:val="00A25D7A"/>
    <w:rsid w:val="00A265C1"/>
    <w:rsid w:val="00A27EB2"/>
    <w:rsid w:val="00A307A8"/>
    <w:rsid w:val="00A30E49"/>
    <w:rsid w:val="00A30F18"/>
    <w:rsid w:val="00A3199E"/>
    <w:rsid w:val="00A31EA4"/>
    <w:rsid w:val="00A3496E"/>
    <w:rsid w:val="00A34F06"/>
    <w:rsid w:val="00A366F0"/>
    <w:rsid w:val="00A3763F"/>
    <w:rsid w:val="00A40FF4"/>
    <w:rsid w:val="00A41406"/>
    <w:rsid w:val="00A417E2"/>
    <w:rsid w:val="00A43596"/>
    <w:rsid w:val="00A43713"/>
    <w:rsid w:val="00A43DC2"/>
    <w:rsid w:val="00A446DD"/>
    <w:rsid w:val="00A449BF"/>
    <w:rsid w:val="00A45E83"/>
    <w:rsid w:val="00A47317"/>
    <w:rsid w:val="00A47598"/>
    <w:rsid w:val="00A50EF3"/>
    <w:rsid w:val="00A5118B"/>
    <w:rsid w:val="00A52AF6"/>
    <w:rsid w:val="00A53EB9"/>
    <w:rsid w:val="00A55810"/>
    <w:rsid w:val="00A57A67"/>
    <w:rsid w:val="00A57BD8"/>
    <w:rsid w:val="00A604F9"/>
    <w:rsid w:val="00A6128F"/>
    <w:rsid w:val="00A617D8"/>
    <w:rsid w:val="00A62528"/>
    <w:rsid w:val="00A62963"/>
    <w:rsid w:val="00A64C76"/>
    <w:rsid w:val="00A651E7"/>
    <w:rsid w:val="00A65C67"/>
    <w:rsid w:val="00A660F0"/>
    <w:rsid w:val="00A66D85"/>
    <w:rsid w:val="00A67900"/>
    <w:rsid w:val="00A72A14"/>
    <w:rsid w:val="00A72D41"/>
    <w:rsid w:val="00A73F4E"/>
    <w:rsid w:val="00A742B9"/>
    <w:rsid w:val="00A74418"/>
    <w:rsid w:val="00A745EF"/>
    <w:rsid w:val="00A749D9"/>
    <w:rsid w:val="00A74A78"/>
    <w:rsid w:val="00A74EEE"/>
    <w:rsid w:val="00A7516B"/>
    <w:rsid w:val="00A759B7"/>
    <w:rsid w:val="00A76031"/>
    <w:rsid w:val="00A77798"/>
    <w:rsid w:val="00A80505"/>
    <w:rsid w:val="00A81A35"/>
    <w:rsid w:val="00A81DC1"/>
    <w:rsid w:val="00A82BDB"/>
    <w:rsid w:val="00A837CA"/>
    <w:rsid w:val="00A83DD9"/>
    <w:rsid w:val="00A83E31"/>
    <w:rsid w:val="00A84A25"/>
    <w:rsid w:val="00A8500A"/>
    <w:rsid w:val="00A86B79"/>
    <w:rsid w:val="00A87FFD"/>
    <w:rsid w:val="00A9006D"/>
    <w:rsid w:val="00A918C1"/>
    <w:rsid w:val="00A927C4"/>
    <w:rsid w:val="00A94662"/>
    <w:rsid w:val="00A94DAD"/>
    <w:rsid w:val="00A9506B"/>
    <w:rsid w:val="00A95259"/>
    <w:rsid w:val="00A9541F"/>
    <w:rsid w:val="00A97DE5"/>
    <w:rsid w:val="00AA08BC"/>
    <w:rsid w:val="00AA096D"/>
    <w:rsid w:val="00AA1F27"/>
    <w:rsid w:val="00AA1F6E"/>
    <w:rsid w:val="00AA39BF"/>
    <w:rsid w:val="00AA459B"/>
    <w:rsid w:val="00AA52BF"/>
    <w:rsid w:val="00AA53DA"/>
    <w:rsid w:val="00AA5C7E"/>
    <w:rsid w:val="00AA6701"/>
    <w:rsid w:val="00AA6B39"/>
    <w:rsid w:val="00AA6BC5"/>
    <w:rsid w:val="00AA6CFA"/>
    <w:rsid w:val="00AA7E21"/>
    <w:rsid w:val="00AB0482"/>
    <w:rsid w:val="00AB06AB"/>
    <w:rsid w:val="00AB0E5B"/>
    <w:rsid w:val="00AB1510"/>
    <w:rsid w:val="00AB192F"/>
    <w:rsid w:val="00AB1C63"/>
    <w:rsid w:val="00AB2A49"/>
    <w:rsid w:val="00AB30D2"/>
    <w:rsid w:val="00AB3359"/>
    <w:rsid w:val="00AB3968"/>
    <w:rsid w:val="00AB4332"/>
    <w:rsid w:val="00AB5B0B"/>
    <w:rsid w:val="00AB5EDD"/>
    <w:rsid w:val="00AB627C"/>
    <w:rsid w:val="00AB6B65"/>
    <w:rsid w:val="00AB6D12"/>
    <w:rsid w:val="00AB76D4"/>
    <w:rsid w:val="00AC0521"/>
    <w:rsid w:val="00AC0915"/>
    <w:rsid w:val="00AC13DC"/>
    <w:rsid w:val="00AC1F31"/>
    <w:rsid w:val="00AC27BA"/>
    <w:rsid w:val="00AC392F"/>
    <w:rsid w:val="00AC6131"/>
    <w:rsid w:val="00AC61AC"/>
    <w:rsid w:val="00AC685E"/>
    <w:rsid w:val="00AC784F"/>
    <w:rsid w:val="00AC7F04"/>
    <w:rsid w:val="00AD0762"/>
    <w:rsid w:val="00AD0C52"/>
    <w:rsid w:val="00AD0DD7"/>
    <w:rsid w:val="00AD18FA"/>
    <w:rsid w:val="00AD1C23"/>
    <w:rsid w:val="00AD1C26"/>
    <w:rsid w:val="00AD1F78"/>
    <w:rsid w:val="00AD201A"/>
    <w:rsid w:val="00AD2A33"/>
    <w:rsid w:val="00AD2D9A"/>
    <w:rsid w:val="00AD31BF"/>
    <w:rsid w:val="00AD4051"/>
    <w:rsid w:val="00AD45D0"/>
    <w:rsid w:val="00AD7A2D"/>
    <w:rsid w:val="00AD7CEA"/>
    <w:rsid w:val="00AE0C94"/>
    <w:rsid w:val="00AE0FC5"/>
    <w:rsid w:val="00AE11B2"/>
    <w:rsid w:val="00AE15CC"/>
    <w:rsid w:val="00AE16C0"/>
    <w:rsid w:val="00AE25BA"/>
    <w:rsid w:val="00AE275C"/>
    <w:rsid w:val="00AE378C"/>
    <w:rsid w:val="00AE39DD"/>
    <w:rsid w:val="00AE4795"/>
    <w:rsid w:val="00AE58F4"/>
    <w:rsid w:val="00AE5E2F"/>
    <w:rsid w:val="00AE6F79"/>
    <w:rsid w:val="00AE7B85"/>
    <w:rsid w:val="00AF00B8"/>
    <w:rsid w:val="00AF078A"/>
    <w:rsid w:val="00AF11BD"/>
    <w:rsid w:val="00AF272E"/>
    <w:rsid w:val="00AF4030"/>
    <w:rsid w:val="00AF4ACD"/>
    <w:rsid w:val="00AF575F"/>
    <w:rsid w:val="00AF6888"/>
    <w:rsid w:val="00AF6CD6"/>
    <w:rsid w:val="00AF78C5"/>
    <w:rsid w:val="00AF78F8"/>
    <w:rsid w:val="00AF7D36"/>
    <w:rsid w:val="00AF7DE7"/>
    <w:rsid w:val="00B00B23"/>
    <w:rsid w:val="00B02712"/>
    <w:rsid w:val="00B027A4"/>
    <w:rsid w:val="00B02CA8"/>
    <w:rsid w:val="00B035C2"/>
    <w:rsid w:val="00B045C4"/>
    <w:rsid w:val="00B050A4"/>
    <w:rsid w:val="00B050AA"/>
    <w:rsid w:val="00B05395"/>
    <w:rsid w:val="00B0559B"/>
    <w:rsid w:val="00B0609F"/>
    <w:rsid w:val="00B06137"/>
    <w:rsid w:val="00B0748D"/>
    <w:rsid w:val="00B1055D"/>
    <w:rsid w:val="00B12559"/>
    <w:rsid w:val="00B12BE3"/>
    <w:rsid w:val="00B1387F"/>
    <w:rsid w:val="00B13E85"/>
    <w:rsid w:val="00B13FB6"/>
    <w:rsid w:val="00B1467A"/>
    <w:rsid w:val="00B14B8B"/>
    <w:rsid w:val="00B159E8"/>
    <w:rsid w:val="00B15ABD"/>
    <w:rsid w:val="00B16060"/>
    <w:rsid w:val="00B171D0"/>
    <w:rsid w:val="00B1788B"/>
    <w:rsid w:val="00B17E75"/>
    <w:rsid w:val="00B22845"/>
    <w:rsid w:val="00B22A38"/>
    <w:rsid w:val="00B23058"/>
    <w:rsid w:val="00B23E40"/>
    <w:rsid w:val="00B24A6E"/>
    <w:rsid w:val="00B24CAE"/>
    <w:rsid w:val="00B2622B"/>
    <w:rsid w:val="00B2643D"/>
    <w:rsid w:val="00B275BC"/>
    <w:rsid w:val="00B30233"/>
    <w:rsid w:val="00B30607"/>
    <w:rsid w:val="00B307A1"/>
    <w:rsid w:val="00B30AE2"/>
    <w:rsid w:val="00B320BF"/>
    <w:rsid w:val="00B32102"/>
    <w:rsid w:val="00B336B8"/>
    <w:rsid w:val="00B33EF6"/>
    <w:rsid w:val="00B34FAF"/>
    <w:rsid w:val="00B35400"/>
    <w:rsid w:val="00B35550"/>
    <w:rsid w:val="00B36FC0"/>
    <w:rsid w:val="00B3724E"/>
    <w:rsid w:val="00B407B0"/>
    <w:rsid w:val="00B40AFE"/>
    <w:rsid w:val="00B40C93"/>
    <w:rsid w:val="00B40F5F"/>
    <w:rsid w:val="00B4186B"/>
    <w:rsid w:val="00B42D0A"/>
    <w:rsid w:val="00B436FE"/>
    <w:rsid w:val="00B43C34"/>
    <w:rsid w:val="00B4440A"/>
    <w:rsid w:val="00B4468B"/>
    <w:rsid w:val="00B44707"/>
    <w:rsid w:val="00B46DDE"/>
    <w:rsid w:val="00B47349"/>
    <w:rsid w:val="00B500FF"/>
    <w:rsid w:val="00B503A9"/>
    <w:rsid w:val="00B507BD"/>
    <w:rsid w:val="00B51BE3"/>
    <w:rsid w:val="00B51DF7"/>
    <w:rsid w:val="00B5203A"/>
    <w:rsid w:val="00B527EC"/>
    <w:rsid w:val="00B54071"/>
    <w:rsid w:val="00B55048"/>
    <w:rsid w:val="00B55BF9"/>
    <w:rsid w:val="00B56EDC"/>
    <w:rsid w:val="00B576CF"/>
    <w:rsid w:val="00B6074D"/>
    <w:rsid w:val="00B61391"/>
    <w:rsid w:val="00B61640"/>
    <w:rsid w:val="00B61AC2"/>
    <w:rsid w:val="00B61CE7"/>
    <w:rsid w:val="00B62644"/>
    <w:rsid w:val="00B629AC"/>
    <w:rsid w:val="00B645A2"/>
    <w:rsid w:val="00B6517B"/>
    <w:rsid w:val="00B6542A"/>
    <w:rsid w:val="00B65D2F"/>
    <w:rsid w:val="00B668BF"/>
    <w:rsid w:val="00B66C11"/>
    <w:rsid w:val="00B66DAA"/>
    <w:rsid w:val="00B6711D"/>
    <w:rsid w:val="00B679C8"/>
    <w:rsid w:val="00B67B95"/>
    <w:rsid w:val="00B7145F"/>
    <w:rsid w:val="00B71947"/>
    <w:rsid w:val="00B7255C"/>
    <w:rsid w:val="00B72ECE"/>
    <w:rsid w:val="00B74106"/>
    <w:rsid w:val="00B745AF"/>
    <w:rsid w:val="00B75612"/>
    <w:rsid w:val="00B777A8"/>
    <w:rsid w:val="00B81121"/>
    <w:rsid w:val="00B820AF"/>
    <w:rsid w:val="00B820CE"/>
    <w:rsid w:val="00B82367"/>
    <w:rsid w:val="00B8246C"/>
    <w:rsid w:val="00B83348"/>
    <w:rsid w:val="00B839D2"/>
    <w:rsid w:val="00B83BE9"/>
    <w:rsid w:val="00B8497D"/>
    <w:rsid w:val="00B84C2A"/>
    <w:rsid w:val="00B85CC8"/>
    <w:rsid w:val="00B8621C"/>
    <w:rsid w:val="00B87C59"/>
    <w:rsid w:val="00B9083A"/>
    <w:rsid w:val="00B9147A"/>
    <w:rsid w:val="00B91623"/>
    <w:rsid w:val="00B91F11"/>
    <w:rsid w:val="00B9245A"/>
    <w:rsid w:val="00B925F4"/>
    <w:rsid w:val="00B929C4"/>
    <w:rsid w:val="00B930D4"/>
    <w:rsid w:val="00B94370"/>
    <w:rsid w:val="00B96871"/>
    <w:rsid w:val="00B96BEC"/>
    <w:rsid w:val="00B96E7D"/>
    <w:rsid w:val="00B97B19"/>
    <w:rsid w:val="00B97E56"/>
    <w:rsid w:val="00BA00AF"/>
    <w:rsid w:val="00BA0B53"/>
    <w:rsid w:val="00BA17B0"/>
    <w:rsid w:val="00BA2390"/>
    <w:rsid w:val="00BA4F56"/>
    <w:rsid w:val="00BA5A70"/>
    <w:rsid w:val="00BA61AD"/>
    <w:rsid w:val="00BA6532"/>
    <w:rsid w:val="00BA6E2A"/>
    <w:rsid w:val="00BA7BA4"/>
    <w:rsid w:val="00BB003D"/>
    <w:rsid w:val="00BB0FA5"/>
    <w:rsid w:val="00BB11C9"/>
    <w:rsid w:val="00BB155F"/>
    <w:rsid w:val="00BB19C9"/>
    <w:rsid w:val="00BB1DB1"/>
    <w:rsid w:val="00BB2585"/>
    <w:rsid w:val="00BB2E17"/>
    <w:rsid w:val="00BB41FE"/>
    <w:rsid w:val="00BB46BB"/>
    <w:rsid w:val="00BB5205"/>
    <w:rsid w:val="00BB5648"/>
    <w:rsid w:val="00BB57CA"/>
    <w:rsid w:val="00BB6551"/>
    <w:rsid w:val="00BB6604"/>
    <w:rsid w:val="00BB6888"/>
    <w:rsid w:val="00BB6F04"/>
    <w:rsid w:val="00BB71FF"/>
    <w:rsid w:val="00BB77D7"/>
    <w:rsid w:val="00BC00A5"/>
    <w:rsid w:val="00BC0BE3"/>
    <w:rsid w:val="00BC12D7"/>
    <w:rsid w:val="00BC12D8"/>
    <w:rsid w:val="00BC3703"/>
    <w:rsid w:val="00BC3F45"/>
    <w:rsid w:val="00BC4269"/>
    <w:rsid w:val="00BC46C7"/>
    <w:rsid w:val="00BC50BF"/>
    <w:rsid w:val="00BD0C70"/>
    <w:rsid w:val="00BD15DB"/>
    <w:rsid w:val="00BD3E0A"/>
    <w:rsid w:val="00BD496E"/>
    <w:rsid w:val="00BD4D96"/>
    <w:rsid w:val="00BD5C5E"/>
    <w:rsid w:val="00BD5DD5"/>
    <w:rsid w:val="00BD5EF2"/>
    <w:rsid w:val="00BD5FF3"/>
    <w:rsid w:val="00BD69D5"/>
    <w:rsid w:val="00BD6DB5"/>
    <w:rsid w:val="00BD7F20"/>
    <w:rsid w:val="00BE0629"/>
    <w:rsid w:val="00BE0DBE"/>
    <w:rsid w:val="00BE0E4C"/>
    <w:rsid w:val="00BE0F23"/>
    <w:rsid w:val="00BE15E6"/>
    <w:rsid w:val="00BE28C5"/>
    <w:rsid w:val="00BE31E3"/>
    <w:rsid w:val="00BE31F9"/>
    <w:rsid w:val="00BE32C8"/>
    <w:rsid w:val="00BE37D9"/>
    <w:rsid w:val="00BE3BD1"/>
    <w:rsid w:val="00BE4035"/>
    <w:rsid w:val="00BE4B57"/>
    <w:rsid w:val="00BE554D"/>
    <w:rsid w:val="00BE6AD2"/>
    <w:rsid w:val="00BE7E30"/>
    <w:rsid w:val="00BF0862"/>
    <w:rsid w:val="00BF2FAD"/>
    <w:rsid w:val="00BF345E"/>
    <w:rsid w:val="00BF3A7A"/>
    <w:rsid w:val="00BF43DE"/>
    <w:rsid w:val="00BF4B8E"/>
    <w:rsid w:val="00BF4D07"/>
    <w:rsid w:val="00BF542F"/>
    <w:rsid w:val="00BF5685"/>
    <w:rsid w:val="00BF5EB6"/>
    <w:rsid w:val="00BF66C4"/>
    <w:rsid w:val="00BF77E5"/>
    <w:rsid w:val="00C00ABE"/>
    <w:rsid w:val="00C00F16"/>
    <w:rsid w:val="00C01A1E"/>
    <w:rsid w:val="00C0235F"/>
    <w:rsid w:val="00C03368"/>
    <w:rsid w:val="00C0461B"/>
    <w:rsid w:val="00C0465D"/>
    <w:rsid w:val="00C05129"/>
    <w:rsid w:val="00C05406"/>
    <w:rsid w:val="00C056F9"/>
    <w:rsid w:val="00C0586B"/>
    <w:rsid w:val="00C066BE"/>
    <w:rsid w:val="00C06DA2"/>
    <w:rsid w:val="00C070F9"/>
    <w:rsid w:val="00C11844"/>
    <w:rsid w:val="00C11B04"/>
    <w:rsid w:val="00C124FE"/>
    <w:rsid w:val="00C12731"/>
    <w:rsid w:val="00C14334"/>
    <w:rsid w:val="00C14F5A"/>
    <w:rsid w:val="00C16610"/>
    <w:rsid w:val="00C16955"/>
    <w:rsid w:val="00C1741F"/>
    <w:rsid w:val="00C204C4"/>
    <w:rsid w:val="00C2126E"/>
    <w:rsid w:val="00C21AAA"/>
    <w:rsid w:val="00C228C5"/>
    <w:rsid w:val="00C24C28"/>
    <w:rsid w:val="00C261A5"/>
    <w:rsid w:val="00C26382"/>
    <w:rsid w:val="00C266A1"/>
    <w:rsid w:val="00C26B6D"/>
    <w:rsid w:val="00C26ED7"/>
    <w:rsid w:val="00C2752F"/>
    <w:rsid w:val="00C303A1"/>
    <w:rsid w:val="00C31010"/>
    <w:rsid w:val="00C326EC"/>
    <w:rsid w:val="00C32926"/>
    <w:rsid w:val="00C32B44"/>
    <w:rsid w:val="00C33C69"/>
    <w:rsid w:val="00C33F94"/>
    <w:rsid w:val="00C3403F"/>
    <w:rsid w:val="00C341F4"/>
    <w:rsid w:val="00C35288"/>
    <w:rsid w:val="00C35516"/>
    <w:rsid w:val="00C35B34"/>
    <w:rsid w:val="00C35B67"/>
    <w:rsid w:val="00C35B8B"/>
    <w:rsid w:val="00C35C96"/>
    <w:rsid w:val="00C3645D"/>
    <w:rsid w:val="00C37CE8"/>
    <w:rsid w:val="00C403E4"/>
    <w:rsid w:val="00C40DF4"/>
    <w:rsid w:val="00C41A82"/>
    <w:rsid w:val="00C41B48"/>
    <w:rsid w:val="00C41DFB"/>
    <w:rsid w:val="00C42339"/>
    <w:rsid w:val="00C436D8"/>
    <w:rsid w:val="00C436F8"/>
    <w:rsid w:val="00C43A8B"/>
    <w:rsid w:val="00C43B2F"/>
    <w:rsid w:val="00C45068"/>
    <w:rsid w:val="00C454FE"/>
    <w:rsid w:val="00C4597A"/>
    <w:rsid w:val="00C4632E"/>
    <w:rsid w:val="00C466DD"/>
    <w:rsid w:val="00C47295"/>
    <w:rsid w:val="00C47949"/>
    <w:rsid w:val="00C51780"/>
    <w:rsid w:val="00C517E8"/>
    <w:rsid w:val="00C51DE4"/>
    <w:rsid w:val="00C523E4"/>
    <w:rsid w:val="00C52BED"/>
    <w:rsid w:val="00C530A9"/>
    <w:rsid w:val="00C55BB5"/>
    <w:rsid w:val="00C56106"/>
    <w:rsid w:val="00C56375"/>
    <w:rsid w:val="00C56B81"/>
    <w:rsid w:val="00C57FB0"/>
    <w:rsid w:val="00C6044C"/>
    <w:rsid w:val="00C60E76"/>
    <w:rsid w:val="00C616DA"/>
    <w:rsid w:val="00C61B74"/>
    <w:rsid w:val="00C62770"/>
    <w:rsid w:val="00C62B9B"/>
    <w:rsid w:val="00C645C9"/>
    <w:rsid w:val="00C64C00"/>
    <w:rsid w:val="00C64F3D"/>
    <w:rsid w:val="00C65166"/>
    <w:rsid w:val="00C65CFB"/>
    <w:rsid w:val="00C65FAC"/>
    <w:rsid w:val="00C67535"/>
    <w:rsid w:val="00C6795B"/>
    <w:rsid w:val="00C67BD9"/>
    <w:rsid w:val="00C67CA8"/>
    <w:rsid w:val="00C73D63"/>
    <w:rsid w:val="00C74842"/>
    <w:rsid w:val="00C76099"/>
    <w:rsid w:val="00C76323"/>
    <w:rsid w:val="00C76B0B"/>
    <w:rsid w:val="00C77802"/>
    <w:rsid w:val="00C7795E"/>
    <w:rsid w:val="00C80145"/>
    <w:rsid w:val="00C81AED"/>
    <w:rsid w:val="00C82401"/>
    <w:rsid w:val="00C825AA"/>
    <w:rsid w:val="00C832C1"/>
    <w:rsid w:val="00C836C8"/>
    <w:rsid w:val="00C836D7"/>
    <w:rsid w:val="00C83ACA"/>
    <w:rsid w:val="00C84642"/>
    <w:rsid w:val="00C84B4B"/>
    <w:rsid w:val="00C853FF"/>
    <w:rsid w:val="00C85C05"/>
    <w:rsid w:val="00C8789C"/>
    <w:rsid w:val="00C87FF8"/>
    <w:rsid w:val="00C90580"/>
    <w:rsid w:val="00C91696"/>
    <w:rsid w:val="00C9170B"/>
    <w:rsid w:val="00C9375E"/>
    <w:rsid w:val="00C93CD4"/>
    <w:rsid w:val="00C94CA9"/>
    <w:rsid w:val="00C95343"/>
    <w:rsid w:val="00C95C70"/>
    <w:rsid w:val="00C97BEB"/>
    <w:rsid w:val="00CA098E"/>
    <w:rsid w:val="00CA1DC5"/>
    <w:rsid w:val="00CA3839"/>
    <w:rsid w:val="00CA3E36"/>
    <w:rsid w:val="00CA4253"/>
    <w:rsid w:val="00CA56A0"/>
    <w:rsid w:val="00CA594E"/>
    <w:rsid w:val="00CA5CD6"/>
    <w:rsid w:val="00CA61C8"/>
    <w:rsid w:val="00CA6620"/>
    <w:rsid w:val="00CA6AD9"/>
    <w:rsid w:val="00CA7146"/>
    <w:rsid w:val="00CA74F0"/>
    <w:rsid w:val="00CB0053"/>
    <w:rsid w:val="00CB026F"/>
    <w:rsid w:val="00CB07AB"/>
    <w:rsid w:val="00CB0BBD"/>
    <w:rsid w:val="00CB214A"/>
    <w:rsid w:val="00CB2185"/>
    <w:rsid w:val="00CB23B6"/>
    <w:rsid w:val="00CB2585"/>
    <w:rsid w:val="00CB38DA"/>
    <w:rsid w:val="00CB3953"/>
    <w:rsid w:val="00CB3B12"/>
    <w:rsid w:val="00CB416D"/>
    <w:rsid w:val="00CB4A2E"/>
    <w:rsid w:val="00CB50D1"/>
    <w:rsid w:val="00CB5203"/>
    <w:rsid w:val="00CB706C"/>
    <w:rsid w:val="00CB72AD"/>
    <w:rsid w:val="00CB7CA3"/>
    <w:rsid w:val="00CC0145"/>
    <w:rsid w:val="00CC1ADE"/>
    <w:rsid w:val="00CC227D"/>
    <w:rsid w:val="00CC240B"/>
    <w:rsid w:val="00CC2EB5"/>
    <w:rsid w:val="00CC37CD"/>
    <w:rsid w:val="00CC38F5"/>
    <w:rsid w:val="00CC53F7"/>
    <w:rsid w:val="00CC5671"/>
    <w:rsid w:val="00CC59ED"/>
    <w:rsid w:val="00CC5D73"/>
    <w:rsid w:val="00CC6DA9"/>
    <w:rsid w:val="00CD0902"/>
    <w:rsid w:val="00CD16B0"/>
    <w:rsid w:val="00CD1965"/>
    <w:rsid w:val="00CD2AD0"/>
    <w:rsid w:val="00CD2BAC"/>
    <w:rsid w:val="00CD320D"/>
    <w:rsid w:val="00CD361C"/>
    <w:rsid w:val="00CD4194"/>
    <w:rsid w:val="00CD46D7"/>
    <w:rsid w:val="00CD5139"/>
    <w:rsid w:val="00CD61BE"/>
    <w:rsid w:val="00CD6E6C"/>
    <w:rsid w:val="00CD6F11"/>
    <w:rsid w:val="00CD705F"/>
    <w:rsid w:val="00CD76D7"/>
    <w:rsid w:val="00CE087A"/>
    <w:rsid w:val="00CE1645"/>
    <w:rsid w:val="00CE2569"/>
    <w:rsid w:val="00CE3234"/>
    <w:rsid w:val="00CE497E"/>
    <w:rsid w:val="00CE4E7D"/>
    <w:rsid w:val="00CE77F1"/>
    <w:rsid w:val="00CE796E"/>
    <w:rsid w:val="00CE7B5B"/>
    <w:rsid w:val="00CF0A44"/>
    <w:rsid w:val="00CF0EB7"/>
    <w:rsid w:val="00CF19B3"/>
    <w:rsid w:val="00CF4996"/>
    <w:rsid w:val="00CF62B3"/>
    <w:rsid w:val="00CF64EF"/>
    <w:rsid w:val="00CF6AC9"/>
    <w:rsid w:val="00CF7A97"/>
    <w:rsid w:val="00CF7CCF"/>
    <w:rsid w:val="00D00093"/>
    <w:rsid w:val="00D008B8"/>
    <w:rsid w:val="00D0104E"/>
    <w:rsid w:val="00D01A02"/>
    <w:rsid w:val="00D020E6"/>
    <w:rsid w:val="00D02166"/>
    <w:rsid w:val="00D03715"/>
    <w:rsid w:val="00D03925"/>
    <w:rsid w:val="00D04227"/>
    <w:rsid w:val="00D050B4"/>
    <w:rsid w:val="00D0555B"/>
    <w:rsid w:val="00D05670"/>
    <w:rsid w:val="00D075AF"/>
    <w:rsid w:val="00D10642"/>
    <w:rsid w:val="00D1092F"/>
    <w:rsid w:val="00D11B7D"/>
    <w:rsid w:val="00D125B7"/>
    <w:rsid w:val="00D12C7E"/>
    <w:rsid w:val="00D13737"/>
    <w:rsid w:val="00D13FBA"/>
    <w:rsid w:val="00D14288"/>
    <w:rsid w:val="00D1564C"/>
    <w:rsid w:val="00D2042C"/>
    <w:rsid w:val="00D204E1"/>
    <w:rsid w:val="00D209D2"/>
    <w:rsid w:val="00D226DE"/>
    <w:rsid w:val="00D24B47"/>
    <w:rsid w:val="00D24C0E"/>
    <w:rsid w:val="00D25A06"/>
    <w:rsid w:val="00D25F57"/>
    <w:rsid w:val="00D26417"/>
    <w:rsid w:val="00D27467"/>
    <w:rsid w:val="00D2746B"/>
    <w:rsid w:val="00D2746D"/>
    <w:rsid w:val="00D3082F"/>
    <w:rsid w:val="00D3103B"/>
    <w:rsid w:val="00D32470"/>
    <w:rsid w:val="00D324F4"/>
    <w:rsid w:val="00D325E7"/>
    <w:rsid w:val="00D32EB6"/>
    <w:rsid w:val="00D32FDF"/>
    <w:rsid w:val="00D33B10"/>
    <w:rsid w:val="00D3449E"/>
    <w:rsid w:val="00D3465E"/>
    <w:rsid w:val="00D35033"/>
    <w:rsid w:val="00D35D35"/>
    <w:rsid w:val="00D3785B"/>
    <w:rsid w:val="00D37968"/>
    <w:rsid w:val="00D40116"/>
    <w:rsid w:val="00D407B3"/>
    <w:rsid w:val="00D411A4"/>
    <w:rsid w:val="00D429F8"/>
    <w:rsid w:val="00D42E8C"/>
    <w:rsid w:val="00D43174"/>
    <w:rsid w:val="00D43D2A"/>
    <w:rsid w:val="00D45282"/>
    <w:rsid w:val="00D456BE"/>
    <w:rsid w:val="00D45DAD"/>
    <w:rsid w:val="00D45F48"/>
    <w:rsid w:val="00D460F0"/>
    <w:rsid w:val="00D466F3"/>
    <w:rsid w:val="00D471BD"/>
    <w:rsid w:val="00D50AAE"/>
    <w:rsid w:val="00D51D79"/>
    <w:rsid w:val="00D53234"/>
    <w:rsid w:val="00D5337A"/>
    <w:rsid w:val="00D53916"/>
    <w:rsid w:val="00D53EAA"/>
    <w:rsid w:val="00D53FFA"/>
    <w:rsid w:val="00D546F3"/>
    <w:rsid w:val="00D54ABB"/>
    <w:rsid w:val="00D54F2E"/>
    <w:rsid w:val="00D55C9E"/>
    <w:rsid w:val="00D562DA"/>
    <w:rsid w:val="00D570B5"/>
    <w:rsid w:val="00D574B2"/>
    <w:rsid w:val="00D60CE8"/>
    <w:rsid w:val="00D61120"/>
    <w:rsid w:val="00D63D02"/>
    <w:rsid w:val="00D644AC"/>
    <w:rsid w:val="00D64B84"/>
    <w:rsid w:val="00D64CD8"/>
    <w:rsid w:val="00D65041"/>
    <w:rsid w:val="00D65605"/>
    <w:rsid w:val="00D65E74"/>
    <w:rsid w:val="00D65FE0"/>
    <w:rsid w:val="00D6769F"/>
    <w:rsid w:val="00D70248"/>
    <w:rsid w:val="00D716FC"/>
    <w:rsid w:val="00D719ED"/>
    <w:rsid w:val="00D73559"/>
    <w:rsid w:val="00D73983"/>
    <w:rsid w:val="00D73CDD"/>
    <w:rsid w:val="00D7550C"/>
    <w:rsid w:val="00D75EA7"/>
    <w:rsid w:val="00D76273"/>
    <w:rsid w:val="00D809C7"/>
    <w:rsid w:val="00D81A85"/>
    <w:rsid w:val="00D8270B"/>
    <w:rsid w:val="00D8372B"/>
    <w:rsid w:val="00D84B70"/>
    <w:rsid w:val="00D86233"/>
    <w:rsid w:val="00D874ED"/>
    <w:rsid w:val="00D917B8"/>
    <w:rsid w:val="00D91A96"/>
    <w:rsid w:val="00D92077"/>
    <w:rsid w:val="00D924D9"/>
    <w:rsid w:val="00D92736"/>
    <w:rsid w:val="00D92AB5"/>
    <w:rsid w:val="00D92DFD"/>
    <w:rsid w:val="00D9311A"/>
    <w:rsid w:val="00D9329B"/>
    <w:rsid w:val="00D935BA"/>
    <w:rsid w:val="00D93AFE"/>
    <w:rsid w:val="00D94385"/>
    <w:rsid w:val="00D9565A"/>
    <w:rsid w:val="00D9621C"/>
    <w:rsid w:val="00D96388"/>
    <w:rsid w:val="00D9688C"/>
    <w:rsid w:val="00D96D10"/>
    <w:rsid w:val="00D96EB9"/>
    <w:rsid w:val="00DA0BCC"/>
    <w:rsid w:val="00DA17A7"/>
    <w:rsid w:val="00DA189C"/>
    <w:rsid w:val="00DA1AD4"/>
    <w:rsid w:val="00DA38C7"/>
    <w:rsid w:val="00DA3A10"/>
    <w:rsid w:val="00DA3E9A"/>
    <w:rsid w:val="00DA5A41"/>
    <w:rsid w:val="00DA5B75"/>
    <w:rsid w:val="00DA5F2A"/>
    <w:rsid w:val="00DA61B0"/>
    <w:rsid w:val="00DA621F"/>
    <w:rsid w:val="00DA661E"/>
    <w:rsid w:val="00DA6BE7"/>
    <w:rsid w:val="00DA712A"/>
    <w:rsid w:val="00DB0940"/>
    <w:rsid w:val="00DB0BC0"/>
    <w:rsid w:val="00DB19D2"/>
    <w:rsid w:val="00DB250A"/>
    <w:rsid w:val="00DB3127"/>
    <w:rsid w:val="00DB428E"/>
    <w:rsid w:val="00DB5163"/>
    <w:rsid w:val="00DB6C9C"/>
    <w:rsid w:val="00DB6E7B"/>
    <w:rsid w:val="00DB7221"/>
    <w:rsid w:val="00DB74AF"/>
    <w:rsid w:val="00DB7585"/>
    <w:rsid w:val="00DC1A7A"/>
    <w:rsid w:val="00DC2832"/>
    <w:rsid w:val="00DC286A"/>
    <w:rsid w:val="00DC30D2"/>
    <w:rsid w:val="00DC375F"/>
    <w:rsid w:val="00DC4945"/>
    <w:rsid w:val="00DC4BF6"/>
    <w:rsid w:val="00DC4E0E"/>
    <w:rsid w:val="00DC4F02"/>
    <w:rsid w:val="00DC573A"/>
    <w:rsid w:val="00DC60E2"/>
    <w:rsid w:val="00DC665F"/>
    <w:rsid w:val="00DC6B36"/>
    <w:rsid w:val="00DC7053"/>
    <w:rsid w:val="00DC7613"/>
    <w:rsid w:val="00DC7CED"/>
    <w:rsid w:val="00DC7DDB"/>
    <w:rsid w:val="00DD115D"/>
    <w:rsid w:val="00DD1ACD"/>
    <w:rsid w:val="00DD24C2"/>
    <w:rsid w:val="00DD2D25"/>
    <w:rsid w:val="00DD3B39"/>
    <w:rsid w:val="00DD4AA7"/>
    <w:rsid w:val="00DD5A44"/>
    <w:rsid w:val="00DD6DA3"/>
    <w:rsid w:val="00DD7169"/>
    <w:rsid w:val="00DD7BC4"/>
    <w:rsid w:val="00DE047A"/>
    <w:rsid w:val="00DE0D17"/>
    <w:rsid w:val="00DE1B6E"/>
    <w:rsid w:val="00DE2460"/>
    <w:rsid w:val="00DE2C1D"/>
    <w:rsid w:val="00DE3872"/>
    <w:rsid w:val="00DE3944"/>
    <w:rsid w:val="00DE5BB4"/>
    <w:rsid w:val="00DE69A5"/>
    <w:rsid w:val="00DE6C0D"/>
    <w:rsid w:val="00DE7BD9"/>
    <w:rsid w:val="00DF061D"/>
    <w:rsid w:val="00DF112E"/>
    <w:rsid w:val="00DF1EDC"/>
    <w:rsid w:val="00DF21ED"/>
    <w:rsid w:val="00DF2698"/>
    <w:rsid w:val="00DF2BC7"/>
    <w:rsid w:val="00DF2C75"/>
    <w:rsid w:val="00DF4EC2"/>
    <w:rsid w:val="00DF6086"/>
    <w:rsid w:val="00DF6571"/>
    <w:rsid w:val="00DF6CB8"/>
    <w:rsid w:val="00DF6D69"/>
    <w:rsid w:val="00DF76C8"/>
    <w:rsid w:val="00DF7C77"/>
    <w:rsid w:val="00E01068"/>
    <w:rsid w:val="00E01810"/>
    <w:rsid w:val="00E01E15"/>
    <w:rsid w:val="00E02253"/>
    <w:rsid w:val="00E0249B"/>
    <w:rsid w:val="00E02E1D"/>
    <w:rsid w:val="00E031A2"/>
    <w:rsid w:val="00E03A1E"/>
    <w:rsid w:val="00E03A82"/>
    <w:rsid w:val="00E03C8C"/>
    <w:rsid w:val="00E04983"/>
    <w:rsid w:val="00E049E3"/>
    <w:rsid w:val="00E0533B"/>
    <w:rsid w:val="00E0634A"/>
    <w:rsid w:val="00E10032"/>
    <w:rsid w:val="00E10297"/>
    <w:rsid w:val="00E10AFF"/>
    <w:rsid w:val="00E10FE3"/>
    <w:rsid w:val="00E11A22"/>
    <w:rsid w:val="00E127CF"/>
    <w:rsid w:val="00E12D88"/>
    <w:rsid w:val="00E131D5"/>
    <w:rsid w:val="00E15C40"/>
    <w:rsid w:val="00E15D12"/>
    <w:rsid w:val="00E16990"/>
    <w:rsid w:val="00E20281"/>
    <w:rsid w:val="00E22A6E"/>
    <w:rsid w:val="00E252D3"/>
    <w:rsid w:val="00E253BD"/>
    <w:rsid w:val="00E258C0"/>
    <w:rsid w:val="00E26954"/>
    <w:rsid w:val="00E26C40"/>
    <w:rsid w:val="00E26DC8"/>
    <w:rsid w:val="00E274D2"/>
    <w:rsid w:val="00E300E3"/>
    <w:rsid w:val="00E31CC8"/>
    <w:rsid w:val="00E31D6B"/>
    <w:rsid w:val="00E31FB7"/>
    <w:rsid w:val="00E35DDD"/>
    <w:rsid w:val="00E360DE"/>
    <w:rsid w:val="00E36FE8"/>
    <w:rsid w:val="00E370DE"/>
    <w:rsid w:val="00E376AE"/>
    <w:rsid w:val="00E401E1"/>
    <w:rsid w:val="00E416F3"/>
    <w:rsid w:val="00E4176C"/>
    <w:rsid w:val="00E41CDD"/>
    <w:rsid w:val="00E42238"/>
    <w:rsid w:val="00E43C7D"/>
    <w:rsid w:val="00E45333"/>
    <w:rsid w:val="00E45E1B"/>
    <w:rsid w:val="00E45E93"/>
    <w:rsid w:val="00E46486"/>
    <w:rsid w:val="00E46A1C"/>
    <w:rsid w:val="00E47497"/>
    <w:rsid w:val="00E476BE"/>
    <w:rsid w:val="00E50BBE"/>
    <w:rsid w:val="00E50C81"/>
    <w:rsid w:val="00E50EC9"/>
    <w:rsid w:val="00E51013"/>
    <w:rsid w:val="00E52098"/>
    <w:rsid w:val="00E52825"/>
    <w:rsid w:val="00E52E12"/>
    <w:rsid w:val="00E52FBA"/>
    <w:rsid w:val="00E55006"/>
    <w:rsid w:val="00E55090"/>
    <w:rsid w:val="00E551BA"/>
    <w:rsid w:val="00E56440"/>
    <w:rsid w:val="00E57360"/>
    <w:rsid w:val="00E60251"/>
    <w:rsid w:val="00E6070D"/>
    <w:rsid w:val="00E6074A"/>
    <w:rsid w:val="00E61091"/>
    <w:rsid w:val="00E6113A"/>
    <w:rsid w:val="00E61981"/>
    <w:rsid w:val="00E61A71"/>
    <w:rsid w:val="00E6286F"/>
    <w:rsid w:val="00E6310E"/>
    <w:rsid w:val="00E63F3A"/>
    <w:rsid w:val="00E64148"/>
    <w:rsid w:val="00E642CF"/>
    <w:rsid w:val="00E6469F"/>
    <w:rsid w:val="00E64882"/>
    <w:rsid w:val="00E64F81"/>
    <w:rsid w:val="00E65A29"/>
    <w:rsid w:val="00E6638F"/>
    <w:rsid w:val="00E66A6B"/>
    <w:rsid w:val="00E66FE7"/>
    <w:rsid w:val="00E67D3F"/>
    <w:rsid w:val="00E7014C"/>
    <w:rsid w:val="00E71F86"/>
    <w:rsid w:val="00E73500"/>
    <w:rsid w:val="00E748B6"/>
    <w:rsid w:val="00E74D88"/>
    <w:rsid w:val="00E75231"/>
    <w:rsid w:val="00E759E0"/>
    <w:rsid w:val="00E75D21"/>
    <w:rsid w:val="00E76074"/>
    <w:rsid w:val="00E7706A"/>
    <w:rsid w:val="00E77E1B"/>
    <w:rsid w:val="00E77F44"/>
    <w:rsid w:val="00E80289"/>
    <w:rsid w:val="00E80EA5"/>
    <w:rsid w:val="00E81D8B"/>
    <w:rsid w:val="00E83024"/>
    <w:rsid w:val="00E8306F"/>
    <w:rsid w:val="00E831A1"/>
    <w:rsid w:val="00E831CD"/>
    <w:rsid w:val="00E84844"/>
    <w:rsid w:val="00E84A2A"/>
    <w:rsid w:val="00E852F7"/>
    <w:rsid w:val="00E8634D"/>
    <w:rsid w:val="00E909AD"/>
    <w:rsid w:val="00E92236"/>
    <w:rsid w:val="00E92BD1"/>
    <w:rsid w:val="00E92D17"/>
    <w:rsid w:val="00E92E8B"/>
    <w:rsid w:val="00E93482"/>
    <w:rsid w:val="00E93A5A"/>
    <w:rsid w:val="00E93F20"/>
    <w:rsid w:val="00E955D3"/>
    <w:rsid w:val="00E95CD1"/>
    <w:rsid w:val="00E96075"/>
    <w:rsid w:val="00E967C5"/>
    <w:rsid w:val="00E967E0"/>
    <w:rsid w:val="00E9719F"/>
    <w:rsid w:val="00E97795"/>
    <w:rsid w:val="00E977CA"/>
    <w:rsid w:val="00E97D26"/>
    <w:rsid w:val="00EA1DF4"/>
    <w:rsid w:val="00EA412F"/>
    <w:rsid w:val="00EA50DB"/>
    <w:rsid w:val="00EA59D5"/>
    <w:rsid w:val="00EA5F01"/>
    <w:rsid w:val="00EA7D93"/>
    <w:rsid w:val="00EB05C9"/>
    <w:rsid w:val="00EB0B6F"/>
    <w:rsid w:val="00EB135D"/>
    <w:rsid w:val="00EB233F"/>
    <w:rsid w:val="00EB2942"/>
    <w:rsid w:val="00EB32EB"/>
    <w:rsid w:val="00EB34DA"/>
    <w:rsid w:val="00EB3AEE"/>
    <w:rsid w:val="00EB438F"/>
    <w:rsid w:val="00EB46C3"/>
    <w:rsid w:val="00EB79B1"/>
    <w:rsid w:val="00EC0459"/>
    <w:rsid w:val="00EC10DB"/>
    <w:rsid w:val="00EC15C0"/>
    <w:rsid w:val="00EC1696"/>
    <w:rsid w:val="00EC1F40"/>
    <w:rsid w:val="00EC2C5A"/>
    <w:rsid w:val="00EC2EC1"/>
    <w:rsid w:val="00EC3068"/>
    <w:rsid w:val="00EC3A21"/>
    <w:rsid w:val="00EC4D44"/>
    <w:rsid w:val="00EC6689"/>
    <w:rsid w:val="00EC6F17"/>
    <w:rsid w:val="00EC72B7"/>
    <w:rsid w:val="00EC766E"/>
    <w:rsid w:val="00EC7C46"/>
    <w:rsid w:val="00EC7D6A"/>
    <w:rsid w:val="00ED16C9"/>
    <w:rsid w:val="00ED1A1B"/>
    <w:rsid w:val="00ED29A0"/>
    <w:rsid w:val="00ED2AA5"/>
    <w:rsid w:val="00ED3B93"/>
    <w:rsid w:val="00ED3CD9"/>
    <w:rsid w:val="00ED3D8F"/>
    <w:rsid w:val="00ED46D8"/>
    <w:rsid w:val="00ED4B9D"/>
    <w:rsid w:val="00ED4C50"/>
    <w:rsid w:val="00ED56D2"/>
    <w:rsid w:val="00ED5E3F"/>
    <w:rsid w:val="00ED7981"/>
    <w:rsid w:val="00ED7F29"/>
    <w:rsid w:val="00EE3B07"/>
    <w:rsid w:val="00EE465E"/>
    <w:rsid w:val="00EE47C0"/>
    <w:rsid w:val="00EE48E9"/>
    <w:rsid w:val="00EE4A5F"/>
    <w:rsid w:val="00EE61E6"/>
    <w:rsid w:val="00EF0209"/>
    <w:rsid w:val="00EF1064"/>
    <w:rsid w:val="00EF1E27"/>
    <w:rsid w:val="00EF36BD"/>
    <w:rsid w:val="00EF3AE2"/>
    <w:rsid w:val="00EF4060"/>
    <w:rsid w:val="00EF498F"/>
    <w:rsid w:val="00EF53E8"/>
    <w:rsid w:val="00EF6D30"/>
    <w:rsid w:val="00EF7060"/>
    <w:rsid w:val="00EF7F63"/>
    <w:rsid w:val="00F0089A"/>
    <w:rsid w:val="00F0266F"/>
    <w:rsid w:val="00F03179"/>
    <w:rsid w:val="00F0330C"/>
    <w:rsid w:val="00F04CDC"/>
    <w:rsid w:val="00F13AD6"/>
    <w:rsid w:val="00F15A11"/>
    <w:rsid w:val="00F172F8"/>
    <w:rsid w:val="00F20552"/>
    <w:rsid w:val="00F2220C"/>
    <w:rsid w:val="00F22402"/>
    <w:rsid w:val="00F22E76"/>
    <w:rsid w:val="00F2365A"/>
    <w:rsid w:val="00F23704"/>
    <w:rsid w:val="00F23BC9"/>
    <w:rsid w:val="00F243A1"/>
    <w:rsid w:val="00F250E0"/>
    <w:rsid w:val="00F25B7A"/>
    <w:rsid w:val="00F26675"/>
    <w:rsid w:val="00F26F9E"/>
    <w:rsid w:val="00F27133"/>
    <w:rsid w:val="00F271EC"/>
    <w:rsid w:val="00F27543"/>
    <w:rsid w:val="00F27561"/>
    <w:rsid w:val="00F30C2C"/>
    <w:rsid w:val="00F3157F"/>
    <w:rsid w:val="00F31C6A"/>
    <w:rsid w:val="00F31F98"/>
    <w:rsid w:val="00F329BE"/>
    <w:rsid w:val="00F329E0"/>
    <w:rsid w:val="00F32D30"/>
    <w:rsid w:val="00F337F4"/>
    <w:rsid w:val="00F357F4"/>
    <w:rsid w:val="00F36022"/>
    <w:rsid w:val="00F36136"/>
    <w:rsid w:val="00F36A22"/>
    <w:rsid w:val="00F401A6"/>
    <w:rsid w:val="00F403B5"/>
    <w:rsid w:val="00F40493"/>
    <w:rsid w:val="00F417D6"/>
    <w:rsid w:val="00F41935"/>
    <w:rsid w:val="00F41BF5"/>
    <w:rsid w:val="00F421DE"/>
    <w:rsid w:val="00F42359"/>
    <w:rsid w:val="00F44029"/>
    <w:rsid w:val="00F44856"/>
    <w:rsid w:val="00F45003"/>
    <w:rsid w:val="00F45AD8"/>
    <w:rsid w:val="00F46128"/>
    <w:rsid w:val="00F463F2"/>
    <w:rsid w:val="00F4675F"/>
    <w:rsid w:val="00F47C5F"/>
    <w:rsid w:val="00F50D26"/>
    <w:rsid w:val="00F518CF"/>
    <w:rsid w:val="00F519AB"/>
    <w:rsid w:val="00F51F05"/>
    <w:rsid w:val="00F52E61"/>
    <w:rsid w:val="00F53234"/>
    <w:rsid w:val="00F5335F"/>
    <w:rsid w:val="00F53B2A"/>
    <w:rsid w:val="00F53BF4"/>
    <w:rsid w:val="00F53F8C"/>
    <w:rsid w:val="00F54241"/>
    <w:rsid w:val="00F558C8"/>
    <w:rsid w:val="00F5780E"/>
    <w:rsid w:val="00F5792F"/>
    <w:rsid w:val="00F606FC"/>
    <w:rsid w:val="00F60BDD"/>
    <w:rsid w:val="00F60EF2"/>
    <w:rsid w:val="00F61895"/>
    <w:rsid w:val="00F626E6"/>
    <w:rsid w:val="00F627AB"/>
    <w:rsid w:val="00F62A50"/>
    <w:rsid w:val="00F6351B"/>
    <w:rsid w:val="00F6457C"/>
    <w:rsid w:val="00F6483D"/>
    <w:rsid w:val="00F64B2B"/>
    <w:rsid w:val="00F6667B"/>
    <w:rsid w:val="00F66775"/>
    <w:rsid w:val="00F66B30"/>
    <w:rsid w:val="00F670B0"/>
    <w:rsid w:val="00F70135"/>
    <w:rsid w:val="00F7042F"/>
    <w:rsid w:val="00F726E3"/>
    <w:rsid w:val="00F72BA1"/>
    <w:rsid w:val="00F73248"/>
    <w:rsid w:val="00F73BA9"/>
    <w:rsid w:val="00F73CE3"/>
    <w:rsid w:val="00F7412B"/>
    <w:rsid w:val="00F742E0"/>
    <w:rsid w:val="00F7497A"/>
    <w:rsid w:val="00F75169"/>
    <w:rsid w:val="00F75C1A"/>
    <w:rsid w:val="00F75E74"/>
    <w:rsid w:val="00F761B2"/>
    <w:rsid w:val="00F77EA1"/>
    <w:rsid w:val="00F805C5"/>
    <w:rsid w:val="00F808B6"/>
    <w:rsid w:val="00F80E40"/>
    <w:rsid w:val="00F811F7"/>
    <w:rsid w:val="00F81425"/>
    <w:rsid w:val="00F81F06"/>
    <w:rsid w:val="00F820FB"/>
    <w:rsid w:val="00F8319B"/>
    <w:rsid w:val="00F841EB"/>
    <w:rsid w:val="00F843AF"/>
    <w:rsid w:val="00F84AC2"/>
    <w:rsid w:val="00F85232"/>
    <w:rsid w:val="00F86DF2"/>
    <w:rsid w:val="00F87106"/>
    <w:rsid w:val="00F9206C"/>
    <w:rsid w:val="00F937AD"/>
    <w:rsid w:val="00F94BD0"/>
    <w:rsid w:val="00F95553"/>
    <w:rsid w:val="00F965E9"/>
    <w:rsid w:val="00FA267A"/>
    <w:rsid w:val="00FA2852"/>
    <w:rsid w:val="00FA293A"/>
    <w:rsid w:val="00FA2FCD"/>
    <w:rsid w:val="00FA3A4A"/>
    <w:rsid w:val="00FA40CB"/>
    <w:rsid w:val="00FA56D8"/>
    <w:rsid w:val="00FA6141"/>
    <w:rsid w:val="00FA64C4"/>
    <w:rsid w:val="00FA6CF2"/>
    <w:rsid w:val="00FA75BE"/>
    <w:rsid w:val="00FA79DF"/>
    <w:rsid w:val="00FB04B8"/>
    <w:rsid w:val="00FB0DA8"/>
    <w:rsid w:val="00FB20E6"/>
    <w:rsid w:val="00FB25B0"/>
    <w:rsid w:val="00FB31C0"/>
    <w:rsid w:val="00FB3760"/>
    <w:rsid w:val="00FB3B97"/>
    <w:rsid w:val="00FB3F5B"/>
    <w:rsid w:val="00FB4A55"/>
    <w:rsid w:val="00FB4E13"/>
    <w:rsid w:val="00FB59B7"/>
    <w:rsid w:val="00FB749A"/>
    <w:rsid w:val="00FC028C"/>
    <w:rsid w:val="00FC0A0A"/>
    <w:rsid w:val="00FC1EDE"/>
    <w:rsid w:val="00FC32E9"/>
    <w:rsid w:val="00FC3D3E"/>
    <w:rsid w:val="00FC3FED"/>
    <w:rsid w:val="00FC4060"/>
    <w:rsid w:val="00FC40F8"/>
    <w:rsid w:val="00FC4256"/>
    <w:rsid w:val="00FC4D18"/>
    <w:rsid w:val="00FC7AA4"/>
    <w:rsid w:val="00FC7BF0"/>
    <w:rsid w:val="00FD00FC"/>
    <w:rsid w:val="00FD227B"/>
    <w:rsid w:val="00FD2534"/>
    <w:rsid w:val="00FD334D"/>
    <w:rsid w:val="00FD4492"/>
    <w:rsid w:val="00FD45AA"/>
    <w:rsid w:val="00FD5EB0"/>
    <w:rsid w:val="00FD7966"/>
    <w:rsid w:val="00FD79E4"/>
    <w:rsid w:val="00FE2219"/>
    <w:rsid w:val="00FE4FE3"/>
    <w:rsid w:val="00FE6634"/>
    <w:rsid w:val="00FE7D00"/>
    <w:rsid w:val="00FE7E7D"/>
    <w:rsid w:val="00FF0C3C"/>
    <w:rsid w:val="00FF0FF1"/>
    <w:rsid w:val="00FF10A4"/>
    <w:rsid w:val="00FF1D1E"/>
    <w:rsid w:val="00FF21D3"/>
    <w:rsid w:val="00FF276D"/>
    <w:rsid w:val="00FF280A"/>
    <w:rsid w:val="00FF3142"/>
    <w:rsid w:val="00FF445D"/>
    <w:rsid w:val="00FF4717"/>
    <w:rsid w:val="00FF492F"/>
    <w:rsid w:val="00FF59BD"/>
    <w:rsid w:val="00FF6557"/>
    <w:rsid w:val="00FF7071"/>
    <w:rsid w:val="00FF7E4C"/>
    <w:rsid w:val="010675E4"/>
    <w:rsid w:val="015613BD"/>
    <w:rsid w:val="01A852E4"/>
    <w:rsid w:val="0247571E"/>
    <w:rsid w:val="024B6A8B"/>
    <w:rsid w:val="028D2B73"/>
    <w:rsid w:val="02C62D38"/>
    <w:rsid w:val="0351309F"/>
    <w:rsid w:val="035305B6"/>
    <w:rsid w:val="037B4105"/>
    <w:rsid w:val="042F133F"/>
    <w:rsid w:val="04697D8B"/>
    <w:rsid w:val="048D2352"/>
    <w:rsid w:val="04D74434"/>
    <w:rsid w:val="05D76090"/>
    <w:rsid w:val="06903CDE"/>
    <w:rsid w:val="06AE21BD"/>
    <w:rsid w:val="06E7116E"/>
    <w:rsid w:val="07EB7DC3"/>
    <w:rsid w:val="080160D7"/>
    <w:rsid w:val="08D6359D"/>
    <w:rsid w:val="098457C9"/>
    <w:rsid w:val="09A45ADE"/>
    <w:rsid w:val="09A77535"/>
    <w:rsid w:val="09A96933"/>
    <w:rsid w:val="09B53A16"/>
    <w:rsid w:val="09EA224D"/>
    <w:rsid w:val="0A0F1CF8"/>
    <w:rsid w:val="0AA91617"/>
    <w:rsid w:val="0C593DF4"/>
    <w:rsid w:val="0C7E14BA"/>
    <w:rsid w:val="0D073A4F"/>
    <w:rsid w:val="0D097FE8"/>
    <w:rsid w:val="0D35400E"/>
    <w:rsid w:val="0D8D5628"/>
    <w:rsid w:val="0DB8346E"/>
    <w:rsid w:val="0DF72906"/>
    <w:rsid w:val="0E647BFB"/>
    <w:rsid w:val="0F0D6036"/>
    <w:rsid w:val="0F153214"/>
    <w:rsid w:val="0FF15E86"/>
    <w:rsid w:val="10030913"/>
    <w:rsid w:val="101F3007"/>
    <w:rsid w:val="11492918"/>
    <w:rsid w:val="11691174"/>
    <w:rsid w:val="11887BD6"/>
    <w:rsid w:val="119B7B84"/>
    <w:rsid w:val="11D976D9"/>
    <w:rsid w:val="12F83D06"/>
    <w:rsid w:val="131808D4"/>
    <w:rsid w:val="138F0176"/>
    <w:rsid w:val="139F26CF"/>
    <w:rsid w:val="13B8256C"/>
    <w:rsid w:val="13CC3D7D"/>
    <w:rsid w:val="13CC46FD"/>
    <w:rsid w:val="13FE688A"/>
    <w:rsid w:val="140A0E82"/>
    <w:rsid w:val="14A913ED"/>
    <w:rsid w:val="152310C9"/>
    <w:rsid w:val="154D44BF"/>
    <w:rsid w:val="15A074FD"/>
    <w:rsid w:val="15B926AA"/>
    <w:rsid w:val="15CE43F4"/>
    <w:rsid w:val="16371D22"/>
    <w:rsid w:val="16412AB2"/>
    <w:rsid w:val="16C70532"/>
    <w:rsid w:val="17481D5A"/>
    <w:rsid w:val="17762D47"/>
    <w:rsid w:val="17ED2CC0"/>
    <w:rsid w:val="18AC6F2A"/>
    <w:rsid w:val="18E239DF"/>
    <w:rsid w:val="19731662"/>
    <w:rsid w:val="19A307B4"/>
    <w:rsid w:val="19A71753"/>
    <w:rsid w:val="1A33236A"/>
    <w:rsid w:val="1ADF64AF"/>
    <w:rsid w:val="1B7E6301"/>
    <w:rsid w:val="1BCE0272"/>
    <w:rsid w:val="1BFC23B9"/>
    <w:rsid w:val="1DB533AC"/>
    <w:rsid w:val="1DE7287B"/>
    <w:rsid w:val="1E2C4276"/>
    <w:rsid w:val="1E8A5B0F"/>
    <w:rsid w:val="1EB00D01"/>
    <w:rsid w:val="1ECD1AAC"/>
    <w:rsid w:val="1ED61EF4"/>
    <w:rsid w:val="1FB6273D"/>
    <w:rsid w:val="1FC87E04"/>
    <w:rsid w:val="1FC95A05"/>
    <w:rsid w:val="1FE858D4"/>
    <w:rsid w:val="200945D4"/>
    <w:rsid w:val="20E02517"/>
    <w:rsid w:val="20F252F1"/>
    <w:rsid w:val="21632116"/>
    <w:rsid w:val="21BE5DDF"/>
    <w:rsid w:val="21D46CFD"/>
    <w:rsid w:val="21ED1366"/>
    <w:rsid w:val="229618F0"/>
    <w:rsid w:val="23185D58"/>
    <w:rsid w:val="23D5447D"/>
    <w:rsid w:val="253900FC"/>
    <w:rsid w:val="255F43DE"/>
    <w:rsid w:val="25601E85"/>
    <w:rsid w:val="25726ED5"/>
    <w:rsid w:val="257F7452"/>
    <w:rsid w:val="26514E03"/>
    <w:rsid w:val="267D53E1"/>
    <w:rsid w:val="273B130F"/>
    <w:rsid w:val="274A6988"/>
    <w:rsid w:val="276E2AD2"/>
    <w:rsid w:val="280F0A25"/>
    <w:rsid w:val="2821754A"/>
    <w:rsid w:val="28501466"/>
    <w:rsid w:val="285C3438"/>
    <w:rsid w:val="28624616"/>
    <w:rsid w:val="28FD20BC"/>
    <w:rsid w:val="2A2165F9"/>
    <w:rsid w:val="2A485A14"/>
    <w:rsid w:val="2A723802"/>
    <w:rsid w:val="2AC51396"/>
    <w:rsid w:val="2B0924A5"/>
    <w:rsid w:val="2B1E5F6D"/>
    <w:rsid w:val="2B385C22"/>
    <w:rsid w:val="2B410CA2"/>
    <w:rsid w:val="2B680ED5"/>
    <w:rsid w:val="2B8D3D1F"/>
    <w:rsid w:val="2B9D7689"/>
    <w:rsid w:val="2C2A28A3"/>
    <w:rsid w:val="2C4D2473"/>
    <w:rsid w:val="2CD409F9"/>
    <w:rsid w:val="2DEA4D17"/>
    <w:rsid w:val="2E237AC8"/>
    <w:rsid w:val="2E270332"/>
    <w:rsid w:val="2E5104B7"/>
    <w:rsid w:val="2EDF5FE0"/>
    <w:rsid w:val="2EE54B1B"/>
    <w:rsid w:val="2F416617"/>
    <w:rsid w:val="2F4C0751"/>
    <w:rsid w:val="31043B64"/>
    <w:rsid w:val="319859FB"/>
    <w:rsid w:val="31C52497"/>
    <w:rsid w:val="32523B47"/>
    <w:rsid w:val="325359AF"/>
    <w:rsid w:val="32815B22"/>
    <w:rsid w:val="32A6050E"/>
    <w:rsid w:val="334E1E6F"/>
    <w:rsid w:val="340D0B39"/>
    <w:rsid w:val="342F42FD"/>
    <w:rsid w:val="346309EA"/>
    <w:rsid w:val="34D2031F"/>
    <w:rsid w:val="354A18E5"/>
    <w:rsid w:val="3568678B"/>
    <w:rsid w:val="358E664E"/>
    <w:rsid w:val="3597485F"/>
    <w:rsid w:val="35A16CAA"/>
    <w:rsid w:val="35B92865"/>
    <w:rsid w:val="36006AA2"/>
    <w:rsid w:val="361F1970"/>
    <w:rsid w:val="362545B2"/>
    <w:rsid w:val="364C5819"/>
    <w:rsid w:val="3707400B"/>
    <w:rsid w:val="372D2391"/>
    <w:rsid w:val="373B2DD2"/>
    <w:rsid w:val="37493CDB"/>
    <w:rsid w:val="37784633"/>
    <w:rsid w:val="37F029D1"/>
    <w:rsid w:val="384950E9"/>
    <w:rsid w:val="38944946"/>
    <w:rsid w:val="38E05B31"/>
    <w:rsid w:val="3A0021AB"/>
    <w:rsid w:val="3A2471C5"/>
    <w:rsid w:val="3A251CB6"/>
    <w:rsid w:val="3A276ACA"/>
    <w:rsid w:val="3B0A31E5"/>
    <w:rsid w:val="3B295CF9"/>
    <w:rsid w:val="3B3917D8"/>
    <w:rsid w:val="3B8806FB"/>
    <w:rsid w:val="3B9A0E78"/>
    <w:rsid w:val="3BE420BE"/>
    <w:rsid w:val="3C464194"/>
    <w:rsid w:val="3CE328EC"/>
    <w:rsid w:val="3CE960DF"/>
    <w:rsid w:val="3CFE4DF8"/>
    <w:rsid w:val="3D1C35FF"/>
    <w:rsid w:val="3D263D9E"/>
    <w:rsid w:val="3D7C3EE4"/>
    <w:rsid w:val="3D8203FE"/>
    <w:rsid w:val="3D827C48"/>
    <w:rsid w:val="3D93025E"/>
    <w:rsid w:val="3DC07E1B"/>
    <w:rsid w:val="3E226464"/>
    <w:rsid w:val="3E4678F2"/>
    <w:rsid w:val="3EC11E2A"/>
    <w:rsid w:val="3EE71A82"/>
    <w:rsid w:val="3F1437C3"/>
    <w:rsid w:val="3F382BA3"/>
    <w:rsid w:val="3F6E5C6F"/>
    <w:rsid w:val="3FAE7BB3"/>
    <w:rsid w:val="3FF20847"/>
    <w:rsid w:val="3FF64CAA"/>
    <w:rsid w:val="40175DE7"/>
    <w:rsid w:val="419E3F52"/>
    <w:rsid w:val="420846B1"/>
    <w:rsid w:val="42825077"/>
    <w:rsid w:val="42A02CC7"/>
    <w:rsid w:val="42F57284"/>
    <w:rsid w:val="433018C0"/>
    <w:rsid w:val="43647168"/>
    <w:rsid w:val="439F621A"/>
    <w:rsid w:val="44A15CFC"/>
    <w:rsid w:val="44D43096"/>
    <w:rsid w:val="45D5164D"/>
    <w:rsid w:val="46356DBD"/>
    <w:rsid w:val="470600D6"/>
    <w:rsid w:val="470F53B4"/>
    <w:rsid w:val="47140783"/>
    <w:rsid w:val="473E2F55"/>
    <w:rsid w:val="477910D7"/>
    <w:rsid w:val="477A45DF"/>
    <w:rsid w:val="47CC1A00"/>
    <w:rsid w:val="47E866A4"/>
    <w:rsid w:val="48061D28"/>
    <w:rsid w:val="48481ED3"/>
    <w:rsid w:val="492762A5"/>
    <w:rsid w:val="49560919"/>
    <w:rsid w:val="495E295A"/>
    <w:rsid w:val="49797A99"/>
    <w:rsid w:val="498C2FDB"/>
    <w:rsid w:val="49FA2080"/>
    <w:rsid w:val="4A1A2982"/>
    <w:rsid w:val="4A5E71E4"/>
    <w:rsid w:val="4A616042"/>
    <w:rsid w:val="4A785106"/>
    <w:rsid w:val="4A803C4E"/>
    <w:rsid w:val="4BDB69AE"/>
    <w:rsid w:val="4C7C2705"/>
    <w:rsid w:val="4D5717F6"/>
    <w:rsid w:val="4D6729E6"/>
    <w:rsid w:val="4DD469A4"/>
    <w:rsid w:val="4E3F0650"/>
    <w:rsid w:val="4E626E89"/>
    <w:rsid w:val="4ED17E86"/>
    <w:rsid w:val="504F774F"/>
    <w:rsid w:val="507E6620"/>
    <w:rsid w:val="50902BDC"/>
    <w:rsid w:val="510C254E"/>
    <w:rsid w:val="513B3DE8"/>
    <w:rsid w:val="517D258E"/>
    <w:rsid w:val="521438A3"/>
    <w:rsid w:val="523A2CD9"/>
    <w:rsid w:val="524F1695"/>
    <w:rsid w:val="5263655C"/>
    <w:rsid w:val="53167B59"/>
    <w:rsid w:val="539E6ED3"/>
    <w:rsid w:val="53B40875"/>
    <w:rsid w:val="549116EC"/>
    <w:rsid w:val="54C57810"/>
    <w:rsid w:val="54DF4DB1"/>
    <w:rsid w:val="552527F2"/>
    <w:rsid w:val="556F0A68"/>
    <w:rsid w:val="559D4824"/>
    <w:rsid w:val="56206FBE"/>
    <w:rsid w:val="56B17F2A"/>
    <w:rsid w:val="56B60641"/>
    <w:rsid w:val="581B1D7F"/>
    <w:rsid w:val="5867237A"/>
    <w:rsid w:val="58D72DDD"/>
    <w:rsid w:val="58FA179C"/>
    <w:rsid w:val="58FB73E0"/>
    <w:rsid w:val="5938508C"/>
    <w:rsid w:val="598250C0"/>
    <w:rsid w:val="59B84577"/>
    <w:rsid w:val="59D5345C"/>
    <w:rsid w:val="5A2F7B0B"/>
    <w:rsid w:val="5A6C3FE4"/>
    <w:rsid w:val="5A78501B"/>
    <w:rsid w:val="5AEE261A"/>
    <w:rsid w:val="5AFC1395"/>
    <w:rsid w:val="5B207691"/>
    <w:rsid w:val="5B3C405A"/>
    <w:rsid w:val="5B452973"/>
    <w:rsid w:val="5B901C80"/>
    <w:rsid w:val="5BB946FA"/>
    <w:rsid w:val="5C245A00"/>
    <w:rsid w:val="5C6807B2"/>
    <w:rsid w:val="5C791733"/>
    <w:rsid w:val="5C926CE1"/>
    <w:rsid w:val="5CAE2343"/>
    <w:rsid w:val="5CD822AD"/>
    <w:rsid w:val="5CE41AA9"/>
    <w:rsid w:val="5D725010"/>
    <w:rsid w:val="5DB2588D"/>
    <w:rsid w:val="5DF55837"/>
    <w:rsid w:val="5DFD6409"/>
    <w:rsid w:val="5E9C01A8"/>
    <w:rsid w:val="5E9D5BA9"/>
    <w:rsid w:val="5F796B20"/>
    <w:rsid w:val="5F851100"/>
    <w:rsid w:val="5FD02C0B"/>
    <w:rsid w:val="60043E04"/>
    <w:rsid w:val="60470727"/>
    <w:rsid w:val="6049170A"/>
    <w:rsid w:val="605E4162"/>
    <w:rsid w:val="60D25245"/>
    <w:rsid w:val="60DD29E9"/>
    <w:rsid w:val="617607E3"/>
    <w:rsid w:val="61A275B6"/>
    <w:rsid w:val="61A559DB"/>
    <w:rsid w:val="62262F3F"/>
    <w:rsid w:val="622D52C2"/>
    <w:rsid w:val="623419A2"/>
    <w:rsid w:val="62404985"/>
    <w:rsid w:val="62AB08B8"/>
    <w:rsid w:val="63001650"/>
    <w:rsid w:val="630E52AB"/>
    <w:rsid w:val="6320712F"/>
    <w:rsid w:val="635230A5"/>
    <w:rsid w:val="63CC3F7A"/>
    <w:rsid w:val="63DC4EF4"/>
    <w:rsid w:val="640527D8"/>
    <w:rsid w:val="641C4C96"/>
    <w:rsid w:val="642178BE"/>
    <w:rsid w:val="657800AA"/>
    <w:rsid w:val="65946A15"/>
    <w:rsid w:val="65A46433"/>
    <w:rsid w:val="65B61A34"/>
    <w:rsid w:val="66784712"/>
    <w:rsid w:val="669E200A"/>
    <w:rsid w:val="66C06727"/>
    <w:rsid w:val="66D373C2"/>
    <w:rsid w:val="674D182C"/>
    <w:rsid w:val="67E243CA"/>
    <w:rsid w:val="682F594A"/>
    <w:rsid w:val="68307824"/>
    <w:rsid w:val="68354DFF"/>
    <w:rsid w:val="68684902"/>
    <w:rsid w:val="6882719D"/>
    <w:rsid w:val="68DC0CA7"/>
    <w:rsid w:val="692754F8"/>
    <w:rsid w:val="692E0A1C"/>
    <w:rsid w:val="699E34C2"/>
    <w:rsid w:val="69E13B61"/>
    <w:rsid w:val="69F54093"/>
    <w:rsid w:val="6A2E4D24"/>
    <w:rsid w:val="6A48567C"/>
    <w:rsid w:val="6AAC6606"/>
    <w:rsid w:val="6B165B32"/>
    <w:rsid w:val="6B7B1AB7"/>
    <w:rsid w:val="6B9D5C7B"/>
    <w:rsid w:val="6BF70D3A"/>
    <w:rsid w:val="6C1F4B1F"/>
    <w:rsid w:val="6C7322B6"/>
    <w:rsid w:val="6C827571"/>
    <w:rsid w:val="6CE967D7"/>
    <w:rsid w:val="6D4D3326"/>
    <w:rsid w:val="6D8F052D"/>
    <w:rsid w:val="6E3A71AC"/>
    <w:rsid w:val="6EBC5D90"/>
    <w:rsid w:val="6ED8560D"/>
    <w:rsid w:val="6F3F3257"/>
    <w:rsid w:val="6F4E29B5"/>
    <w:rsid w:val="6F542831"/>
    <w:rsid w:val="6F6A0B0C"/>
    <w:rsid w:val="6F7A2787"/>
    <w:rsid w:val="70003D42"/>
    <w:rsid w:val="71653C83"/>
    <w:rsid w:val="71A94153"/>
    <w:rsid w:val="71C01504"/>
    <w:rsid w:val="71D71747"/>
    <w:rsid w:val="72144068"/>
    <w:rsid w:val="7263227E"/>
    <w:rsid w:val="72D046FD"/>
    <w:rsid w:val="73706720"/>
    <w:rsid w:val="7374673A"/>
    <w:rsid w:val="741C4839"/>
    <w:rsid w:val="74710498"/>
    <w:rsid w:val="748C1059"/>
    <w:rsid w:val="74B66E74"/>
    <w:rsid w:val="7504251A"/>
    <w:rsid w:val="75AC12D3"/>
    <w:rsid w:val="76023CF5"/>
    <w:rsid w:val="76312A35"/>
    <w:rsid w:val="766B211C"/>
    <w:rsid w:val="76C857D8"/>
    <w:rsid w:val="76DD66EB"/>
    <w:rsid w:val="76E43B4E"/>
    <w:rsid w:val="76F86EF8"/>
    <w:rsid w:val="76FB6594"/>
    <w:rsid w:val="772F620C"/>
    <w:rsid w:val="77541932"/>
    <w:rsid w:val="778A2959"/>
    <w:rsid w:val="77AC3A62"/>
    <w:rsid w:val="780A5F74"/>
    <w:rsid w:val="7885659D"/>
    <w:rsid w:val="78AD27C2"/>
    <w:rsid w:val="78C95FEF"/>
    <w:rsid w:val="78DD0BDC"/>
    <w:rsid w:val="79487A52"/>
    <w:rsid w:val="79FC624F"/>
    <w:rsid w:val="7A8A730B"/>
    <w:rsid w:val="7A95464C"/>
    <w:rsid w:val="7AAF4770"/>
    <w:rsid w:val="7B3D1E1B"/>
    <w:rsid w:val="7B8A63FB"/>
    <w:rsid w:val="7BBA3898"/>
    <w:rsid w:val="7BFB4E64"/>
    <w:rsid w:val="7C4657EA"/>
    <w:rsid w:val="7CB25A07"/>
    <w:rsid w:val="7CDB66AB"/>
    <w:rsid w:val="7D582688"/>
    <w:rsid w:val="7D9C353C"/>
    <w:rsid w:val="7DB9078A"/>
    <w:rsid w:val="7DC253B7"/>
    <w:rsid w:val="7E2D2DC8"/>
    <w:rsid w:val="7E53628C"/>
    <w:rsid w:val="7E8451FE"/>
    <w:rsid w:val="7E880F0D"/>
    <w:rsid w:val="7EED0CF0"/>
    <w:rsid w:val="7EF6619E"/>
    <w:rsid w:val="7F0B3246"/>
    <w:rsid w:val="7F1C7FA4"/>
    <w:rsid w:val="7F6A2D06"/>
    <w:rsid w:val="7FEC1147"/>
    <w:rsid w:val="7FED70E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ocked="1"/>
    <w:lsdException w:qFormat="1" w:unhideWhenUsed="0" w:uiPriority="0" w:semiHidden="0" w:name="Emphasis"/>
    <w:lsdException w:qFormat="1" w:unhideWhenUsed="0" w:uiPriority="99" w:name="Document Map"/>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9"/>
    <w:qFormat/>
    <w:uiPriority w:val="99"/>
    <w:pPr>
      <w:keepNext/>
      <w:keepLines/>
      <w:spacing w:before="340" w:after="330" w:line="578" w:lineRule="auto"/>
      <w:jc w:val="center"/>
      <w:outlineLvl w:val="0"/>
    </w:pPr>
    <w:rPr>
      <w:rFonts w:eastAsia="方正小标宋_GBK"/>
      <w:bCs/>
      <w:kern w:val="44"/>
      <w:sz w:val="44"/>
      <w:szCs w:val="44"/>
    </w:rPr>
  </w:style>
  <w:style w:type="paragraph" w:styleId="3">
    <w:name w:val="heading 2"/>
    <w:basedOn w:val="1"/>
    <w:next w:val="1"/>
    <w:link w:val="30"/>
    <w:qFormat/>
    <w:uiPriority w:val="99"/>
    <w:pPr>
      <w:keepNext/>
      <w:keepLines/>
      <w:spacing w:before="260" w:after="260" w:line="416" w:lineRule="auto"/>
      <w:jc w:val="center"/>
      <w:outlineLvl w:val="1"/>
    </w:pPr>
    <w:rPr>
      <w:rFonts w:ascii="?? Light" w:hAnsi="?? Light" w:eastAsia="黑体" w:cs="Times New Roman"/>
      <w:bCs/>
      <w:sz w:val="32"/>
      <w:szCs w:val="32"/>
    </w:rPr>
  </w:style>
  <w:style w:type="paragraph" w:styleId="4">
    <w:name w:val="heading 3"/>
    <w:basedOn w:val="1"/>
    <w:next w:val="1"/>
    <w:link w:val="31"/>
    <w:qFormat/>
    <w:uiPriority w:val="99"/>
    <w:pPr>
      <w:keepNext/>
      <w:keepLines/>
      <w:spacing w:before="260" w:after="260" w:line="416" w:lineRule="auto"/>
      <w:jc w:val="center"/>
      <w:outlineLvl w:val="2"/>
    </w:pPr>
    <w:rPr>
      <w:rFonts w:eastAsia="楷体"/>
      <w:bCs/>
      <w:sz w:val="32"/>
      <w:szCs w:val="32"/>
    </w:rPr>
  </w:style>
  <w:style w:type="character" w:default="1" w:styleId="24">
    <w:name w:val="Default Paragraph Font"/>
    <w:semiHidden/>
    <w:qFormat/>
    <w:uiPriority w:val="99"/>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99"/>
    <w:pPr>
      <w:ind w:left="1260"/>
      <w:jc w:val="left"/>
    </w:pPr>
    <w:rPr>
      <w:rFonts w:ascii="??" w:eastAsia="Times New Roman"/>
      <w:sz w:val="18"/>
      <w:szCs w:val="18"/>
    </w:rPr>
  </w:style>
  <w:style w:type="paragraph" w:styleId="6">
    <w:name w:val="Document Map"/>
    <w:basedOn w:val="1"/>
    <w:link w:val="32"/>
    <w:semiHidden/>
    <w:qFormat/>
    <w:uiPriority w:val="99"/>
    <w:rPr>
      <w:rFonts w:ascii="Times New Roman" w:hAnsi="Times New Roman" w:cs="Times New Roman"/>
      <w:sz w:val="24"/>
      <w:szCs w:val="24"/>
    </w:rPr>
  </w:style>
  <w:style w:type="paragraph" w:styleId="7">
    <w:name w:val="annotation text"/>
    <w:basedOn w:val="1"/>
    <w:link w:val="33"/>
    <w:qFormat/>
    <w:uiPriority w:val="99"/>
    <w:pPr>
      <w:jc w:val="left"/>
    </w:pPr>
  </w:style>
  <w:style w:type="paragraph" w:styleId="8">
    <w:name w:val="Body Text"/>
    <w:basedOn w:val="1"/>
    <w:link w:val="34"/>
    <w:qFormat/>
    <w:uiPriority w:val="99"/>
    <w:rPr>
      <w:rFonts w:ascii="楷体_GB2312" w:hAnsi="Arial" w:eastAsia="楷体_GB2312" w:cs="Times New Roman"/>
      <w:kern w:val="0"/>
      <w:sz w:val="28"/>
      <w:szCs w:val="20"/>
      <w:lang w:val="zh-CN"/>
    </w:rPr>
  </w:style>
  <w:style w:type="paragraph" w:styleId="9">
    <w:name w:val="toc 5"/>
    <w:basedOn w:val="1"/>
    <w:next w:val="1"/>
    <w:qFormat/>
    <w:uiPriority w:val="99"/>
    <w:pPr>
      <w:ind w:left="840"/>
      <w:jc w:val="left"/>
    </w:pPr>
    <w:rPr>
      <w:rFonts w:ascii="??" w:eastAsia="Times New Roman"/>
      <w:sz w:val="18"/>
      <w:szCs w:val="18"/>
    </w:rPr>
  </w:style>
  <w:style w:type="paragraph" w:styleId="10">
    <w:name w:val="toc 3"/>
    <w:basedOn w:val="1"/>
    <w:next w:val="1"/>
    <w:qFormat/>
    <w:uiPriority w:val="99"/>
    <w:pPr>
      <w:ind w:left="420"/>
      <w:jc w:val="left"/>
    </w:pPr>
    <w:rPr>
      <w:rFonts w:ascii="??" w:eastAsia="Times New Roman"/>
      <w:i/>
      <w:sz w:val="22"/>
    </w:rPr>
  </w:style>
  <w:style w:type="paragraph" w:styleId="11">
    <w:name w:val="toc 8"/>
    <w:basedOn w:val="1"/>
    <w:next w:val="1"/>
    <w:qFormat/>
    <w:uiPriority w:val="99"/>
    <w:pPr>
      <w:ind w:left="1470"/>
      <w:jc w:val="left"/>
    </w:pPr>
    <w:rPr>
      <w:rFonts w:ascii="??" w:eastAsia="Times New Roman"/>
      <w:sz w:val="18"/>
      <w:szCs w:val="18"/>
    </w:rPr>
  </w:style>
  <w:style w:type="paragraph" w:styleId="12">
    <w:name w:val="Balloon Text"/>
    <w:basedOn w:val="1"/>
    <w:link w:val="35"/>
    <w:semiHidden/>
    <w:qFormat/>
    <w:uiPriority w:val="99"/>
    <w:rPr>
      <w:sz w:val="18"/>
      <w:szCs w:val="18"/>
    </w:rPr>
  </w:style>
  <w:style w:type="paragraph" w:styleId="13">
    <w:name w:val="footer"/>
    <w:basedOn w:val="1"/>
    <w:link w:val="36"/>
    <w:qFormat/>
    <w:uiPriority w:val="99"/>
    <w:pPr>
      <w:tabs>
        <w:tab w:val="center" w:pos="4153"/>
        <w:tab w:val="right" w:pos="8306"/>
      </w:tabs>
      <w:snapToGrid w:val="0"/>
      <w:jc w:val="left"/>
    </w:pPr>
    <w:rPr>
      <w:rFonts w:ascii="??" w:hAnsi="??" w:cs="Times New Roman"/>
      <w:sz w:val="18"/>
      <w:szCs w:val="18"/>
    </w:rPr>
  </w:style>
  <w:style w:type="paragraph" w:styleId="14">
    <w:name w:val="header"/>
    <w:basedOn w:val="1"/>
    <w:link w:val="37"/>
    <w:qFormat/>
    <w:uiPriority w:val="99"/>
    <w:pPr>
      <w:pBdr>
        <w:bottom w:val="single" w:color="auto" w:sz="6" w:space="1"/>
      </w:pBdr>
      <w:tabs>
        <w:tab w:val="center" w:pos="4153"/>
        <w:tab w:val="right" w:pos="8306"/>
      </w:tabs>
      <w:snapToGrid w:val="0"/>
      <w:jc w:val="center"/>
    </w:pPr>
    <w:rPr>
      <w:rFonts w:ascii="??" w:hAnsi="??" w:cs="Times New Roman"/>
      <w:sz w:val="18"/>
      <w:szCs w:val="18"/>
    </w:rPr>
  </w:style>
  <w:style w:type="paragraph" w:styleId="15">
    <w:name w:val="toc 1"/>
    <w:basedOn w:val="1"/>
    <w:next w:val="1"/>
    <w:qFormat/>
    <w:uiPriority w:val="99"/>
    <w:pPr>
      <w:tabs>
        <w:tab w:val="right" w:leader="dot" w:pos="8296"/>
      </w:tabs>
      <w:spacing w:before="120"/>
      <w:jc w:val="left"/>
    </w:pPr>
    <w:rPr>
      <w:rFonts w:ascii="??" w:eastAsia="Times New Roman"/>
      <w:b/>
      <w:caps/>
      <w:sz w:val="24"/>
    </w:rPr>
  </w:style>
  <w:style w:type="paragraph" w:styleId="16">
    <w:name w:val="toc 4"/>
    <w:basedOn w:val="1"/>
    <w:next w:val="1"/>
    <w:qFormat/>
    <w:uiPriority w:val="99"/>
    <w:pPr>
      <w:ind w:left="630"/>
      <w:jc w:val="left"/>
    </w:pPr>
    <w:rPr>
      <w:rFonts w:ascii="??" w:eastAsia="Times New Roman"/>
      <w:sz w:val="18"/>
      <w:szCs w:val="18"/>
    </w:rPr>
  </w:style>
  <w:style w:type="paragraph" w:styleId="17">
    <w:name w:val="toc 6"/>
    <w:basedOn w:val="1"/>
    <w:next w:val="1"/>
    <w:qFormat/>
    <w:uiPriority w:val="99"/>
    <w:pPr>
      <w:ind w:left="1050"/>
      <w:jc w:val="left"/>
    </w:pPr>
    <w:rPr>
      <w:rFonts w:ascii="??" w:eastAsia="Times New Roman"/>
      <w:sz w:val="18"/>
      <w:szCs w:val="18"/>
    </w:rPr>
  </w:style>
  <w:style w:type="paragraph" w:styleId="18">
    <w:name w:val="toc 2"/>
    <w:basedOn w:val="1"/>
    <w:next w:val="1"/>
    <w:qFormat/>
    <w:uiPriority w:val="99"/>
    <w:pPr>
      <w:tabs>
        <w:tab w:val="right" w:leader="dot" w:pos="8296"/>
      </w:tabs>
      <w:ind w:left="210"/>
      <w:jc w:val="left"/>
    </w:pPr>
    <w:rPr>
      <w:rFonts w:ascii="黑体" w:hAnsi="黑体" w:eastAsia="黑体"/>
      <w:b/>
      <w:smallCaps/>
      <w:sz w:val="22"/>
    </w:rPr>
  </w:style>
  <w:style w:type="paragraph" w:styleId="19">
    <w:name w:val="toc 9"/>
    <w:basedOn w:val="1"/>
    <w:next w:val="1"/>
    <w:qFormat/>
    <w:uiPriority w:val="99"/>
    <w:pPr>
      <w:ind w:left="1680"/>
      <w:jc w:val="left"/>
    </w:pPr>
    <w:rPr>
      <w:rFonts w:ascii="??" w:eastAsia="Times New Roman"/>
      <w:sz w:val="18"/>
      <w:szCs w:val="18"/>
    </w:rPr>
  </w:style>
  <w:style w:type="paragraph" w:styleId="20">
    <w:name w:val="Normal (Web)"/>
    <w:basedOn w:val="1"/>
    <w:link w:val="43"/>
    <w:qFormat/>
    <w:uiPriority w:val="99"/>
    <w:pPr>
      <w:widowControl/>
      <w:spacing w:before="100" w:beforeAutospacing="1" w:after="100" w:afterAutospacing="1"/>
      <w:jc w:val="left"/>
    </w:pPr>
    <w:rPr>
      <w:rFonts w:ascii="Times New Roman" w:hAnsi="Times New Roman" w:cs="Times New Roman"/>
      <w:kern w:val="0"/>
      <w:sz w:val="24"/>
      <w:szCs w:val="20"/>
    </w:rPr>
  </w:style>
  <w:style w:type="paragraph" w:styleId="21">
    <w:name w:val="annotation subject"/>
    <w:basedOn w:val="7"/>
    <w:next w:val="7"/>
    <w:link w:val="38"/>
    <w:semiHidden/>
    <w:qFormat/>
    <w:uiPriority w:val="99"/>
    <w:rPr>
      <w:b/>
      <w:bCs/>
    </w:rPr>
  </w:style>
  <w:style w:type="table" w:styleId="23">
    <w:name w:val="Table Grid"/>
    <w:basedOn w:val="22"/>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locked/>
    <w:uiPriority w:val="99"/>
    <w:rPr>
      <w:rFonts w:cs="Times New Roman"/>
      <w:b/>
    </w:rPr>
  </w:style>
  <w:style w:type="character" w:styleId="26">
    <w:name w:val="page number"/>
    <w:basedOn w:val="24"/>
    <w:semiHidden/>
    <w:qFormat/>
    <w:uiPriority w:val="99"/>
    <w:rPr>
      <w:rFonts w:cs="Times New Roman"/>
    </w:rPr>
  </w:style>
  <w:style w:type="character" w:styleId="27">
    <w:name w:val="Hyperlink"/>
    <w:basedOn w:val="24"/>
    <w:qFormat/>
    <w:uiPriority w:val="99"/>
    <w:rPr>
      <w:rFonts w:cs="Times New Roman"/>
      <w:color w:val="0563C1"/>
      <w:u w:val="single"/>
    </w:rPr>
  </w:style>
  <w:style w:type="character" w:styleId="28">
    <w:name w:val="annotation reference"/>
    <w:basedOn w:val="24"/>
    <w:semiHidden/>
    <w:qFormat/>
    <w:uiPriority w:val="99"/>
    <w:rPr>
      <w:rFonts w:cs="Times New Roman"/>
      <w:sz w:val="21"/>
      <w:szCs w:val="21"/>
    </w:rPr>
  </w:style>
  <w:style w:type="character" w:customStyle="1" w:styleId="29">
    <w:name w:val="Heading 1 Char"/>
    <w:basedOn w:val="24"/>
    <w:link w:val="2"/>
    <w:qFormat/>
    <w:locked/>
    <w:uiPriority w:val="99"/>
    <w:rPr>
      <w:rFonts w:ascii="Calibri" w:hAnsi="Calibri" w:eastAsia="方正小标宋_GBK" w:cs="黑体"/>
      <w:bCs/>
      <w:kern w:val="44"/>
      <w:sz w:val="44"/>
      <w:szCs w:val="44"/>
    </w:rPr>
  </w:style>
  <w:style w:type="character" w:customStyle="1" w:styleId="30">
    <w:name w:val="Heading 2 Char"/>
    <w:basedOn w:val="24"/>
    <w:link w:val="3"/>
    <w:qFormat/>
    <w:locked/>
    <w:uiPriority w:val="99"/>
    <w:rPr>
      <w:rFonts w:ascii="?? Light" w:hAnsi="?? Light" w:eastAsia="黑体" w:cs="Times New Roman"/>
      <w:bCs/>
      <w:sz w:val="32"/>
      <w:szCs w:val="32"/>
    </w:rPr>
  </w:style>
  <w:style w:type="character" w:customStyle="1" w:styleId="31">
    <w:name w:val="Heading 3 Char"/>
    <w:basedOn w:val="24"/>
    <w:link w:val="4"/>
    <w:qFormat/>
    <w:locked/>
    <w:uiPriority w:val="99"/>
    <w:rPr>
      <w:rFonts w:ascii="Calibri" w:hAnsi="Calibri" w:eastAsia="楷体" w:cs="黑体"/>
      <w:bCs/>
      <w:sz w:val="32"/>
      <w:szCs w:val="32"/>
    </w:rPr>
  </w:style>
  <w:style w:type="character" w:customStyle="1" w:styleId="32">
    <w:name w:val="Document Map Char"/>
    <w:basedOn w:val="24"/>
    <w:link w:val="6"/>
    <w:semiHidden/>
    <w:qFormat/>
    <w:locked/>
    <w:uiPriority w:val="99"/>
    <w:rPr>
      <w:rFonts w:ascii="Times New Roman" w:hAnsi="Times New Roman" w:eastAsia="宋体" w:cs="Times New Roman"/>
      <w:kern w:val="2"/>
      <w:sz w:val="24"/>
      <w:szCs w:val="24"/>
    </w:rPr>
  </w:style>
  <w:style w:type="character" w:customStyle="1" w:styleId="33">
    <w:name w:val="Comment Text Char"/>
    <w:basedOn w:val="24"/>
    <w:link w:val="7"/>
    <w:qFormat/>
    <w:locked/>
    <w:uiPriority w:val="99"/>
    <w:rPr>
      <w:rFonts w:ascii="Calibri" w:hAnsi="Calibri" w:eastAsia="宋体" w:cs="黑体"/>
    </w:rPr>
  </w:style>
  <w:style w:type="character" w:customStyle="1" w:styleId="34">
    <w:name w:val="Body Text Char"/>
    <w:basedOn w:val="24"/>
    <w:link w:val="8"/>
    <w:qFormat/>
    <w:locked/>
    <w:uiPriority w:val="99"/>
    <w:rPr>
      <w:rFonts w:ascii="楷体_GB2312" w:hAnsi="Arial" w:eastAsia="楷体_GB2312" w:cs="Times New Roman"/>
      <w:kern w:val="0"/>
      <w:sz w:val="20"/>
      <w:lang w:val="zh-CN" w:eastAsia="zh-CN"/>
    </w:rPr>
  </w:style>
  <w:style w:type="character" w:customStyle="1" w:styleId="35">
    <w:name w:val="Balloon Text Char"/>
    <w:basedOn w:val="24"/>
    <w:link w:val="12"/>
    <w:semiHidden/>
    <w:qFormat/>
    <w:locked/>
    <w:uiPriority w:val="99"/>
    <w:rPr>
      <w:rFonts w:ascii="Calibri" w:hAnsi="Calibri" w:eastAsia="宋体" w:cs="黑体"/>
      <w:sz w:val="18"/>
      <w:szCs w:val="18"/>
    </w:rPr>
  </w:style>
  <w:style w:type="character" w:customStyle="1" w:styleId="36">
    <w:name w:val="Footer Char"/>
    <w:basedOn w:val="24"/>
    <w:link w:val="13"/>
    <w:qFormat/>
    <w:locked/>
    <w:uiPriority w:val="99"/>
    <w:rPr>
      <w:rFonts w:cs="Times New Roman"/>
      <w:sz w:val="18"/>
      <w:szCs w:val="18"/>
    </w:rPr>
  </w:style>
  <w:style w:type="character" w:customStyle="1" w:styleId="37">
    <w:name w:val="Header Char"/>
    <w:basedOn w:val="24"/>
    <w:link w:val="14"/>
    <w:qFormat/>
    <w:locked/>
    <w:uiPriority w:val="99"/>
    <w:rPr>
      <w:rFonts w:cs="Times New Roman"/>
      <w:sz w:val="18"/>
      <w:szCs w:val="18"/>
    </w:rPr>
  </w:style>
  <w:style w:type="character" w:customStyle="1" w:styleId="38">
    <w:name w:val="Comment Subject Char"/>
    <w:basedOn w:val="33"/>
    <w:link w:val="21"/>
    <w:semiHidden/>
    <w:qFormat/>
    <w:locked/>
    <w:uiPriority w:val="99"/>
    <w:rPr>
      <w:b/>
      <w:bCs/>
    </w:rPr>
  </w:style>
  <w:style w:type="paragraph" w:styleId="39">
    <w:name w:val="List Paragraph"/>
    <w:basedOn w:val="1"/>
    <w:qFormat/>
    <w:uiPriority w:val="99"/>
    <w:pPr>
      <w:ind w:firstLine="420" w:firstLineChars="200"/>
    </w:pPr>
  </w:style>
  <w:style w:type="character" w:customStyle="1" w:styleId="40">
    <w:name w:val="标题 2 字符2"/>
    <w:qFormat/>
    <w:uiPriority w:val="99"/>
    <w:rPr>
      <w:rFonts w:ascii="幼圆" w:hAnsi="Arial" w:eastAsia="楷体_GB2312"/>
      <w:b/>
      <w:sz w:val="20"/>
    </w:rPr>
  </w:style>
  <w:style w:type="character" w:customStyle="1" w:styleId="41">
    <w:name w:val="正文文本 字符"/>
    <w:basedOn w:val="24"/>
    <w:semiHidden/>
    <w:qFormat/>
    <w:uiPriority w:val="99"/>
    <w:rPr>
      <w:rFonts w:ascii="Calibri" w:hAnsi="Calibri" w:eastAsia="宋体" w:cs="黑体"/>
    </w:rPr>
  </w:style>
  <w:style w:type="paragraph" w:customStyle="1" w:styleId="42">
    <w:name w:val="TOC 标题1"/>
    <w:basedOn w:val="2"/>
    <w:next w:val="1"/>
    <w:qFormat/>
    <w:uiPriority w:val="99"/>
    <w:pPr>
      <w:widowControl/>
      <w:spacing w:before="240" w:after="0" w:line="259" w:lineRule="auto"/>
      <w:jc w:val="left"/>
      <w:outlineLvl w:val="9"/>
    </w:pPr>
    <w:rPr>
      <w:rFonts w:ascii="?? Light" w:hAnsi="?? Light" w:eastAsia="宋体" w:cs="Times New Roman"/>
      <w:b/>
      <w:bCs w:val="0"/>
      <w:color w:val="2F5496"/>
      <w:kern w:val="0"/>
      <w:sz w:val="32"/>
      <w:szCs w:val="32"/>
    </w:rPr>
  </w:style>
  <w:style w:type="character" w:customStyle="1" w:styleId="43">
    <w:name w:val="Normal (Web) Char"/>
    <w:link w:val="20"/>
    <w:qFormat/>
    <w:locked/>
    <w:uiPriority w:val="99"/>
    <w:rPr>
      <w:rFonts w:ascii="Times New Roman" w:hAnsi="Times New Roman"/>
      <w:kern w:val="0"/>
      <w:sz w:val="24"/>
    </w:rPr>
  </w:style>
  <w:style w:type="paragraph" w:customStyle="1" w:styleId="44">
    <w:name w:val="修订1"/>
    <w:hidden/>
    <w:semiHidden/>
    <w:qFormat/>
    <w:uiPriority w:val="99"/>
    <w:rPr>
      <w:rFonts w:ascii="Calibri" w:hAnsi="Calibri" w:eastAsia="宋体" w:cs="黑体"/>
      <w:kern w:val="2"/>
      <w:sz w:val="21"/>
      <w:szCs w:val="22"/>
      <w:lang w:val="en-US" w:eastAsia="zh-CN" w:bidi="ar-SA"/>
    </w:rPr>
  </w:style>
  <w:style w:type="character" w:customStyle="1" w:styleId="45">
    <w:name w:val="页脚 字符1"/>
    <w:qFormat/>
    <w:uiPriority w:val="99"/>
    <w:rPr>
      <w:rFonts w:ascii="Times New Roman" w:hAnsi="Times New Roman" w:eastAsia="宋体"/>
      <w:sz w:val="20"/>
    </w:rPr>
  </w:style>
  <w:style w:type="character" w:customStyle="1" w:styleId="46">
    <w:name w:val="普通(网站) 字符2"/>
    <w:qFormat/>
    <w:locked/>
    <w:uiPriority w:val="99"/>
    <w:rPr>
      <w:rFonts w:ascii="宋体" w:eastAsia="宋体"/>
      <w:color w:val="000000"/>
      <w:sz w:val="24"/>
    </w:rPr>
  </w:style>
  <w:style w:type="character" w:customStyle="1" w:styleId="47">
    <w:name w:val="页眉 字符1"/>
    <w:qFormat/>
    <w:uiPriority w:val="99"/>
    <w:rPr>
      <w:rFonts w:ascii="Times New Roman" w:hAnsi="Times New Roman" w:eastAsia="宋体"/>
      <w:sz w:val="18"/>
    </w:rPr>
  </w:style>
  <w:style w:type="character" w:customStyle="1" w:styleId="48">
    <w:name w:val="font61"/>
    <w:basedOn w:val="24"/>
    <w:qFormat/>
    <w:uiPriority w:val="99"/>
    <w:rPr>
      <w:rFonts w:ascii="Times New Roman" w:hAnsi="Times New Roman" w:cs="Times New Roman"/>
      <w:color w:val="000000"/>
      <w:sz w:val="24"/>
      <w:szCs w:val="24"/>
      <w:u w:val="none"/>
    </w:rPr>
  </w:style>
  <w:style w:type="character" w:customStyle="1" w:styleId="49">
    <w:name w:val="font31"/>
    <w:basedOn w:val="24"/>
    <w:qFormat/>
    <w:uiPriority w:val="99"/>
    <w:rPr>
      <w:rFonts w:ascii="方正仿宋_GBK" w:hAnsi="方正仿宋_GBK" w:eastAsia="方正仿宋_GBK" w:cs="方正仿宋_GBK"/>
      <w:color w:val="000000"/>
      <w:sz w:val="24"/>
      <w:szCs w:val="24"/>
      <w:u w:val="none"/>
    </w:rPr>
  </w:style>
  <w:style w:type="character" w:customStyle="1" w:styleId="50">
    <w:name w:val="font41"/>
    <w:basedOn w:val="24"/>
    <w:qFormat/>
    <w:uiPriority w:val="99"/>
    <w:rPr>
      <w:rFonts w:ascii="Times New Roman" w:hAnsi="Times New Roman" w:cs="Times New Roman"/>
      <w:color w:val="000000"/>
      <w:sz w:val="24"/>
      <w:szCs w:val="24"/>
      <w:u w:val="none"/>
    </w:rPr>
  </w:style>
  <w:style w:type="character" w:customStyle="1" w:styleId="51">
    <w:name w:val="font51"/>
    <w:basedOn w:val="24"/>
    <w:qFormat/>
    <w:uiPriority w:val="99"/>
    <w:rPr>
      <w:rFonts w:ascii="方正仿宋_GBK" w:hAnsi="方正仿宋_GBK" w:eastAsia="方正仿宋_GBK" w:cs="方正仿宋_GBK"/>
      <w:color w:val="000000"/>
      <w:sz w:val="24"/>
      <w:szCs w:val="24"/>
      <w:u w:val="none"/>
    </w:rPr>
  </w:style>
  <w:style w:type="character" w:customStyle="1" w:styleId="52">
    <w:name w:val="font21"/>
    <w:basedOn w:val="24"/>
    <w:qFormat/>
    <w:uiPriority w:val="99"/>
    <w:rPr>
      <w:rFonts w:ascii="Times New Roman" w:hAnsi="Times New Roman" w:cs="Times New Roman"/>
      <w:color w:val="000000"/>
      <w:sz w:val="24"/>
      <w:szCs w:val="24"/>
      <w:u w:val="none"/>
    </w:rPr>
  </w:style>
  <w:style w:type="character" w:customStyle="1" w:styleId="53">
    <w:name w:val="font11"/>
    <w:basedOn w:val="24"/>
    <w:qFormat/>
    <w:uiPriority w:val="99"/>
    <w:rPr>
      <w:rFonts w:ascii="方正仿宋_GBK" w:hAnsi="方正仿宋_GBK" w:eastAsia="方正仿宋_GBK" w:cs="方正仿宋_GBK"/>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84</Pages>
  <Words>42518</Words>
  <Characters>43026</Characters>
  <Lines>0</Lines>
  <Paragraphs>0</Paragraphs>
  <TotalTime>31</TotalTime>
  <ScaleCrop>false</ScaleCrop>
  <LinksUpToDate>false</LinksUpToDate>
  <CharactersWithSpaces>43692</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2021-01-14T01:21:00Z</dcterms:created>
  <dc:creator>gh</dc:creator>
  <cp:lastModifiedBy>六句半</cp:lastModifiedBy>
  <cp:lastPrinted>2021-05-21T01:24:00Z</cp:lastPrinted>
  <dcterms:modified xsi:type="dcterms:W3CDTF">2021-06-18T10:18:30Z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KSOSaveFontToCloudKey">
    <vt:lpwstr>494328337_cloud</vt:lpwstr>
  </property>
  <property fmtid="{D5CDD505-2E9C-101B-9397-08002B2CF9AE}" pid="4" name="ICV">
    <vt:lpwstr>F81D0EAAA6AC437CAF8966D3FE5B5482</vt:lpwstr>
  </property>
</Properties>
</file>