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3160C">
      <w:pPr>
        <w:rPr>
          <w:rFonts w:hint="eastAsia" w:ascii="楷体" w:hAnsi="楷体" w:eastAsia="楷体" w:cs="楷体"/>
          <w:color w:val="auto"/>
          <w:highlight w:val="yellow"/>
        </w:rPr>
      </w:pPr>
    </w:p>
    <w:p w14:paraId="364C04E6">
      <w:pPr>
        <w:spacing w:line="360" w:lineRule="auto"/>
        <w:jc w:val="center"/>
        <w:rPr>
          <w:rFonts w:hint="eastAsia" w:ascii="楷体" w:hAnsi="楷体" w:eastAsia="楷体" w:cs="楷体"/>
          <w:b/>
          <w:color w:val="auto"/>
          <w:sz w:val="84"/>
          <w:highlight w:val="white"/>
        </w:rPr>
      </w:pPr>
    </w:p>
    <w:p w14:paraId="142472C0">
      <w:pPr>
        <w:keepNext w:val="0"/>
        <w:keepLines w:val="0"/>
        <w:pageBreakBefore w:val="0"/>
        <w:widowControl w:val="0"/>
        <w:kinsoku/>
        <w:wordWrap/>
        <w:overflowPunct/>
        <w:topLinePunct w:val="0"/>
        <w:autoSpaceDE/>
        <w:autoSpaceDN/>
        <w:bidi w:val="0"/>
        <w:adjustRightInd/>
        <w:snapToGrid/>
        <w:spacing w:line="360" w:lineRule="auto"/>
        <w:ind w:left="1050" w:leftChars="500" w:right="1050" w:rightChars="500"/>
        <w:jc w:val="distribute"/>
        <w:textAlignment w:val="auto"/>
        <w:rPr>
          <w:rFonts w:hint="eastAsia" w:ascii="楷体" w:hAnsi="楷体" w:eastAsia="楷体" w:cs="楷体"/>
          <w:b/>
          <w:color w:val="auto"/>
          <w:sz w:val="84"/>
        </w:rPr>
      </w:pPr>
      <w:r>
        <w:rPr>
          <w:rFonts w:hint="eastAsia" w:ascii="楷体" w:hAnsi="楷体" w:eastAsia="楷体" w:cs="楷体"/>
          <w:b/>
          <w:color w:val="auto"/>
          <w:sz w:val="84"/>
          <w:highlight w:val="white"/>
          <w:lang w:eastAsia="zh-CN"/>
        </w:rPr>
        <w:t>磋商</w:t>
      </w:r>
      <w:r>
        <w:rPr>
          <w:rFonts w:hint="eastAsia" w:ascii="楷体" w:hAnsi="楷体" w:eastAsia="楷体" w:cs="楷体"/>
          <w:b/>
          <w:color w:val="auto"/>
          <w:sz w:val="84"/>
          <w:highlight w:val="white"/>
        </w:rPr>
        <w:t>文件</w:t>
      </w:r>
    </w:p>
    <w:p w14:paraId="52909060">
      <w:pPr>
        <w:spacing w:line="360" w:lineRule="auto"/>
        <w:jc w:val="center"/>
        <w:rPr>
          <w:rFonts w:hint="eastAsia" w:ascii="楷体" w:hAnsi="楷体" w:eastAsia="楷体" w:cs="楷体"/>
          <w:color w:val="auto"/>
          <w:sz w:val="32"/>
        </w:rPr>
      </w:pPr>
    </w:p>
    <w:p w14:paraId="2AD24F6C">
      <w:pPr>
        <w:spacing w:line="360" w:lineRule="auto"/>
        <w:jc w:val="center"/>
        <w:rPr>
          <w:rFonts w:hint="eastAsia" w:ascii="楷体" w:hAnsi="楷体" w:eastAsia="楷体" w:cs="楷体"/>
          <w:color w:val="auto"/>
          <w:sz w:val="32"/>
        </w:rPr>
      </w:pPr>
    </w:p>
    <w:p w14:paraId="731A31FD">
      <w:pPr>
        <w:spacing w:line="360" w:lineRule="auto"/>
        <w:jc w:val="center"/>
        <w:rPr>
          <w:rFonts w:hint="eastAsia" w:ascii="楷体" w:hAnsi="楷体" w:eastAsia="楷体" w:cs="楷体"/>
          <w:color w:val="auto"/>
          <w:sz w:val="32"/>
        </w:rPr>
      </w:pPr>
    </w:p>
    <w:p w14:paraId="612F54EF">
      <w:pPr>
        <w:keepNext w:val="0"/>
        <w:keepLines w:val="0"/>
        <w:pageBreakBefore w:val="0"/>
        <w:widowControl w:val="0"/>
        <w:kinsoku/>
        <w:wordWrap/>
        <w:overflowPunct/>
        <w:topLinePunct w:val="0"/>
        <w:autoSpaceDE/>
        <w:autoSpaceDN/>
        <w:bidi w:val="0"/>
        <w:adjustRightInd/>
        <w:snapToGrid/>
        <w:spacing w:line="360" w:lineRule="auto"/>
        <w:ind w:left="630" w:leftChars="300" w:right="0"/>
        <w:jc w:val="both"/>
        <w:textAlignment w:val="auto"/>
        <w:rPr>
          <w:rFonts w:hint="eastAsia" w:ascii="楷体" w:hAnsi="楷体" w:eastAsia="楷体" w:cs="楷体"/>
          <w:b/>
          <w:color w:val="auto"/>
          <w:sz w:val="32"/>
          <w:szCs w:val="32"/>
          <w:lang w:eastAsia="zh-CN"/>
        </w:rPr>
      </w:pPr>
      <w:r>
        <w:rPr>
          <w:rFonts w:hint="eastAsia" w:ascii="楷体" w:hAnsi="楷体" w:eastAsia="楷体" w:cs="楷体"/>
          <w:b/>
          <w:color w:val="auto"/>
          <w:sz w:val="32"/>
          <w:szCs w:val="32"/>
          <w:highlight w:val="white"/>
        </w:rPr>
        <w:t>项目编号：</w:t>
      </w:r>
      <w:r>
        <w:rPr>
          <w:rFonts w:hint="eastAsia" w:ascii="楷体" w:hAnsi="楷体" w:eastAsia="楷体" w:cs="楷体"/>
          <w:b/>
          <w:color w:val="auto"/>
          <w:sz w:val="32"/>
          <w:szCs w:val="32"/>
          <w:highlight w:val="white"/>
          <w:lang w:eastAsia="zh-CN"/>
        </w:rPr>
        <w:t>JSZH-202</w:t>
      </w:r>
      <w:r>
        <w:rPr>
          <w:rFonts w:hint="eastAsia" w:ascii="楷体" w:hAnsi="楷体" w:eastAsia="楷体" w:cs="楷体"/>
          <w:b/>
          <w:color w:val="auto"/>
          <w:sz w:val="32"/>
          <w:szCs w:val="32"/>
          <w:highlight w:val="white"/>
          <w:lang w:val="en-US" w:eastAsia="zh-CN"/>
        </w:rPr>
        <w:t>6</w:t>
      </w:r>
      <w:r>
        <w:rPr>
          <w:rFonts w:hint="eastAsia" w:ascii="楷体" w:hAnsi="楷体" w:eastAsia="楷体" w:cs="楷体"/>
          <w:b/>
          <w:color w:val="auto"/>
          <w:sz w:val="32"/>
          <w:szCs w:val="32"/>
          <w:highlight w:val="white"/>
          <w:lang w:eastAsia="zh-CN"/>
        </w:rPr>
        <w:t>-0</w:t>
      </w:r>
      <w:r>
        <w:rPr>
          <w:rFonts w:hint="eastAsia" w:ascii="楷体" w:hAnsi="楷体" w:eastAsia="楷体" w:cs="楷体"/>
          <w:b/>
          <w:color w:val="auto"/>
          <w:sz w:val="32"/>
          <w:szCs w:val="32"/>
          <w:highlight w:val="white"/>
          <w:lang w:val="en-US" w:eastAsia="zh-CN"/>
        </w:rPr>
        <w:t>0</w:t>
      </w:r>
      <w:r>
        <w:rPr>
          <w:rFonts w:hint="eastAsia" w:ascii="楷体" w:hAnsi="楷体" w:eastAsia="楷体" w:cs="楷体"/>
          <w:b/>
          <w:color w:val="auto"/>
          <w:sz w:val="32"/>
          <w:szCs w:val="32"/>
          <w:highlight w:val="white"/>
          <w:lang w:eastAsia="zh-CN"/>
        </w:rPr>
        <w:t>7号</w:t>
      </w:r>
    </w:p>
    <w:p w14:paraId="26BA31D9">
      <w:pPr>
        <w:keepNext w:val="0"/>
        <w:keepLines w:val="0"/>
        <w:pageBreakBefore w:val="0"/>
        <w:widowControl w:val="0"/>
        <w:kinsoku/>
        <w:wordWrap/>
        <w:overflowPunct/>
        <w:topLinePunct w:val="0"/>
        <w:autoSpaceDE/>
        <w:autoSpaceDN/>
        <w:bidi w:val="0"/>
        <w:adjustRightInd/>
        <w:snapToGrid/>
        <w:spacing w:line="360" w:lineRule="auto"/>
        <w:ind w:left="2236" w:leftChars="300" w:right="0" w:hanging="1606" w:hangingChars="500"/>
        <w:jc w:val="both"/>
        <w:textAlignment w:val="auto"/>
        <w:rPr>
          <w:rFonts w:hint="eastAsia" w:ascii="楷体" w:hAnsi="楷体" w:eastAsia="楷体" w:cs="楷体"/>
          <w:b/>
          <w:color w:val="auto"/>
          <w:sz w:val="36"/>
        </w:rPr>
      </w:pPr>
      <w:r>
        <w:rPr>
          <w:rFonts w:hint="eastAsia" w:ascii="楷体" w:hAnsi="楷体" w:eastAsia="楷体" w:cs="楷体"/>
          <w:b/>
          <w:color w:val="auto"/>
          <w:sz w:val="32"/>
          <w:szCs w:val="32"/>
          <w:highlight w:val="white"/>
        </w:rPr>
        <w:t>项目名称：</w:t>
      </w:r>
      <w:r>
        <w:rPr>
          <w:rFonts w:hint="eastAsia" w:ascii="楷体" w:hAnsi="楷体" w:eastAsia="楷体"/>
          <w:b/>
          <w:color w:val="auto"/>
          <w:sz w:val="32"/>
          <w:szCs w:val="32"/>
          <w:lang w:eastAsia="zh-CN"/>
        </w:rPr>
        <w:t>句容市养老护理院户外设施增设项目</w:t>
      </w:r>
    </w:p>
    <w:p w14:paraId="4FBE10B3">
      <w:pPr>
        <w:spacing w:line="360" w:lineRule="auto"/>
        <w:ind w:left="630" w:right="630"/>
        <w:jc w:val="center"/>
        <w:rPr>
          <w:rFonts w:hint="eastAsia" w:ascii="楷体" w:hAnsi="楷体" w:eastAsia="楷体" w:cs="楷体"/>
          <w:b/>
          <w:color w:val="auto"/>
          <w:sz w:val="36"/>
          <w:szCs w:val="36"/>
        </w:rPr>
      </w:pPr>
    </w:p>
    <w:p w14:paraId="2A90ADD2">
      <w:pPr>
        <w:spacing w:line="360" w:lineRule="auto"/>
        <w:ind w:left="630" w:right="630"/>
        <w:jc w:val="center"/>
        <w:rPr>
          <w:rFonts w:hint="eastAsia" w:ascii="楷体" w:hAnsi="楷体" w:eastAsia="楷体" w:cs="楷体"/>
          <w:b/>
          <w:color w:val="auto"/>
          <w:sz w:val="36"/>
          <w:szCs w:val="36"/>
        </w:rPr>
      </w:pPr>
    </w:p>
    <w:p w14:paraId="4E417A04">
      <w:pPr>
        <w:spacing w:line="360" w:lineRule="auto"/>
        <w:ind w:left="630" w:right="630"/>
        <w:jc w:val="center"/>
        <w:rPr>
          <w:rFonts w:hint="eastAsia" w:ascii="楷体" w:hAnsi="楷体" w:eastAsia="楷体" w:cs="楷体"/>
          <w:b/>
          <w:color w:val="auto"/>
          <w:sz w:val="36"/>
          <w:szCs w:val="36"/>
          <w:lang w:eastAsia="zh-CN"/>
        </w:rPr>
      </w:pPr>
    </w:p>
    <w:p w14:paraId="444F62DA">
      <w:pPr>
        <w:spacing w:line="360" w:lineRule="auto"/>
        <w:ind w:left="630" w:right="630"/>
        <w:jc w:val="center"/>
        <w:rPr>
          <w:rFonts w:hint="eastAsia" w:ascii="楷体" w:hAnsi="楷体" w:eastAsia="楷体" w:cs="楷体"/>
          <w:b/>
          <w:color w:val="auto"/>
          <w:sz w:val="36"/>
          <w:szCs w:val="36"/>
        </w:rPr>
      </w:pPr>
    </w:p>
    <w:p w14:paraId="29C74DAE">
      <w:pPr>
        <w:spacing w:line="360" w:lineRule="auto"/>
        <w:ind w:left="630" w:right="630"/>
        <w:jc w:val="center"/>
        <w:rPr>
          <w:rFonts w:hint="eastAsia" w:ascii="楷体" w:hAnsi="楷体" w:eastAsia="楷体" w:cs="楷体"/>
          <w:b/>
          <w:color w:val="auto"/>
          <w:sz w:val="36"/>
          <w:szCs w:val="36"/>
        </w:rPr>
      </w:pPr>
    </w:p>
    <w:p w14:paraId="0C8BF389">
      <w:pPr>
        <w:spacing w:line="360" w:lineRule="auto"/>
        <w:rPr>
          <w:rFonts w:hint="eastAsia" w:ascii="楷体" w:hAnsi="楷体" w:eastAsia="楷体" w:cs="楷体"/>
          <w:b/>
          <w:color w:val="auto"/>
          <w:sz w:val="36"/>
        </w:rPr>
      </w:pPr>
    </w:p>
    <w:p w14:paraId="1BEF7CD2">
      <w:pPr>
        <w:spacing w:line="360" w:lineRule="auto"/>
        <w:jc w:val="center"/>
        <w:rPr>
          <w:rFonts w:hint="eastAsia" w:ascii="楷体" w:hAnsi="楷体" w:eastAsia="楷体" w:cs="楷体"/>
          <w:b/>
          <w:color w:val="auto"/>
          <w:sz w:val="36"/>
          <w:szCs w:val="36"/>
          <w:highlight w:val="green"/>
        </w:rPr>
      </w:pPr>
      <w:r>
        <w:rPr>
          <w:rFonts w:hint="eastAsia" w:ascii="楷体" w:hAnsi="楷体" w:eastAsia="楷体" w:cs="楷体"/>
          <w:b/>
          <w:color w:val="auto"/>
          <w:sz w:val="36"/>
          <w:szCs w:val="36"/>
          <w:highlight w:val="none"/>
          <w:lang w:eastAsia="zh-CN"/>
        </w:rPr>
        <w:t>江苏智汇锡建工程项目管理有限公司</w:t>
      </w:r>
      <w:r>
        <w:rPr>
          <w:rFonts w:hint="eastAsia" w:ascii="楷体" w:hAnsi="楷体" w:eastAsia="楷体" w:cs="楷体"/>
          <w:b/>
          <w:color w:val="auto"/>
          <w:sz w:val="36"/>
          <w:szCs w:val="36"/>
          <w:highlight w:val="white"/>
        </w:rPr>
        <w:t xml:space="preserve"> </w:t>
      </w:r>
    </w:p>
    <w:p w14:paraId="3970DC32">
      <w:pPr>
        <w:spacing w:line="360" w:lineRule="auto"/>
        <w:jc w:val="center"/>
        <w:rPr>
          <w:rFonts w:hint="eastAsia" w:ascii="楷体" w:hAnsi="楷体" w:eastAsia="楷体" w:cs="楷体"/>
          <w:b/>
          <w:color w:val="auto"/>
          <w:sz w:val="36"/>
          <w:szCs w:val="36"/>
          <w:highlight w:val="white"/>
          <w:lang w:eastAsia="zh-CN"/>
        </w:rPr>
      </w:pPr>
      <w:r>
        <w:rPr>
          <w:rFonts w:hint="eastAsia" w:ascii="楷体" w:hAnsi="楷体" w:eastAsia="楷体" w:cs="楷体"/>
          <w:b/>
          <w:color w:val="auto"/>
          <w:sz w:val="36"/>
          <w:szCs w:val="36"/>
          <w:highlight w:val="white"/>
          <w:lang w:val="en-US" w:eastAsia="zh-CN"/>
        </w:rPr>
        <w:t>二零二六年四</w:t>
      </w:r>
      <w:r>
        <w:rPr>
          <w:rFonts w:hint="eastAsia" w:ascii="楷体" w:hAnsi="楷体" w:eastAsia="楷体" w:cs="楷体"/>
          <w:b/>
          <w:color w:val="auto"/>
          <w:sz w:val="36"/>
          <w:szCs w:val="36"/>
          <w:highlight w:val="white"/>
          <w:lang w:eastAsia="zh-CN"/>
        </w:rPr>
        <w:t>月</w:t>
      </w:r>
    </w:p>
    <w:p w14:paraId="400FEB41">
      <w:pPr>
        <w:spacing w:line="360" w:lineRule="auto"/>
        <w:jc w:val="center"/>
        <w:rPr>
          <w:rFonts w:hint="eastAsia" w:ascii="楷体" w:hAnsi="楷体" w:eastAsia="楷体" w:cs="楷体"/>
          <w:b/>
          <w:color w:val="auto"/>
          <w:sz w:val="36"/>
          <w:szCs w:val="36"/>
          <w:highlight w:val="green"/>
        </w:rPr>
      </w:pPr>
    </w:p>
    <w:p w14:paraId="6717D8DC">
      <w:pPr>
        <w:spacing w:line="360" w:lineRule="auto"/>
        <w:jc w:val="center"/>
        <w:rPr>
          <w:rFonts w:hint="eastAsia" w:ascii="楷体" w:hAnsi="楷体" w:eastAsia="楷体" w:cs="楷体"/>
          <w:b/>
          <w:color w:val="auto"/>
          <w:sz w:val="36"/>
          <w:szCs w:val="36"/>
          <w:highlight w:val="green"/>
        </w:rPr>
      </w:pPr>
    </w:p>
    <w:p w14:paraId="196A87EA">
      <w:pPr>
        <w:jc w:val="center"/>
        <w:rPr>
          <w:rFonts w:hint="eastAsia" w:ascii="楷体" w:hAnsi="楷体" w:eastAsia="楷体" w:cs="楷体"/>
          <w:b/>
          <w:bCs/>
          <w:color w:val="auto"/>
          <w:sz w:val="36"/>
          <w:szCs w:val="36"/>
        </w:rPr>
      </w:pPr>
      <w:r>
        <w:rPr>
          <w:rFonts w:hint="eastAsia" w:ascii="楷体" w:hAnsi="楷体" w:eastAsia="楷体" w:cs="楷体"/>
          <w:b/>
          <w:bCs/>
          <w:color w:val="auto"/>
          <w:sz w:val="36"/>
          <w:szCs w:val="36"/>
          <w:highlight w:val="white"/>
          <w:lang w:eastAsia="zh-CN"/>
        </w:rPr>
        <w:t>磋商</w:t>
      </w:r>
      <w:r>
        <w:rPr>
          <w:rFonts w:hint="eastAsia" w:ascii="楷体" w:hAnsi="楷体" w:eastAsia="楷体" w:cs="楷体"/>
          <w:b/>
          <w:bCs/>
          <w:color w:val="auto"/>
          <w:sz w:val="36"/>
          <w:szCs w:val="36"/>
          <w:highlight w:val="white"/>
        </w:rPr>
        <w:t>文件目录</w:t>
      </w:r>
    </w:p>
    <w:p w14:paraId="34C523F3">
      <w:pPr>
        <w:pStyle w:val="22"/>
        <w:tabs>
          <w:tab w:val="right" w:leader="dot" w:pos="8300"/>
        </w:tabs>
        <w:rPr>
          <w:color w:val="auto"/>
        </w:rPr>
      </w:pPr>
      <w:r>
        <w:rPr>
          <w:rFonts w:hint="eastAsia" w:ascii="楷体" w:hAnsi="楷体" w:eastAsia="楷体" w:cs="楷体"/>
          <w:b/>
          <w:color w:val="auto"/>
          <w:sz w:val="30"/>
          <w:szCs w:val="24"/>
        </w:rPr>
        <w:fldChar w:fldCharType="begin"/>
      </w:r>
      <w:r>
        <w:rPr>
          <w:rFonts w:hint="eastAsia" w:ascii="楷体" w:hAnsi="楷体" w:eastAsia="楷体" w:cs="楷体"/>
          <w:b/>
          <w:color w:val="auto"/>
          <w:sz w:val="30"/>
          <w:szCs w:val="24"/>
        </w:rPr>
        <w:instrText xml:space="preserve">TOC \o "1-3" \h \u </w:instrText>
      </w:r>
      <w:r>
        <w:rPr>
          <w:rFonts w:hint="eastAsia" w:ascii="楷体" w:hAnsi="楷体" w:eastAsia="楷体" w:cs="楷体"/>
          <w:b/>
          <w:color w:val="auto"/>
          <w:sz w:val="30"/>
          <w:szCs w:val="24"/>
        </w:rPr>
        <w:fldChar w:fldCharType="separate"/>
      </w: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_Toc583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 xml:space="preserve">第一部分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邀请</w:t>
      </w:r>
      <w:r>
        <w:rPr>
          <w:color w:val="auto"/>
        </w:rPr>
        <w:tab/>
      </w:r>
      <w:r>
        <w:rPr>
          <w:color w:val="auto"/>
        </w:rPr>
        <w:fldChar w:fldCharType="begin"/>
      </w:r>
      <w:r>
        <w:rPr>
          <w:color w:val="auto"/>
        </w:rPr>
        <w:instrText xml:space="preserve"> PAGEREF _Toc583 \h </w:instrText>
      </w:r>
      <w:r>
        <w:rPr>
          <w:color w:val="auto"/>
        </w:rPr>
        <w:fldChar w:fldCharType="separate"/>
      </w:r>
      <w:r>
        <w:rPr>
          <w:color w:val="auto"/>
        </w:rPr>
        <w:t>5</w:t>
      </w:r>
      <w:r>
        <w:rPr>
          <w:color w:val="auto"/>
        </w:rPr>
        <w:fldChar w:fldCharType="end"/>
      </w:r>
      <w:r>
        <w:rPr>
          <w:rFonts w:hint="eastAsia" w:ascii="楷体" w:hAnsi="楷体" w:eastAsia="楷体" w:cs="楷体"/>
          <w:color w:val="auto"/>
          <w:szCs w:val="24"/>
        </w:rPr>
        <w:fldChar w:fldCharType="end"/>
      </w:r>
    </w:p>
    <w:p w14:paraId="55EF0610">
      <w:pPr>
        <w:pStyle w:val="22"/>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_Toc31596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第二部分  供应商须知</w:t>
      </w:r>
      <w:r>
        <w:rPr>
          <w:color w:val="auto"/>
        </w:rPr>
        <w:tab/>
      </w:r>
      <w:r>
        <w:rPr>
          <w:color w:val="auto"/>
        </w:rPr>
        <w:fldChar w:fldCharType="begin"/>
      </w:r>
      <w:r>
        <w:rPr>
          <w:color w:val="auto"/>
        </w:rPr>
        <w:instrText xml:space="preserve"> PAGEREF _Toc31596 \h </w:instrText>
      </w:r>
      <w:r>
        <w:rPr>
          <w:color w:val="auto"/>
        </w:rPr>
        <w:fldChar w:fldCharType="separate"/>
      </w:r>
      <w:r>
        <w:rPr>
          <w:color w:val="auto"/>
        </w:rPr>
        <w:t>9</w:t>
      </w:r>
      <w:r>
        <w:rPr>
          <w:color w:val="auto"/>
        </w:rPr>
        <w:fldChar w:fldCharType="end"/>
      </w:r>
      <w:r>
        <w:rPr>
          <w:rFonts w:hint="eastAsia" w:ascii="楷体" w:hAnsi="楷体" w:eastAsia="楷体" w:cs="楷体"/>
          <w:color w:val="auto"/>
          <w:szCs w:val="24"/>
        </w:rPr>
        <w:fldChar w:fldCharType="end"/>
      </w:r>
    </w:p>
    <w:p w14:paraId="350D6EDB">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_Toc1645 </w:instrText>
      </w:r>
      <w:r>
        <w:rPr>
          <w:rFonts w:hint="eastAsia" w:ascii="楷体" w:hAnsi="楷体" w:eastAsia="楷体" w:cs="楷体"/>
          <w:color w:val="auto"/>
          <w:szCs w:val="24"/>
        </w:rPr>
        <w:fldChar w:fldCharType="separate"/>
      </w:r>
      <w:r>
        <w:rPr>
          <w:rFonts w:hint="eastAsia" w:ascii="楷体" w:hAnsi="楷体" w:eastAsia="楷体" w:cs="楷体"/>
          <w:color w:val="auto"/>
          <w:szCs w:val="32"/>
        </w:rPr>
        <w:t>前附表</w:t>
      </w:r>
      <w:r>
        <w:rPr>
          <w:color w:val="auto"/>
        </w:rPr>
        <w:tab/>
      </w:r>
      <w:r>
        <w:rPr>
          <w:color w:val="auto"/>
        </w:rPr>
        <w:fldChar w:fldCharType="begin"/>
      </w:r>
      <w:r>
        <w:rPr>
          <w:color w:val="auto"/>
        </w:rPr>
        <w:instrText xml:space="preserve"> PAGEREF _Toc1645 \h </w:instrText>
      </w:r>
      <w:r>
        <w:rPr>
          <w:color w:val="auto"/>
        </w:rPr>
        <w:fldChar w:fldCharType="separate"/>
      </w:r>
      <w:r>
        <w:rPr>
          <w:color w:val="auto"/>
        </w:rPr>
        <w:t>9</w:t>
      </w:r>
      <w:r>
        <w:rPr>
          <w:color w:val="auto"/>
        </w:rPr>
        <w:fldChar w:fldCharType="end"/>
      </w:r>
      <w:r>
        <w:rPr>
          <w:rFonts w:hint="eastAsia" w:ascii="楷体" w:hAnsi="楷体" w:eastAsia="楷体" w:cs="楷体"/>
          <w:color w:val="auto"/>
          <w:szCs w:val="24"/>
        </w:rPr>
        <w:fldChar w:fldCharType="end"/>
      </w:r>
    </w:p>
    <w:p w14:paraId="784FC7CD">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_Toc10892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一、总  则</w:t>
      </w:r>
      <w:r>
        <w:rPr>
          <w:color w:val="auto"/>
        </w:rPr>
        <w:tab/>
      </w:r>
      <w:r>
        <w:rPr>
          <w:color w:val="auto"/>
        </w:rPr>
        <w:fldChar w:fldCharType="begin"/>
      </w:r>
      <w:r>
        <w:rPr>
          <w:color w:val="auto"/>
        </w:rPr>
        <w:instrText xml:space="preserve"> PAGEREF _Toc10892 \h </w:instrText>
      </w:r>
      <w:r>
        <w:rPr>
          <w:color w:val="auto"/>
        </w:rPr>
        <w:fldChar w:fldCharType="separate"/>
      </w:r>
      <w:r>
        <w:rPr>
          <w:color w:val="auto"/>
        </w:rPr>
        <w:t>10</w:t>
      </w:r>
      <w:r>
        <w:rPr>
          <w:color w:val="auto"/>
        </w:rPr>
        <w:fldChar w:fldCharType="end"/>
      </w:r>
      <w:r>
        <w:rPr>
          <w:rFonts w:hint="eastAsia" w:ascii="楷体" w:hAnsi="楷体" w:eastAsia="楷体" w:cs="楷体"/>
          <w:color w:val="auto"/>
          <w:szCs w:val="24"/>
        </w:rPr>
        <w:fldChar w:fldCharType="end"/>
      </w:r>
    </w:p>
    <w:p w14:paraId="7236853B">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_Toc13691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 </w:t>
      </w:r>
      <w:r>
        <w:rPr>
          <w:rFonts w:hint="eastAsia" w:ascii="楷体" w:hAnsi="楷体" w:eastAsia="楷体" w:cs="楷体"/>
          <w:color w:val="auto"/>
          <w:highlight w:val="white"/>
        </w:rPr>
        <w:t>适用范围</w:t>
      </w:r>
      <w:r>
        <w:rPr>
          <w:color w:val="auto"/>
        </w:rPr>
        <w:tab/>
      </w:r>
      <w:r>
        <w:rPr>
          <w:color w:val="auto"/>
        </w:rPr>
        <w:fldChar w:fldCharType="begin"/>
      </w:r>
      <w:r>
        <w:rPr>
          <w:color w:val="auto"/>
        </w:rPr>
        <w:instrText xml:space="preserve"> PAGEREF _Toc13691 \h </w:instrText>
      </w:r>
      <w:r>
        <w:rPr>
          <w:color w:val="auto"/>
        </w:rPr>
        <w:fldChar w:fldCharType="separate"/>
      </w:r>
      <w:r>
        <w:rPr>
          <w:color w:val="auto"/>
        </w:rPr>
        <w:t>10</w:t>
      </w:r>
      <w:r>
        <w:rPr>
          <w:color w:val="auto"/>
        </w:rPr>
        <w:fldChar w:fldCharType="end"/>
      </w:r>
      <w:r>
        <w:rPr>
          <w:rFonts w:hint="eastAsia" w:ascii="楷体" w:hAnsi="楷体" w:eastAsia="楷体" w:cs="楷体"/>
          <w:color w:val="auto"/>
          <w:szCs w:val="24"/>
        </w:rPr>
        <w:fldChar w:fldCharType="end"/>
      </w:r>
    </w:p>
    <w:p w14:paraId="5AEC0FC4">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_Toc6847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 </w:t>
      </w:r>
      <w:r>
        <w:rPr>
          <w:rFonts w:hint="eastAsia" w:ascii="楷体" w:hAnsi="楷体" w:eastAsia="楷体" w:cs="楷体"/>
          <w:color w:val="auto"/>
          <w:highlight w:val="white"/>
        </w:rPr>
        <w:t>定义</w:t>
      </w:r>
      <w:r>
        <w:rPr>
          <w:color w:val="auto"/>
        </w:rPr>
        <w:tab/>
      </w:r>
      <w:r>
        <w:rPr>
          <w:color w:val="auto"/>
        </w:rPr>
        <w:fldChar w:fldCharType="begin"/>
      </w:r>
      <w:r>
        <w:rPr>
          <w:color w:val="auto"/>
        </w:rPr>
        <w:instrText xml:space="preserve"> PAGEREF _Toc6847 \h </w:instrText>
      </w:r>
      <w:r>
        <w:rPr>
          <w:color w:val="auto"/>
        </w:rPr>
        <w:fldChar w:fldCharType="separate"/>
      </w:r>
      <w:r>
        <w:rPr>
          <w:color w:val="auto"/>
        </w:rPr>
        <w:t>10</w:t>
      </w:r>
      <w:r>
        <w:rPr>
          <w:color w:val="auto"/>
        </w:rPr>
        <w:fldChar w:fldCharType="end"/>
      </w:r>
      <w:r>
        <w:rPr>
          <w:rFonts w:hint="eastAsia" w:ascii="楷体" w:hAnsi="楷体" w:eastAsia="楷体" w:cs="楷体"/>
          <w:color w:val="auto"/>
          <w:szCs w:val="24"/>
        </w:rPr>
        <w:fldChar w:fldCharType="end"/>
      </w:r>
    </w:p>
    <w:p w14:paraId="08499AC0">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_Toc21741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 </w:t>
      </w:r>
      <w:r>
        <w:rPr>
          <w:rFonts w:hint="eastAsia" w:ascii="楷体" w:hAnsi="楷体" w:eastAsia="楷体" w:cs="楷体"/>
          <w:color w:val="auto"/>
          <w:highlight w:val="white"/>
        </w:rPr>
        <w:t>本次采购方式</w:t>
      </w:r>
      <w:r>
        <w:rPr>
          <w:color w:val="auto"/>
        </w:rPr>
        <w:tab/>
      </w:r>
      <w:r>
        <w:rPr>
          <w:color w:val="auto"/>
        </w:rPr>
        <w:fldChar w:fldCharType="begin"/>
      </w:r>
      <w:r>
        <w:rPr>
          <w:color w:val="auto"/>
        </w:rPr>
        <w:instrText xml:space="preserve"> PAGEREF _Toc21741 \h </w:instrText>
      </w:r>
      <w:r>
        <w:rPr>
          <w:color w:val="auto"/>
        </w:rPr>
        <w:fldChar w:fldCharType="separate"/>
      </w:r>
      <w:r>
        <w:rPr>
          <w:color w:val="auto"/>
        </w:rPr>
        <w:t>10</w:t>
      </w:r>
      <w:r>
        <w:rPr>
          <w:color w:val="auto"/>
        </w:rPr>
        <w:fldChar w:fldCharType="end"/>
      </w:r>
      <w:r>
        <w:rPr>
          <w:rFonts w:hint="eastAsia" w:ascii="楷体" w:hAnsi="楷体" w:eastAsia="楷体" w:cs="楷体"/>
          <w:color w:val="auto"/>
          <w:szCs w:val="24"/>
        </w:rPr>
        <w:fldChar w:fldCharType="end"/>
      </w:r>
    </w:p>
    <w:p w14:paraId="4F934FA3">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_Toc13279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4.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费用</w:t>
      </w:r>
      <w:r>
        <w:rPr>
          <w:color w:val="auto"/>
        </w:rPr>
        <w:tab/>
      </w:r>
      <w:r>
        <w:rPr>
          <w:color w:val="auto"/>
        </w:rPr>
        <w:fldChar w:fldCharType="begin"/>
      </w:r>
      <w:r>
        <w:rPr>
          <w:color w:val="auto"/>
        </w:rPr>
        <w:instrText xml:space="preserve"> PAGEREF _Toc13279 \h </w:instrText>
      </w:r>
      <w:r>
        <w:rPr>
          <w:color w:val="auto"/>
        </w:rPr>
        <w:fldChar w:fldCharType="separate"/>
      </w:r>
      <w:r>
        <w:rPr>
          <w:color w:val="auto"/>
        </w:rPr>
        <w:t>11</w:t>
      </w:r>
      <w:r>
        <w:rPr>
          <w:color w:val="auto"/>
        </w:rPr>
        <w:fldChar w:fldCharType="end"/>
      </w:r>
      <w:r>
        <w:rPr>
          <w:rFonts w:hint="eastAsia" w:ascii="楷体" w:hAnsi="楷体" w:eastAsia="楷体" w:cs="楷体"/>
          <w:color w:val="auto"/>
          <w:szCs w:val="24"/>
        </w:rPr>
        <w:fldChar w:fldCharType="end"/>
      </w:r>
    </w:p>
    <w:p w14:paraId="6B7BFEF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_Toc19527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5. </w:t>
      </w:r>
      <w:r>
        <w:rPr>
          <w:rFonts w:hint="eastAsia" w:ascii="楷体" w:hAnsi="楷体" w:eastAsia="楷体" w:cs="楷体"/>
          <w:color w:val="auto"/>
          <w:highlight w:val="white"/>
        </w:rPr>
        <w:t>适用法律及约束力</w:t>
      </w:r>
      <w:r>
        <w:rPr>
          <w:color w:val="auto"/>
        </w:rPr>
        <w:tab/>
      </w:r>
      <w:r>
        <w:rPr>
          <w:color w:val="auto"/>
        </w:rPr>
        <w:fldChar w:fldCharType="begin"/>
      </w:r>
      <w:r>
        <w:rPr>
          <w:color w:val="auto"/>
        </w:rPr>
        <w:instrText xml:space="preserve"> PAGEREF _Toc19527 \h </w:instrText>
      </w:r>
      <w:r>
        <w:rPr>
          <w:color w:val="auto"/>
        </w:rPr>
        <w:fldChar w:fldCharType="separate"/>
      </w:r>
      <w:r>
        <w:rPr>
          <w:color w:val="auto"/>
        </w:rPr>
        <w:t>11</w:t>
      </w:r>
      <w:r>
        <w:rPr>
          <w:color w:val="auto"/>
        </w:rPr>
        <w:fldChar w:fldCharType="end"/>
      </w:r>
      <w:r>
        <w:rPr>
          <w:rFonts w:hint="eastAsia" w:ascii="楷体" w:hAnsi="楷体" w:eastAsia="楷体" w:cs="楷体"/>
          <w:color w:val="auto"/>
          <w:szCs w:val="24"/>
        </w:rPr>
        <w:fldChar w:fldCharType="end"/>
      </w:r>
    </w:p>
    <w:p w14:paraId="22039D6B">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_Toc2633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二、</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文件</w:t>
      </w:r>
      <w:r>
        <w:rPr>
          <w:color w:val="auto"/>
        </w:rPr>
        <w:tab/>
      </w:r>
      <w:r>
        <w:rPr>
          <w:color w:val="auto"/>
        </w:rPr>
        <w:fldChar w:fldCharType="begin"/>
      </w:r>
      <w:r>
        <w:rPr>
          <w:color w:val="auto"/>
        </w:rPr>
        <w:instrText xml:space="preserve"> PAGEREF _Toc2633 \h </w:instrText>
      </w:r>
      <w:r>
        <w:rPr>
          <w:color w:val="auto"/>
        </w:rPr>
        <w:fldChar w:fldCharType="separate"/>
      </w:r>
      <w:r>
        <w:rPr>
          <w:color w:val="auto"/>
        </w:rPr>
        <w:t>12</w:t>
      </w:r>
      <w:r>
        <w:rPr>
          <w:color w:val="auto"/>
        </w:rPr>
        <w:fldChar w:fldCharType="end"/>
      </w:r>
      <w:r>
        <w:rPr>
          <w:rFonts w:hint="eastAsia" w:ascii="楷体" w:hAnsi="楷体" w:eastAsia="楷体" w:cs="楷体"/>
          <w:color w:val="auto"/>
          <w:szCs w:val="24"/>
        </w:rPr>
        <w:fldChar w:fldCharType="end"/>
      </w:r>
    </w:p>
    <w:p w14:paraId="2928CE04">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_Toc1478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6.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文件组成</w:t>
      </w:r>
      <w:r>
        <w:rPr>
          <w:color w:val="auto"/>
        </w:rPr>
        <w:tab/>
      </w:r>
      <w:r>
        <w:rPr>
          <w:color w:val="auto"/>
        </w:rPr>
        <w:fldChar w:fldCharType="begin"/>
      </w:r>
      <w:r>
        <w:rPr>
          <w:color w:val="auto"/>
        </w:rPr>
        <w:instrText xml:space="preserve"> PAGEREF _Toc1478 \h </w:instrText>
      </w:r>
      <w:r>
        <w:rPr>
          <w:color w:val="auto"/>
        </w:rPr>
        <w:fldChar w:fldCharType="separate"/>
      </w:r>
      <w:r>
        <w:rPr>
          <w:color w:val="auto"/>
        </w:rPr>
        <w:t>12</w:t>
      </w:r>
      <w:r>
        <w:rPr>
          <w:color w:val="auto"/>
        </w:rPr>
        <w:fldChar w:fldCharType="end"/>
      </w:r>
      <w:r>
        <w:rPr>
          <w:rFonts w:hint="eastAsia" w:ascii="楷体" w:hAnsi="楷体" w:eastAsia="楷体" w:cs="楷体"/>
          <w:color w:val="auto"/>
          <w:szCs w:val="24"/>
        </w:rPr>
        <w:fldChar w:fldCharType="end"/>
      </w:r>
    </w:p>
    <w:p w14:paraId="6F4E97D7">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_Toc20784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7.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文件的澄清和修改</w:t>
      </w:r>
      <w:r>
        <w:rPr>
          <w:color w:val="auto"/>
        </w:rPr>
        <w:tab/>
      </w:r>
      <w:r>
        <w:rPr>
          <w:color w:val="auto"/>
        </w:rPr>
        <w:fldChar w:fldCharType="begin"/>
      </w:r>
      <w:r>
        <w:rPr>
          <w:color w:val="auto"/>
        </w:rPr>
        <w:instrText xml:space="preserve"> PAGEREF _Toc20784 \h </w:instrText>
      </w:r>
      <w:r>
        <w:rPr>
          <w:color w:val="auto"/>
        </w:rPr>
        <w:fldChar w:fldCharType="separate"/>
      </w:r>
      <w:r>
        <w:rPr>
          <w:color w:val="auto"/>
        </w:rPr>
        <w:t>12</w:t>
      </w:r>
      <w:r>
        <w:rPr>
          <w:color w:val="auto"/>
        </w:rPr>
        <w:fldChar w:fldCharType="end"/>
      </w:r>
      <w:r>
        <w:rPr>
          <w:rFonts w:hint="eastAsia" w:ascii="楷体" w:hAnsi="楷体" w:eastAsia="楷体" w:cs="楷体"/>
          <w:color w:val="auto"/>
          <w:szCs w:val="24"/>
        </w:rPr>
        <w:fldChar w:fldCharType="end"/>
      </w:r>
    </w:p>
    <w:p w14:paraId="14724A64">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_Toc23039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三、响应文件</w:t>
      </w:r>
      <w:r>
        <w:rPr>
          <w:color w:val="auto"/>
        </w:rPr>
        <w:tab/>
      </w:r>
      <w:r>
        <w:rPr>
          <w:color w:val="auto"/>
        </w:rPr>
        <w:fldChar w:fldCharType="begin"/>
      </w:r>
      <w:r>
        <w:rPr>
          <w:color w:val="auto"/>
        </w:rPr>
        <w:instrText xml:space="preserve"> PAGEREF _Toc23039 \h </w:instrText>
      </w:r>
      <w:r>
        <w:rPr>
          <w:color w:val="auto"/>
        </w:rPr>
        <w:fldChar w:fldCharType="separate"/>
      </w:r>
      <w:r>
        <w:rPr>
          <w:color w:val="auto"/>
        </w:rPr>
        <w:t>13</w:t>
      </w:r>
      <w:r>
        <w:rPr>
          <w:color w:val="auto"/>
        </w:rPr>
        <w:fldChar w:fldCharType="end"/>
      </w:r>
      <w:r>
        <w:rPr>
          <w:rFonts w:hint="eastAsia" w:ascii="楷体" w:hAnsi="楷体" w:eastAsia="楷体" w:cs="楷体"/>
          <w:color w:val="auto"/>
          <w:szCs w:val="24"/>
        </w:rPr>
        <w:fldChar w:fldCharType="end"/>
      </w:r>
    </w:p>
    <w:p w14:paraId="0C12EAA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_Toc20574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8. </w:t>
      </w:r>
      <w:r>
        <w:rPr>
          <w:rFonts w:hint="eastAsia" w:ascii="楷体" w:hAnsi="楷体" w:eastAsia="楷体" w:cs="楷体"/>
          <w:color w:val="auto"/>
          <w:highlight w:val="white"/>
        </w:rPr>
        <w:t>响应文件的编制</w:t>
      </w:r>
      <w:r>
        <w:rPr>
          <w:color w:val="auto"/>
        </w:rPr>
        <w:tab/>
      </w:r>
      <w:r>
        <w:rPr>
          <w:color w:val="auto"/>
        </w:rPr>
        <w:fldChar w:fldCharType="begin"/>
      </w:r>
      <w:r>
        <w:rPr>
          <w:color w:val="auto"/>
        </w:rPr>
        <w:instrText xml:space="preserve"> PAGEREF _Toc20574 \h </w:instrText>
      </w:r>
      <w:r>
        <w:rPr>
          <w:color w:val="auto"/>
        </w:rPr>
        <w:fldChar w:fldCharType="separate"/>
      </w:r>
      <w:r>
        <w:rPr>
          <w:color w:val="auto"/>
        </w:rPr>
        <w:t>13</w:t>
      </w:r>
      <w:r>
        <w:rPr>
          <w:color w:val="auto"/>
        </w:rPr>
        <w:fldChar w:fldCharType="end"/>
      </w:r>
      <w:r>
        <w:rPr>
          <w:rFonts w:hint="eastAsia" w:ascii="楷体" w:hAnsi="楷体" w:eastAsia="楷体" w:cs="楷体"/>
          <w:color w:val="auto"/>
          <w:szCs w:val="24"/>
        </w:rPr>
        <w:fldChar w:fldCharType="end"/>
      </w:r>
    </w:p>
    <w:p w14:paraId="2180123A">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_Toc1291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9. </w:t>
      </w:r>
      <w:r>
        <w:rPr>
          <w:rFonts w:hint="eastAsia" w:ascii="楷体" w:hAnsi="楷体" w:eastAsia="楷体" w:cs="楷体"/>
          <w:color w:val="auto"/>
          <w:highlight w:val="white"/>
        </w:rPr>
        <w:t>响应文件语言及度量衡单位</w:t>
      </w:r>
      <w:r>
        <w:rPr>
          <w:color w:val="auto"/>
        </w:rPr>
        <w:tab/>
      </w:r>
      <w:r>
        <w:rPr>
          <w:color w:val="auto"/>
        </w:rPr>
        <w:fldChar w:fldCharType="begin"/>
      </w:r>
      <w:r>
        <w:rPr>
          <w:color w:val="auto"/>
        </w:rPr>
        <w:instrText xml:space="preserve"> PAGEREF _Toc1291 \h </w:instrText>
      </w:r>
      <w:r>
        <w:rPr>
          <w:color w:val="auto"/>
        </w:rPr>
        <w:fldChar w:fldCharType="separate"/>
      </w:r>
      <w:r>
        <w:rPr>
          <w:color w:val="auto"/>
        </w:rPr>
        <w:t>14</w:t>
      </w:r>
      <w:r>
        <w:rPr>
          <w:color w:val="auto"/>
        </w:rPr>
        <w:fldChar w:fldCharType="end"/>
      </w:r>
      <w:r>
        <w:rPr>
          <w:rFonts w:hint="eastAsia" w:ascii="楷体" w:hAnsi="楷体" w:eastAsia="楷体" w:cs="楷体"/>
          <w:color w:val="auto"/>
          <w:szCs w:val="24"/>
        </w:rPr>
        <w:fldChar w:fldCharType="end"/>
      </w:r>
    </w:p>
    <w:p w14:paraId="1A6BC5E6">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_Toc279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10. </w:t>
      </w:r>
      <w:r>
        <w:rPr>
          <w:rFonts w:hint="eastAsia" w:ascii="楷体" w:hAnsi="楷体" w:eastAsia="楷体" w:cs="楷体"/>
          <w:color w:val="auto"/>
          <w:highlight w:val="white"/>
        </w:rPr>
        <w:t>响应文件的构成</w:t>
      </w:r>
      <w:r>
        <w:rPr>
          <w:color w:val="auto"/>
        </w:rPr>
        <w:tab/>
      </w:r>
      <w:r>
        <w:rPr>
          <w:color w:val="auto"/>
        </w:rPr>
        <w:fldChar w:fldCharType="begin"/>
      </w:r>
      <w:r>
        <w:rPr>
          <w:color w:val="auto"/>
        </w:rPr>
        <w:instrText xml:space="preserve"> PAGEREF _Toc279 \h </w:instrText>
      </w:r>
      <w:r>
        <w:rPr>
          <w:color w:val="auto"/>
        </w:rPr>
        <w:fldChar w:fldCharType="separate"/>
      </w:r>
      <w:r>
        <w:rPr>
          <w:color w:val="auto"/>
        </w:rPr>
        <w:t>14</w:t>
      </w:r>
      <w:r>
        <w:rPr>
          <w:color w:val="auto"/>
        </w:rPr>
        <w:fldChar w:fldCharType="end"/>
      </w:r>
      <w:r>
        <w:rPr>
          <w:rFonts w:hint="eastAsia" w:ascii="楷体" w:hAnsi="楷体" w:eastAsia="楷体" w:cs="楷体"/>
          <w:color w:val="auto"/>
          <w:szCs w:val="24"/>
        </w:rPr>
        <w:fldChar w:fldCharType="end"/>
      </w:r>
    </w:p>
    <w:p w14:paraId="1B086081">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_Toc23146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11. </w:t>
      </w:r>
      <w:r>
        <w:rPr>
          <w:rFonts w:hint="eastAsia" w:ascii="楷体" w:hAnsi="楷体" w:eastAsia="楷体" w:cs="楷体"/>
          <w:color w:val="auto"/>
          <w:highlight w:val="white"/>
        </w:rPr>
        <w:t>响应报价</w:t>
      </w:r>
      <w:r>
        <w:rPr>
          <w:color w:val="auto"/>
        </w:rPr>
        <w:tab/>
      </w:r>
      <w:r>
        <w:rPr>
          <w:color w:val="auto"/>
        </w:rPr>
        <w:fldChar w:fldCharType="begin"/>
      </w:r>
      <w:r>
        <w:rPr>
          <w:color w:val="auto"/>
        </w:rPr>
        <w:instrText xml:space="preserve"> PAGEREF _Toc23146 \h </w:instrText>
      </w:r>
      <w:r>
        <w:rPr>
          <w:color w:val="auto"/>
        </w:rPr>
        <w:fldChar w:fldCharType="separate"/>
      </w:r>
      <w:r>
        <w:rPr>
          <w:color w:val="auto"/>
        </w:rPr>
        <w:t>14</w:t>
      </w:r>
      <w:r>
        <w:rPr>
          <w:color w:val="auto"/>
        </w:rPr>
        <w:fldChar w:fldCharType="end"/>
      </w:r>
      <w:r>
        <w:rPr>
          <w:rFonts w:hint="eastAsia" w:ascii="楷体" w:hAnsi="楷体" w:eastAsia="楷体" w:cs="楷体"/>
          <w:color w:val="auto"/>
          <w:szCs w:val="24"/>
        </w:rPr>
        <w:fldChar w:fldCharType="end"/>
      </w:r>
    </w:p>
    <w:p w14:paraId="63A3EABB">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_Toc21244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12.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保证金</w:t>
      </w:r>
      <w:r>
        <w:rPr>
          <w:color w:val="auto"/>
        </w:rPr>
        <w:tab/>
      </w:r>
      <w:r>
        <w:rPr>
          <w:color w:val="auto"/>
        </w:rPr>
        <w:fldChar w:fldCharType="begin"/>
      </w:r>
      <w:r>
        <w:rPr>
          <w:color w:val="auto"/>
        </w:rPr>
        <w:instrText xml:space="preserve"> PAGEREF _Toc21244 \h </w:instrText>
      </w:r>
      <w:r>
        <w:rPr>
          <w:color w:val="auto"/>
        </w:rPr>
        <w:fldChar w:fldCharType="separate"/>
      </w:r>
      <w:r>
        <w:rPr>
          <w:color w:val="auto"/>
        </w:rPr>
        <w:t>15</w:t>
      </w:r>
      <w:r>
        <w:rPr>
          <w:color w:val="auto"/>
        </w:rPr>
        <w:fldChar w:fldCharType="end"/>
      </w:r>
      <w:r>
        <w:rPr>
          <w:rFonts w:hint="eastAsia" w:ascii="楷体" w:hAnsi="楷体" w:eastAsia="楷体" w:cs="楷体"/>
          <w:color w:val="auto"/>
          <w:szCs w:val="24"/>
        </w:rPr>
        <w:fldChar w:fldCharType="end"/>
      </w:r>
    </w:p>
    <w:p w14:paraId="349765CE">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_Toc21714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13.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响应有效期</w:t>
      </w:r>
      <w:r>
        <w:rPr>
          <w:color w:val="auto"/>
        </w:rPr>
        <w:tab/>
      </w:r>
      <w:r>
        <w:rPr>
          <w:color w:val="auto"/>
        </w:rPr>
        <w:fldChar w:fldCharType="begin"/>
      </w:r>
      <w:r>
        <w:rPr>
          <w:color w:val="auto"/>
        </w:rPr>
        <w:instrText xml:space="preserve"> PAGEREF _Toc21714 \h </w:instrText>
      </w:r>
      <w:r>
        <w:rPr>
          <w:color w:val="auto"/>
        </w:rPr>
        <w:fldChar w:fldCharType="separate"/>
      </w:r>
      <w:r>
        <w:rPr>
          <w:color w:val="auto"/>
        </w:rPr>
        <w:t>16</w:t>
      </w:r>
      <w:r>
        <w:rPr>
          <w:color w:val="auto"/>
        </w:rPr>
        <w:fldChar w:fldCharType="end"/>
      </w:r>
      <w:r>
        <w:rPr>
          <w:rFonts w:hint="eastAsia" w:ascii="楷体" w:hAnsi="楷体" w:eastAsia="楷体" w:cs="楷体"/>
          <w:color w:val="auto"/>
          <w:szCs w:val="24"/>
        </w:rPr>
        <w:fldChar w:fldCharType="end"/>
      </w:r>
    </w:p>
    <w:p w14:paraId="03B80825">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_Toc24864 </w:instrText>
      </w:r>
      <w:r>
        <w:rPr>
          <w:rFonts w:hint="eastAsia" w:ascii="楷体" w:hAnsi="楷体" w:eastAsia="楷体" w:cs="楷体"/>
          <w:color w:val="auto"/>
          <w:szCs w:val="24"/>
        </w:rPr>
        <w:fldChar w:fldCharType="separate"/>
      </w:r>
      <w:r>
        <w:rPr>
          <w:rFonts w:hint="default" w:ascii="楷体" w:hAnsi="楷体" w:eastAsia="楷体"/>
          <w:bCs/>
          <w:color w:val="auto"/>
        </w:rPr>
        <w:t xml:space="preserve">14. </w:t>
      </w:r>
      <w:r>
        <w:rPr>
          <w:rFonts w:hint="eastAsia" w:ascii="楷体" w:hAnsi="楷体" w:eastAsia="楷体"/>
          <w:bCs/>
          <w:color w:val="auto"/>
          <w:highlight w:val="none"/>
          <w:lang w:eastAsia="zh-CN"/>
        </w:rPr>
        <w:t>磋商</w:t>
      </w:r>
      <w:r>
        <w:rPr>
          <w:rFonts w:hint="eastAsia" w:ascii="楷体" w:hAnsi="楷体" w:eastAsia="楷体"/>
          <w:bCs/>
          <w:color w:val="auto"/>
          <w:highlight w:val="none"/>
        </w:rPr>
        <w:t>响应文件的密封、标记和递交</w:t>
      </w:r>
      <w:r>
        <w:rPr>
          <w:color w:val="auto"/>
        </w:rPr>
        <w:tab/>
      </w:r>
      <w:r>
        <w:rPr>
          <w:color w:val="auto"/>
        </w:rPr>
        <w:fldChar w:fldCharType="begin"/>
      </w:r>
      <w:r>
        <w:rPr>
          <w:color w:val="auto"/>
        </w:rPr>
        <w:instrText xml:space="preserve"> PAGEREF _Toc24864 \h </w:instrText>
      </w:r>
      <w:r>
        <w:rPr>
          <w:color w:val="auto"/>
        </w:rPr>
        <w:fldChar w:fldCharType="separate"/>
      </w:r>
      <w:r>
        <w:rPr>
          <w:color w:val="auto"/>
        </w:rPr>
        <w:t>16</w:t>
      </w:r>
      <w:r>
        <w:rPr>
          <w:color w:val="auto"/>
        </w:rPr>
        <w:fldChar w:fldCharType="end"/>
      </w:r>
      <w:r>
        <w:rPr>
          <w:rFonts w:hint="eastAsia" w:ascii="楷体" w:hAnsi="楷体" w:eastAsia="楷体" w:cs="楷体"/>
          <w:color w:val="auto"/>
          <w:szCs w:val="24"/>
        </w:rPr>
        <w:fldChar w:fldCharType="end"/>
      </w:r>
    </w:p>
    <w:p w14:paraId="5B403534">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_Toc18805 </w:instrText>
      </w:r>
      <w:r>
        <w:rPr>
          <w:rFonts w:hint="eastAsia" w:ascii="楷体" w:hAnsi="楷体" w:eastAsia="楷体" w:cs="楷体"/>
          <w:color w:val="auto"/>
          <w:szCs w:val="24"/>
        </w:rPr>
        <w:fldChar w:fldCharType="separate"/>
      </w:r>
      <w:r>
        <w:rPr>
          <w:rFonts w:hint="default" w:ascii="楷体" w:hAnsi="楷体" w:eastAsia="楷体"/>
          <w:bCs/>
          <w:color w:val="auto"/>
        </w:rPr>
        <w:t xml:space="preserve">15. </w:t>
      </w:r>
      <w:r>
        <w:rPr>
          <w:rFonts w:hint="eastAsia" w:ascii="楷体" w:hAnsi="楷体" w:eastAsia="楷体"/>
          <w:bCs/>
          <w:color w:val="auto"/>
          <w:highlight w:val="none"/>
          <w:lang w:eastAsia="zh-CN"/>
        </w:rPr>
        <w:t>磋商响应文件提交截止时间</w:t>
      </w:r>
      <w:r>
        <w:rPr>
          <w:color w:val="auto"/>
        </w:rPr>
        <w:tab/>
      </w:r>
      <w:r>
        <w:rPr>
          <w:color w:val="auto"/>
        </w:rPr>
        <w:fldChar w:fldCharType="begin"/>
      </w:r>
      <w:r>
        <w:rPr>
          <w:color w:val="auto"/>
        </w:rPr>
        <w:instrText xml:space="preserve"> PAGEREF _Toc18805 \h </w:instrText>
      </w:r>
      <w:r>
        <w:rPr>
          <w:color w:val="auto"/>
        </w:rPr>
        <w:fldChar w:fldCharType="separate"/>
      </w:r>
      <w:r>
        <w:rPr>
          <w:color w:val="auto"/>
        </w:rPr>
        <w:t>16</w:t>
      </w:r>
      <w:r>
        <w:rPr>
          <w:color w:val="auto"/>
        </w:rPr>
        <w:fldChar w:fldCharType="end"/>
      </w:r>
      <w:r>
        <w:rPr>
          <w:rFonts w:hint="eastAsia" w:ascii="楷体" w:hAnsi="楷体" w:eastAsia="楷体" w:cs="楷体"/>
          <w:color w:val="auto"/>
          <w:szCs w:val="24"/>
        </w:rPr>
        <w:fldChar w:fldCharType="end"/>
      </w:r>
    </w:p>
    <w:p w14:paraId="08E11EF3">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_Toc24749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16. </w:t>
      </w:r>
      <w:r>
        <w:rPr>
          <w:rFonts w:hint="eastAsia" w:ascii="楷体" w:hAnsi="楷体" w:eastAsia="楷体" w:cs="楷体"/>
          <w:color w:val="auto"/>
          <w:highlight w:val="white"/>
        </w:rPr>
        <w:t>响应文件的补充、修改或者撤回</w:t>
      </w:r>
      <w:r>
        <w:rPr>
          <w:color w:val="auto"/>
        </w:rPr>
        <w:tab/>
      </w:r>
      <w:r>
        <w:rPr>
          <w:color w:val="auto"/>
        </w:rPr>
        <w:fldChar w:fldCharType="begin"/>
      </w:r>
      <w:r>
        <w:rPr>
          <w:color w:val="auto"/>
        </w:rPr>
        <w:instrText xml:space="preserve"> PAGEREF _Toc24749 \h </w:instrText>
      </w:r>
      <w:r>
        <w:rPr>
          <w:color w:val="auto"/>
        </w:rPr>
        <w:fldChar w:fldCharType="separate"/>
      </w:r>
      <w:r>
        <w:rPr>
          <w:color w:val="auto"/>
        </w:rPr>
        <w:t>17</w:t>
      </w:r>
      <w:r>
        <w:rPr>
          <w:color w:val="auto"/>
        </w:rPr>
        <w:fldChar w:fldCharType="end"/>
      </w:r>
      <w:r>
        <w:rPr>
          <w:rFonts w:hint="eastAsia" w:ascii="楷体" w:hAnsi="楷体" w:eastAsia="楷体" w:cs="楷体"/>
          <w:color w:val="auto"/>
          <w:szCs w:val="24"/>
        </w:rPr>
        <w:fldChar w:fldCharType="end"/>
      </w:r>
    </w:p>
    <w:p w14:paraId="6D01BD27">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_Toc651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四、</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与评审</w:t>
      </w:r>
      <w:r>
        <w:rPr>
          <w:color w:val="auto"/>
        </w:rPr>
        <w:tab/>
      </w:r>
      <w:r>
        <w:rPr>
          <w:color w:val="auto"/>
        </w:rPr>
        <w:fldChar w:fldCharType="begin"/>
      </w:r>
      <w:r>
        <w:rPr>
          <w:color w:val="auto"/>
        </w:rPr>
        <w:instrText xml:space="preserve"> PAGEREF _Toc651 \h </w:instrText>
      </w:r>
      <w:r>
        <w:rPr>
          <w:color w:val="auto"/>
        </w:rPr>
        <w:fldChar w:fldCharType="separate"/>
      </w:r>
      <w:r>
        <w:rPr>
          <w:color w:val="auto"/>
        </w:rPr>
        <w:t>17</w:t>
      </w:r>
      <w:r>
        <w:rPr>
          <w:color w:val="auto"/>
        </w:rPr>
        <w:fldChar w:fldCharType="end"/>
      </w:r>
      <w:r>
        <w:rPr>
          <w:rFonts w:hint="eastAsia" w:ascii="楷体" w:hAnsi="楷体" w:eastAsia="楷体" w:cs="楷体"/>
          <w:color w:val="auto"/>
          <w:szCs w:val="24"/>
        </w:rPr>
        <w:fldChar w:fldCharType="end"/>
      </w:r>
    </w:p>
    <w:p w14:paraId="6E6E692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_Toc7630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17. </w:t>
      </w:r>
      <w:r>
        <w:rPr>
          <w:rFonts w:hint="eastAsia" w:ascii="楷体" w:hAnsi="楷体" w:eastAsia="楷体" w:cs="楷体"/>
          <w:color w:val="auto"/>
          <w:highlight w:val="white"/>
          <w:lang w:eastAsia="zh-CN"/>
        </w:rPr>
        <w:t>磋商</w:t>
      </w:r>
      <w:r>
        <w:rPr>
          <w:color w:val="auto"/>
        </w:rPr>
        <w:tab/>
      </w:r>
      <w:r>
        <w:rPr>
          <w:color w:val="auto"/>
        </w:rPr>
        <w:fldChar w:fldCharType="begin"/>
      </w:r>
      <w:r>
        <w:rPr>
          <w:color w:val="auto"/>
        </w:rPr>
        <w:instrText xml:space="preserve"> PAGEREF _Toc7630 \h </w:instrText>
      </w:r>
      <w:r>
        <w:rPr>
          <w:color w:val="auto"/>
        </w:rPr>
        <w:fldChar w:fldCharType="separate"/>
      </w:r>
      <w:r>
        <w:rPr>
          <w:color w:val="auto"/>
        </w:rPr>
        <w:t>17</w:t>
      </w:r>
      <w:r>
        <w:rPr>
          <w:color w:val="auto"/>
        </w:rPr>
        <w:fldChar w:fldCharType="end"/>
      </w:r>
      <w:r>
        <w:rPr>
          <w:rFonts w:hint="eastAsia" w:ascii="楷体" w:hAnsi="楷体" w:eastAsia="楷体" w:cs="楷体"/>
          <w:color w:val="auto"/>
          <w:szCs w:val="24"/>
        </w:rPr>
        <w:fldChar w:fldCharType="end"/>
      </w:r>
    </w:p>
    <w:p w14:paraId="22E3DFC4">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_Toc25381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18.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小组组成</w:t>
      </w:r>
      <w:r>
        <w:rPr>
          <w:color w:val="auto"/>
        </w:rPr>
        <w:tab/>
      </w:r>
      <w:r>
        <w:rPr>
          <w:color w:val="auto"/>
        </w:rPr>
        <w:fldChar w:fldCharType="begin"/>
      </w:r>
      <w:r>
        <w:rPr>
          <w:color w:val="auto"/>
        </w:rPr>
        <w:instrText xml:space="preserve"> PAGEREF _Toc25381 \h </w:instrText>
      </w:r>
      <w:r>
        <w:rPr>
          <w:color w:val="auto"/>
        </w:rPr>
        <w:fldChar w:fldCharType="separate"/>
      </w:r>
      <w:r>
        <w:rPr>
          <w:color w:val="auto"/>
        </w:rPr>
        <w:t>18</w:t>
      </w:r>
      <w:r>
        <w:rPr>
          <w:color w:val="auto"/>
        </w:rPr>
        <w:fldChar w:fldCharType="end"/>
      </w:r>
      <w:r>
        <w:rPr>
          <w:rFonts w:hint="eastAsia" w:ascii="楷体" w:hAnsi="楷体" w:eastAsia="楷体" w:cs="楷体"/>
          <w:color w:val="auto"/>
          <w:szCs w:val="24"/>
        </w:rPr>
        <w:fldChar w:fldCharType="end"/>
      </w:r>
    </w:p>
    <w:p w14:paraId="42AD092E">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_Toc16559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19. </w:t>
      </w:r>
      <w:r>
        <w:rPr>
          <w:rFonts w:hint="eastAsia" w:ascii="楷体" w:hAnsi="楷体" w:eastAsia="楷体" w:cs="楷体"/>
          <w:color w:val="auto"/>
          <w:highlight w:val="white"/>
        </w:rPr>
        <w:t>无效</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的情形</w:t>
      </w:r>
      <w:r>
        <w:rPr>
          <w:color w:val="auto"/>
        </w:rPr>
        <w:tab/>
      </w:r>
      <w:r>
        <w:rPr>
          <w:color w:val="auto"/>
        </w:rPr>
        <w:fldChar w:fldCharType="begin"/>
      </w:r>
      <w:r>
        <w:rPr>
          <w:color w:val="auto"/>
        </w:rPr>
        <w:instrText xml:space="preserve"> PAGEREF _Toc16559 \h </w:instrText>
      </w:r>
      <w:r>
        <w:rPr>
          <w:color w:val="auto"/>
        </w:rPr>
        <w:fldChar w:fldCharType="separate"/>
      </w:r>
      <w:r>
        <w:rPr>
          <w:color w:val="auto"/>
        </w:rPr>
        <w:t>18</w:t>
      </w:r>
      <w:r>
        <w:rPr>
          <w:color w:val="auto"/>
        </w:rPr>
        <w:fldChar w:fldCharType="end"/>
      </w:r>
      <w:r>
        <w:rPr>
          <w:rFonts w:hint="eastAsia" w:ascii="楷体" w:hAnsi="楷体" w:eastAsia="楷体" w:cs="楷体"/>
          <w:color w:val="auto"/>
          <w:szCs w:val="24"/>
        </w:rPr>
        <w:fldChar w:fldCharType="end"/>
      </w:r>
    </w:p>
    <w:p w14:paraId="46D4A4C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_Toc1680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20. </w:t>
      </w:r>
      <w:r>
        <w:rPr>
          <w:rFonts w:hint="eastAsia" w:ascii="楷体" w:hAnsi="楷体" w:eastAsia="楷体" w:cs="楷体"/>
          <w:color w:val="auto"/>
          <w:highlight w:val="white"/>
        </w:rPr>
        <w:t>串通</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的情形</w:t>
      </w:r>
      <w:r>
        <w:rPr>
          <w:color w:val="auto"/>
        </w:rPr>
        <w:tab/>
      </w:r>
      <w:r>
        <w:rPr>
          <w:color w:val="auto"/>
        </w:rPr>
        <w:fldChar w:fldCharType="begin"/>
      </w:r>
      <w:r>
        <w:rPr>
          <w:color w:val="auto"/>
        </w:rPr>
        <w:instrText xml:space="preserve"> PAGEREF _Toc1680 \h </w:instrText>
      </w:r>
      <w:r>
        <w:rPr>
          <w:color w:val="auto"/>
        </w:rPr>
        <w:fldChar w:fldCharType="separate"/>
      </w:r>
      <w:r>
        <w:rPr>
          <w:color w:val="auto"/>
        </w:rPr>
        <w:t>19</w:t>
      </w:r>
      <w:r>
        <w:rPr>
          <w:color w:val="auto"/>
        </w:rPr>
        <w:fldChar w:fldCharType="end"/>
      </w:r>
      <w:r>
        <w:rPr>
          <w:rFonts w:hint="eastAsia" w:ascii="楷体" w:hAnsi="楷体" w:eastAsia="楷体" w:cs="楷体"/>
          <w:color w:val="auto"/>
          <w:szCs w:val="24"/>
        </w:rPr>
        <w:fldChar w:fldCharType="end"/>
      </w:r>
    </w:p>
    <w:p w14:paraId="5530070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_Toc9183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21. </w:t>
      </w:r>
      <w:r>
        <w:rPr>
          <w:rFonts w:hint="eastAsia" w:ascii="楷体" w:hAnsi="楷体" w:eastAsia="楷体" w:cs="楷体"/>
          <w:color w:val="auto"/>
          <w:highlight w:val="white"/>
        </w:rPr>
        <w:t>响应文件的澄清</w:t>
      </w:r>
      <w:r>
        <w:rPr>
          <w:color w:val="auto"/>
        </w:rPr>
        <w:tab/>
      </w:r>
      <w:r>
        <w:rPr>
          <w:color w:val="auto"/>
        </w:rPr>
        <w:fldChar w:fldCharType="begin"/>
      </w:r>
      <w:r>
        <w:rPr>
          <w:color w:val="auto"/>
        </w:rPr>
        <w:instrText xml:space="preserve"> PAGEREF _Toc9183 \h </w:instrText>
      </w:r>
      <w:r>
        <w:rPr>
          <w:color w:val="auto"/>
        </w:rPr>
        <w:fldChar w:fldCharType="separate"/>
      </w:r>
      <w:r>
        <w:rPr>
          <w:color w:val="auto"/>
        </w:rPr>
        <w:t>19</w:t>
      </w:r>
      <w:r>
        <w:rPr>
          <w:color w:val="auto"/>
        </w:rPr>
        <w:fldChar w:fldCharType="end"/>
      </w:r>
      <w:r>
        <w:rPr>
          <w:rFonts w:hint="eastAsia" w:ascii="楷体" w:hAnsi="楷体" w:eastAsia="楷体" w:cs="楷体"/>
          <w:color w:val="auto"/>
          <w:szCs w:val="24"/>
        </w:rPr>
        <w:fldChar w:fldCharType="end"/>
      </w:r>
    </w:p>
    <w:p w14:paraId="7930847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_Toc8143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22.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内容</w:t>
      </w:r>
      <w:r>
        <w:rPr>
          <w:color w:val="auto"/>
        </w:rPr>
        <w:tab/>
      </w:r>
      <w:r>
        <w:rPr>
          <w:color w:val="auto"/>
        </w:rPr>
        <w:fldChar w:fldCharType="begin"/>
      </w:r>
      <w:r>
        <w:rPr>
          <w:color w:val="auto"/>
        </w:rPr>
        <w:instrText xml:space="preserve"> PAGEREF _Toc8143 \h </w:instrText>
      </w:r>
      <w:r>
        <w:rPr>
          <w:color w:val="auto"/>
        </w:rPr>
        <w:fldChar w:fldCharType="separate"/>
      </w:r>
      <w:r>
        <w:rPr>
          <w:color w:val="auto"/>
        </w:rPr>
        <w:t>19</w:t>
      </w:r>
      <w:r>
        <w:rPr>
          <w:color w:val="auto"/>
        </w:rPr>
        <w:fldChar w:fldCharType="end"/>
      </w:r>
      <w:r>
        <w:rPr>
          <w:rFonts w:hint="eastAsia" w:ascii="楷体" w:hAnsi="楷体" w:eastAsia="楷体" w:cs="楷体"/>
          <w:color w:val="auto"/>
          <w:szCs w:val="24"/>
        </w:rPr>
        <w:fldChar w:fldCharType="end"/>
      </w:r>
    </w:p>
    <w:p w14:paraId="5F487A33">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_Toc3667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23. </w:t>
      </w:r>
      <w:r>
        <w:rPr>
          <w:rFonts w:hint="eastAsia" w:ascii="楷体" w:hAnsi="楷体" w:eastAsia="楷体" w:cs="楷体"/>
          <w:color w:val="auto"/>
          <w:highlight w:val="white"/>
        </w:rPr>
        <w:t>最后报价的提交</w:t>
      </w:r>
      <w:r>
        <w:rPr>
          <w:color w:val="auto"/>
        </w:rPr>
        <w:tab/>
      </w:r>
      <w:r>
        <w:rPr>
          <w:color w:val="auto"/>
        </w:rPr>
        <w:fldChar w:fldCharType="begin"/>
      </w:r>
      <w:r>
        <w:rPr>
          <w:color w:val="auto"/>
        </w:rPr>
        <w:instrText xml:space="preserve"> PAGEREF _Toc3667 \h </w:instrText>
      </w:r>
      <w:r>
        <w:rPr>
          <w:color w:val="auto"/>
        </w:rPr>
        <w:fldChar w:fldCharType="separate"/>
      </w:r>
      <w:r>
        <w:rPr>
          <w:color w:val="auto"/>
        </w:rPr>
        <w:t>20</w:t>
      </w:r>
      <w:r>
        <w:rPr>
          <w:color w:val="auto"/>
        </w:rPr>
        <w:fldChar w:fldCharType="end"/>
      </w:r>
      <w:r>
        <w:rPr>
          <w:rFonts w:hint="eastAsia" w:ascii="楷体" w:hAnsi="楷体" w:eastAsia="楷体" w:cs="楷体"/>
          <w:color w:val="auto"/>
          <w:szCs w:val="24"/>
        </w:rPr>
        <w:fldChar w:fldCharType="end"/>
      </w:r>
    </w:p>
    <w:p w14:paraId="61323104">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_Toc16893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24. </w:t>
      </w:r>
      <w:r>
        <w:rPr>
          <w:rFonts w:hint="eastAsia" w:ascii="楷体" w:hAnsi="楷体" w:eastAsia="楷体" w:cs="楷体"/>
          <w:color w:val="auto"/>
          <w:highlight w:val="white"/>
        </w:rPr>
        <w:t>竞争性</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特殊情况处理</w:t>
      </w:r>
      <w:r>
        <w:rPr>
          <w:color w:val="auto"/>
        </w:rPr>
        <w:tab/>
      </w:r>
      <w:r>
        <w:rPr>
          <w:color w:val="auto"/>
        </w:rPr>
        <w:fldChar w:fldCharType="begin"/>
      </w:r>
      <w:r>
        <w:rPr>
          <w:color w:val="auto"/>
        </w:rPr>
        <w:instrText xml:space="preserve"> PAGEREF _Toc16893 \h </w:instrText>
      </w:r>
      <w:r>
        <w:rPr>
          <w:color w:val="auto"/>
        </w:rPr>
        <w:fldChar w:fldCharType="separate"/>
      </w:r>
      <w:r>
        <w:rPr>
          <w:color w:val="auto"/>
        </w:rPr>
        <w:t>20</w:t>
      </w:r>
      <w:r>
        <w:rPr>
          <w:color w:val="auto"/>
        </w:rPr>
        <w:fldChar w:fldCharType="end"/>
      </w:r>
      <w:r>
        <w:rPr>
          <w:rFonts w:hint="eastAsia" w:ascii="楷体" w:hAnsi="楷体" w:eastAsia="楷体" w:cs="楷体"/>
          <w:color w:val="auto"/>
          <w:szCs w:val="24"/>
        </w:rPr>
        <w:fldChar w:fldCharType="end"/>
      </w:r>
    </w:p>
    <w:p w14:paraId="5D1D484A">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_Toc30418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五、确定成交结果</w:t>
      </w:r>
      <w:r>
        <w:rPr>
          <w:color w:val="auto"/>
        </w:rPr>
        <w:tab/>
      </w:r>
      <w:r>
        <w:rPr>
          <w:color w:val="auto"/>
        </w:rPr>
        <w:fldChar w:fldCharType="begin"/>
      </w:r>
      <w:r>
        <w:rPr>
          <w:color w:val="auto"/>
        </w:rPr>
        <w:instrText xml:space="preserve"> PAGEREF _Toc30418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1AF93025">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_Toc16523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25. </w:t>
      </w:r>
      <w:r>
        <w:rPr>
          <w:rFonts w:hint="eastAsia" w:ascii="楷体" w:hAnsi="楷体" w:eastAsia="楷体" w:cs="楷体"/>
          <w:color w:val="auto"/>
          <w:highlight w:val="white"/>
        </w:rPr>
        <w:t>确定成交供应商</w:t>
      </w:r>
      <w:r>
        <w:rPr>
          <w:color w:val="auto"/>
        </w:rPr>
        <w:tab/>
      </w:r>
      <w:r>
        <w:rPr>
          <w:color w:val="auto"/>
        </w:rPr>
        <w:fldChar w:fldCharType="begin"/>
      </w:r>
      <w:r>
        <w:rPr>
          <w:color w:val="auto"/>
        </w:rPr>
        <w:instrText xml:space="preserve"> PAGEREF _Toc16523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6033F9C5">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_Toc25507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六、授予合同</w:t>
      </w:r>
      <w:r>
        <w:rPr>
          <w:color w:val="auto"/>
        </w:rPr>
        <w:tab/>
      </w:r>
      <w:r>
        <w:rPr>
          <w:color w:val="auto"/>
        </w:rPr>
        <w:fldChar w:fldCharType="begin"/>
      </w:r>
      <w:r>
        <w:rPr>
          <w:color w:val="auto"/>
        </w:rPr>
        <w:instrText xml:space="preserve"> PAGEREF _Toc25507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55A7E1BF">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_Toc3777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26. </w:t>
      </w:r>
      <w:r>
        <w:rPr>
          <w:rFonts w:hint="eastAsia" w:ascii="楷体" w:hAnsi="楷体" w:eastAsia="楷体" w:cs="楷体"/>
          <w:color w:val="auto"/>
        </w:rPr>
        <w:t>磋商组织方接受和拒绝任何或所有响应的权利</w:t>
      </w:r>
      <w:r>
        <w:rPr>
          <w:color w:val="auto"/>
        </w:rPr>
        <w:tab/>
      </w:r>
      <w:r>
        <w:rPr>
          <w:color w:val="auto"/>
        </w:rPr>
        <w:fldChar w:fldCharType="begin"/>
      </w:r>
      <w:r>
        <w:rPr>
          <w:color w:val="auto"/>
        </w:rPr>
        <w:instrText xml:space="preserve"> PAGEREF _Toc3777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137C1DF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_Toc20647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27. </w:t>
      </w:r>
      <w:r>
        <w:rPr>
          <w:rFonts w:hint="eastAsia" w:ascii="楷体" w:hAnsi="楷体" w:eastAsia="楷体" w:cs="楷体"/>
          <w:color w:val="auto"/>
          <w:highlight w:val="white"/>
        </w:rPr>
        <w:t>成交通知书</w:t>
      </w:r>
      <w:r>
        <w:rPr>
          <w:color w:val="auto"/>
        </w:rPr>
        <w:tab/>
      </w:r>
      <w:r>
        <w:rPr>
          <w:color w:val="auto"/>
        </w:rPr>
        <w:fldChar w:fldCharType="begin"/>
      </w:r>
      <w:r>
        <w:rPr>
          <w:color w:val="auto"/>
        </w:rPr>
        <w:instrText xml:space="preserve"> PAGEREF _Toc20647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3EC59B38">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_Toc32742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28. </w:t>
      </w:r>
      <w:r>
        <w:rPr>
          <w:rFonts w:hint="eastAsia" w:ascii="楷体" w:hAnsi="楷体" w:eastAsia="楷体" w:cs="楷体"/>
          <w:color w:val="auto"/>
          <w:highlight w:val="white"/>
        </w:rPr>
        <w:t>签订合同</w:t>
      </w:r>
      <w:r>
        <w:rPr>
          <w:color w:val="auto"/>
        </w:rPr>
        <w:tab/>
      </w:r>
      <w:r>
        <w:rPr>
          <w:color w:val="auto"/>
        </w:rPr>
        <w:fldChar w:fldCharType="begin"/>
      </w:r>
      <w:r>
        <w:rPr>
          <w:color w:val="auto"/>
        </w:rPr>
        <w:instrText xml:space="preserve"> PAGEREF _Toc32742 \h </w:instrText>
      </w:r>
      <w:r>
        <w:rPr>
          <w:color w:val="auto"/>
        </w:rPr>
        <w:fldChar w:fldCharType="separate"/>
      </w:r>
      <w:r>
        <w:rPr>
          <w:color w:val="auto"/>
        </w:rPr>
        <w:t>21</w:t>
      </w:r>
      <w:r>
        <w:rPr>
          <w:color w:val="auto"/>
        </w:rPr>
        <w:fldChar w:fldCharType="end"/>
      </w:r>
      <w:r>
        <w:rPr>
          <w:rFonts w:hint="eastAsia" w:ascii="楷体" w:hAnsi="楷体" w:eastAsia="楷体" w:cs="楷体"/>
          <w:color w:val="auto"/>
          <w:szCs w:val="24"/>
        </w:rPr>
        <w:fldChar w:fldCharType="end"/>
      </w:r>
    </w:p>
    <w:p w14:paraId="0A1299F1">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_Toc5959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29. </w:t>
      </w:r>
      <w:r>
        <w:rPr>
          <w:rFonts w:hint="eastAsia" w:ascii="楷体" w:hAnsi="楷体" w:eastAsia="楷体" w:cs="楷体"/>
          <w:color w:val="auto"/>
          <w:highlight w:val="white"/>
        </w:rPr>
        <w:t>履约保证金</w:t>
      </w:r>
      <w:r>
        <w:rPr>
          <w:color w:val="auto"/>
        </w:rPr>
        <w:tab/>
      </w:r>
      <w:r>
        <w:rPr>
          <w:color w:val="auto"/>
        </w:rPr>
        <w:fldChar w:fldCharType="begin"/>
      </w:r>
      <w:r>
        <w:rPr>
          <w:color w:val="auto"/>
        </w:rPr>
        <w:instrText xml:space="preserve"> PAGEREF _Toc5959 \h </w:instrText>
      </w:r>
      <w:r>
        <w:rPr>
          <w:color w:val="auto"/>
        </w:rPr>
        <w:fldChar w:fldCharType="separate"/>
      </w:r>
      <w:r>
        <w:rPr>
          <w:color w:val="auto"/>
        </w:rPr>
        <w:t>22</w:t>
      </w:r>
      <w:r>
        <w:rPr>
          <w:color w:val="auto"/>
        </w:rPr>
        <w:fldChar w:fldCharType="end"/>
      </w:r>
      <w:r>
        <w:rPr>
          <w:rFonts w:hint="eastAsia" w:ascii="楷体" w:hAnsi="楷体" w:eastAsia="楷体" w:cs="楷体"/>
          <w:color w:val="auto"/>
          <w:szCs w:val="24"/>
        </w:rPr>
        <w:fldChar w:fldCharType="end"/>
      </w:r>
    </w:p>
    <w:p w14:paraId="09F95CAE">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_Toc5621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七、询问、质疑、投诉</w:t>
      </w:r>
      <w:r>
        <w:rPr>
          <w:color w:val="auto"/>
        </w:rPr>
        <w:tab/>
      </w:r>
      <w:r>
        <w:rPr>
          <w:color w:val="auto"/>
        </w:rPr>
        <w:fldChar w:fldCharType="begin"/>
      </w:r>
      <w:r>
        <w:rPr>
          <w:color w:val="auto"/>
        </w:rPr>
        <w:instrText xml:space="preserve"> PAGEREF _Toc5621 \h </w:instrText>
      </w:r>
      <w:r>
        <w:rPr>
          <w:color w:val="auto"/>
        </w:rPr>
        <w:fldChar w:fldCharType="separate"/>
      </w:r>
      <w:r>
        <w:rPr>
          <w:color w:val="auto"/>
        </w:rPr>
        <w:t>22</w:t>
      </w:r>
      <w:r>
        <w:rPr>
          <w:color w:val="auto"/>
        </w:rPr>
        <w:fldChar w:fldCharType="end"/>
      </w:r>
      <w:r>
        <w:rPr>
          <w:rFonts w:hint="eastAsia" w:ascii="楷体" w:hAnsi="楷体" w:eastAsia="楷体" w:cs="楷体"/>
          <w:color w:val="auto"/>
          <w:szCs w:val="24"/>
        </w:rPr>
        <w:fldChar w:fldCharType="end"/>
      </w:r>
    </w:p>
    <w:p w14:paraId="6035BA19">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_Toc28390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30. </w:t>
      </w:r>
      <w:r>
        <w:rPr>
          <w:rFonts w:hint="eastAsia" w:ascii="楷体" w:hAnsi="楷体" w:eastAsia="楷体" w:cs="楷体"/>
          <w:color w:val="auto"/>
          <w:highlight w:val="white"/>
        </w:rPr>
        <w:t>询问</w:t>
      </w:r>
      <w:r>
        <w:rPr>
          <w:color w:val="auto"/>
        </w:rPr>
        <w:tab/>
      </w:r>
      <w:r>
        <w:rPr>
          <w:color w:val="auto"/>
        </w:rPr>
        <w:fldChar w:fldCharType="begin"/>
      </w:r>
      <w:r>
        <w:rPr>
          <w:color w:val="auto"/>
        </w:rPr>
        <w:instrText xml:space="preserve"> PAGEREF _Toc28390 \h </w:instrText>
      </w:r>
      <w:r>
        <w:rPr>
          <w:color w:val="auto"/>
        </w:rPr>
        <w:fldChar w:fldCharType="separate"/>
      </w:r>
      <w:r>
        <w:rPr>
          <w:color w:val="auto"/>
        </w:rPr>
        <w:t>22</w:t>
      </w:r>
      <w:r>
        <w:rPr>
          <w:color w:val="auto"/>
        </w:rPr>
        <w:fldChar w:fldCharType="end"/>
      </w:r>
      <w:r>
        <w:rPr>
          <w:rFonts w:hint="eastAsia" w:ascii="楷体" w:hAnsi="楷体" w:eastAsia="楷体" w:cs="楷体"/>
          <w:color w:val="auto"/>
          <w:szCs w:val="24"/>
        </w:rPr>
        <w:fldChar w:fldCharType="end"/>
      </w:r>
    </w:p>
    <w:p w14:paraId="059A5A82">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_Toc15063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31. </w:t>
      </w:r>
      <w:r>
        <w:rPr>
          <w:rFonts w:hint="eastAsia" w:ascii="楷体" w:hAnsi="楷体" w:eastAsia="楷体" w:cs="楷体"/>
          <w:color w:val="auto"/>
          <w:highlight w:val="white"/>
        </w:rPr>
        <w:t>质疑</w:t>
      </w:r>
      <w:r>
        <w:rPr>
          <w:color w:val="auto"/>
        </w:rPr>
        <w:tab/>
      </w:r>
      <w:r>
        <w:rPr>
          <w:color w:val="auto"/>
        </w:rPr>
        <w:fldChar w:fldCharType="begin"/>
      </w:r>
      <w:r>
        <w:rPr>
          <w:color w:val="auto"/>
        </w:rPr>
        <w:instrText xml:space="preserve"> PAGEREF _Toc15063 \h </w:instrText>
      </w:r>
      <w:r>
        <w:rPr>
          <w:color w:val="auto"/>
        </w:rPr>
        <w:fldChar w:fldCharType="separate"/>
      </w:r>
      <w:r>
        <w:rPr>
          <w:color w:val="auto"/>
        </w:rPr>
        <w:t>22</w:t>
      </w:r>
      <w:r>
        <w:rPr>
          <w:color w:val="auto"/>
        </w:rPr>
        <w:fldChar w:fldCharType="end"/>
      </w:r>
      <w:r>
        <w:rPr>
          <w:rFonts w:hint="eastAsia" w:ascii="楷体" w:hAnsi="楷体" w:eastAsia="楷体" w:cs="楷体"/>
          <w:color w:val="auto"/>
          <w:szCs w:val="24"/>
        </w:rPr>
        <w:fldChar w:fldCharType="end"/>
      </w:r>
    </w:p>
    <w:p w14:paraId="6B4FBF6D">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_Toc4522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32. </w:t>
      </w:r>
      <w:r>
        <w:rPr>
          <w:rFonts w:hint="eastAsia" w:ascii="楷体" w:hAnsi="楷体" w:eastAsia="楷体" w:cs="楷体"/>
          <w:color w:val="auto"/>
          <w:highlight w:val="white"/>
        </w:rPr>
        <w:t>投诉</w:t>
      </w:r>
      <w:r>
        <w:rPr>
          <w:color w:val="auto"/>
        </w:rPr>
        <w:tab/>
      </w:r>
      <w:r>
        <w:rPr>
          <w:color w:val="auto"/>
        </w:rPr>
        <w:fldChar w:fldCharType="begin"/>
      </w:r>
      <w:r>
        <w:rPr>
          <w:color w:val="auto"/>
        </w:rPr>
        <w:instrText xml:space="preserve"> PAGEREF _Toc4522 \h </w:instrText>
      </w:r>
      <w:r>
        <w:rPr>
          <w:color w:val="auto"/>
        </w:rPr>
        <w:fldChar w:fldCharType="separate"/>
      </w:r>
      <w:r>
        <w:rPr>
          <w:color w:val="auto"/>
        </w:rPr>
        <w:t>23</w:t>
      </w:r>
      <w:r>
        <w:rPr>
          <w:color w:val="auto"/>
        </w:rPr>
        <w:fldChar w:fldCharType="end"/>
      </w:r>
      <w:r>
        <w:rPr>
          <w:rFonts w:hint="eastAsia" w:ascii="楷体" w:hAnsi="楷体" w:eastAsia="楷体" w:cs="楷体"/>
          <w:color w:val="auto"/>
          <w:szCs w:val="24"/>
        </w:rPr>
        <w:fldChar w:fldCharType="end"/>
      </w:r>
    </w:p>
    <w:p w14:paraId="270D302E">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_Toc24685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33. </w:t>
      </w:r>
      <w:r>
        <w:rPr>
          <w:rFonts w:hint="eastAsia" w:ascii="楷体" w:hAnsi="楷体" w:eastAsia="楷体" w:cs="楷体"/>
          <w:color w:val="auto"/>
          <w:highlight w:val="white"/>
        </w:rPr>
        <w:t>诚实信用</w:t>
      </w:r>
      <w:r>
        <w:rPr>
          <w:color w:val="auto"/>
        </w:rPr>
        <w:tab/>
      </w:r>
      <w:r>
        <w:rPr>
          <w:color w:val="auto"/>
        </w:rPr>
        <w:fldChar w:fldCharType="begin"/>
      </w:r>
      <w:r>
        <w:rPr>
          <w:color w:val="auto"/>
        </w:rPr>
        <w:instrText xml:space="preserve"> PAGEREF _Toc24685 \h </w:instrText>
      </w:r>
      <w:r>
        <w:rPr>
          <w:color w:val="auto"/>
        </w:rPr>
        <w:fldChar w:fldCharType="separate"/>
      </w:r>
      <w:r>
        <w:rPr>
          <w:color w:val="auto"/>
        </w:rPr>
        <w:t>23</w:t>
      </w:r>
      <w:r>
        <w:rPr>
          <w:color w:val="auto"/>
        </w:rPr>
        <w:fldChar w:fldCharType="end"/>
      </w:r>
      <w:r>
        <w:rPr>
          <w:rFonts w:hint="eastAsia" w:ascii="楷体" w:hAnsi="楷体" w:eastAsia="楷体" w:cs="楷体"/>
          <w:color w:val="auto"/>
          <w:szCs w:val="24"/>
        </w:rPr>
        <w:fldChar w:fldCharType="end"/>
      </w:r>
    </w:p>
    <w:p w14:paraId="1C40FB80">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_Toc12514 </w:instrText>
      </w:r>
      <w:r>
        <w:rPr>
          <w:rFonts w:hint="eastAsia" w:ascii="楷体" w:hAnsi="楷体" w:eastAsia="楷体" w:cs="楷体"/>
          <w:color w:val="auto"/>
          <w:szCs w:val="24"/>
        </w:rPr>
        <w:fldChar w:fldCharType="separate"/>
      </w:r>
      <w:r>
        <w:rPr>
          <w:rFonts w:hint="default" w:ascii="楷体" w:hAnsi="楷体" w:eastAsia="楷体" w:cs="楷体"/>
          <w:color w:val="auto"/>
          <w:lang w:eastAsia="zh-CN"/>
        </w:rPr>
        <w:t xml:space="preserve">34. </w:t>
      </w:r>
      <w:r>
        <w:rPr>
          <w:rFonts w:hint="eastAsia" w:ascii="楷体" w:hAnsi="楷体" w:eastAsia="楷体" w:cs="楷体"/>
          <w:color w:val="auto"/>
          <w:highlight w:val="white"/>
        </w:rPr>
        <w:t>解释权</w:t>
      </w:r>
      <w:r>
        <w:rPr>
          <w:color w:val="auto"/>
        </w:rPr>
        <w:tab/>
      </w:r>
      <w:r>
        <w:rPr>
          <w:color w:val="auto"/>
        </w:rPr>
        <w:fldChar w:fldCharType="begin"/>
      </w:r>
      <w:r>
        <w:rPr>
          <w:color w:val="auto"/>
        </w:rPr>
        <w:instrText xml:space="preserve"> PAGEREF _Toc12514 \h </w:instrText>
      </w:r>
      <w:r>
        <w:rPr>
          <w:color w:val="auto"/>
        </w:rPr>
        <w:fldChar w:fldCharType="separate"/>
      </w:r>
      <w:r>
        <w:rPr>
          <w:color w:val="auto"/>
        </w:rPr>
        <w:t>24</w:t>
      </w:r>
      <w:r>
        <w:rPr>
          <w:color w:val="auto"/>
        </w:rPr>
        <w:fldChar w:fldCharType="end"/>
      </w:r>
      <w:r>
        <w:rPr>
          <w:rFonts w:hint="eastAsia" w:ascii="楷体" w:hAnsi="楷体" w:eastAsia="楷体" w:cs="楷体"/>
          <w:color w:val="auto"/>
          <w:szCs w:val="24"/>
        </w:rPr>
        <w:fldChar w:fldCharType="end"/>
      </w:r>
    </w:p>
    <w:p w14:paraId="103D90C9">
      <w:pPr>
        <w:pStyle w:val="17"/>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_Toc9717 </w:instrText>
      </w:r>
      <w:r>
        <w:rPr>
          <w:rFonts w:hint="eastAsia" w:ascii="楷体" w:hAnsi="楷体" w:eastAsia="楷体" w:cs="楷体"/>
          <w:color w:val="auto"/>
          <w:szCs w:val="24"/>
        </w:rPr>
        <w:fldChar w:fldCharType="separate"/>
      </w:r>
      <w:r>
        <w:rPr>
          <w:rFonts w:hint="default" w:ascii="楷体" w:hAnsi="楷体" w:eastAsia="楷体" w:cs="楷体"/>
          <w:color w:val="auto"/>
        </w:rPr>
        <w:t xml:space="preserve">35. </w:t>
      </w:r>
      <w:r>
        <w:rPr>
          <w:rFonts w:hint="eastAsia" w:ascii="楷体" w:hAnsi="楷体" w:eastAsia="楷体" w:cs="楷体"/>
          <w:color w:val="auto"/>
          <w:highlight w:val="white"/>
        </w:rPr>
        <w:t>适用法律及约束力</w:t>
      </w:r>
      <w:r>
        <w:rPr>
          <w:color w:val="auto"/>
        </w:rPr>
        <w:tab/>
      </w:r>
      <w:r>
        <w:rPr>
          <w:color w:val="auto"/>
        </w:rPr>
        <w:fldChar w:fldCharType="begin"/>
      </w:r>
      <w:r>
        <w:rPr>
          <w:color w:val="auto"/>
        </w:rPr>
        <w:instrText xml:space="preserve"> PAGEREF _Toc9717 \h </w:instrText>
      </w:r>
      <w:r>
        <w:rPr>
          <w:color w:val="auto"/>
        </w:rPr>
        <w:fldChar w:fldCharType="separate"/>
      </w:r>
      <w:r>
        <w:rPr>
          <w:color w:val="auto"/>
        </w:rPr>
        <w:t>24</w:t>
      </w:r>
      <w:r>
        <w:rPr>
          <w:color w:val="auto"/>
        </w:rPr>
        <w:fldChar w:fldCharType="end"/>
      </w:r>
      <w:r>
        <w:rPr>
          <w:rFonts w:hint="eastAsia" w:ascii="楷体" w:hAnsi="楷体" w:eastAsia="楷体" w:cs="楷体"/>
          <w:color w:val="auto"/>
          <w:szCs w:val="24"/>
        </w:rPr>
        <w:fldChar w:fldCharType="end"/>
      </w:r>
    </w:p>
    <w:p w14:paraId="6059E855">
      <w:pPr>
        <w:pStyle w:val="22"/>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_Toc32088 </w:instrText>
      </w:r>
      <w:r>
        <w:rPr>
          <w:rFonts w:hint="eastAsia" w:ascii="楷体" w:hAnsi="楷体" w:eastAsia="楷体" w:cs="楷体"/>
          <w:color w:val="auto"/>
          <w:szCs w:val="24"/>
        </w:rPr>
        <w:fldChar w:fldCharType="separate"/>
      </w:r>
      <w:r>
        <w:rPr>
          <w:rFonts w:hint="eastAsia" w:ascii="楷体" w:hAnsi="楷体" w:eastAsia="楷体" w:cs="楷体"/>
          <w:color w:val="auto"/>
          <w:szCs w:val="44"/>
        </w:rPr>
        <w:t>第三部分  拟签订的合同文本</w:t>
      </w:r>
      <w:r>
        <w:rPr>
          <w:color w:val="auto"/>
        </w:rPr>
        <w:tab/>
      </w:r>
      <w:r>
        <w:rPr>
          <w:color w:val="auto"/>
        </w:rPr>
        <w:fldChar w:fldCharType="begin"/>
      </w:r>
      <w:r>
        <w:rPr>
          <w:color w:val="auto"/>
        </w:rPr>
        <w:instrText xml:space="preserve"> PAGEREF _Toc32088 \h </w:instrText>
      </w:r>
      <w:r>
        <w:rPr>
          <w:color w:val="auto"/>
        </w:rPr>
        <w:fldChar w:fldCharType="separate"/>
      </w:r>
      <w:r>
        <w:rPr>
          <w:color w:val="auto"/>
        </w:rPr>
        <w:t>25</w:t>
      </w:r>
      <w:r>
        <w:rPr>
          <w:color w:val="auto"/>
        </w:rPr>
        <w:fldChar w:fldCharType="end"/>
      </w:r>
      <w:r>
        <w:rPr>
          <w:rFonts w:hint="eastAsia" w:ascii="楷体" w:hAnsi="楷体" w:eastAsia="楷体" w:cs="楷体"/>
          <w:color w:val="auto"/>
          <w:szCs w:val="24"/>
        </w:rPr>
        <w:fldChar w:fldCharType="end"/>
      </w:r>
    </w:p>
    <w:p w14:paraId="0D1E3926">
      <w:pPr>
        <w:pStyle w:val="22"/>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_Toc21901 </w:instrText>
      </w:r>
      <w:r>
        <w:rPr>
          <w:rFonts w:hint="eastAsia" w:ascii="楷体" w:hAnsi="楷体" w:eastAsia="楷体" w:cs="楷体"/>
          <w:color w:val="auto"/>
          <w:szCs w:val="24"/>
        </w:rPr>
        <w:fldChar w:fldCharType="separate"/>
      </w:r>
      <w:r>
        <w:rPr>
          <w:rFonts w:hint="eastAsia" w:ascii="楷体" w:hAnsi="楷体" w:eastAsia="楷体" w:cs="楷体"/>
          <w:bCs/>
          <w:color w:val="auto"/>
          <w:szCs w:val="44"/>
          <w:highlight w:val="white"/>
        </w:rPr>
        <w:t>第四部分  采购需求</w:t>
      </w:r>
      <w:r>
        <w:rPr>
          <w:color w:val="auto"/>
        </w:rPr>
        <w:tab/>
      </w:r>
      <w:r>
        <w:rPr>
          <w:color w:val="auto"/>
        </w:rPr>
        <w:fldChar w:fldCharType="begin"/>
      </w:r>
      <w:r>
        <w:rPr>
          <w:color w:val="auto"/>
        </w:rPr>
        <w:instrText xml:space="preserve"> PAGEREF _Toc21901 \h </w:instrText>
      </w:r>
      <w:r>
        <w:rPr>
          <w:color w:val="auto"/>
        </w:rPr>
        <w:fldChar w:fldCharType="separate"/>
      </w:r>
      <w:r>
        <w:rPr>
          <w:color w:val="auto"/>
        </w:rPr>
        <w:t>37</w:t>
      </w:r>
      <w:r>
        <w:rPr>
          <w:color w:val="auto"/>
        </w:rPr>
        <w:fldChar w:fldCharType="end"/>
      </w:r>
      <w:r>
        <w:rPr>
          <w:rFonts w:hint="eastAsia" w:ascii="楷体" w:hAnsi="楷体" w:eastAsia="楷体" w:cs="楷体"/>
          <w:color w:val="auto"/>
          <w:szCs w:val="24"/>
        </w:rPr>
        <w:fldChar w:fldCharType="end"/>
      </w:r>
    </w:p>
    <w:p w14:paraId="7FE1947F">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_Toc27455 </w:instrText>
      </w:r>
      <w:r>
        <w:rPr>
          <w:rFonts w:hint="eastAsia" w:ascii="楷体" w:hAnsi="楷体" w:eastAsia="楷体" w:cs="楷体"/>
          <w:color w:val="auto"/>
          <w:szCs w:val="24"/>
        </w:rPr>
        <w:fldChar w:fldCharType="separate"/>
      </w:r>
      <w:r>
        <w:rPr>
          <w:rFonts w:hint="eastAsia" w:ascii="楷体" w:hAnsi="楷体" w:eastAsia="楷体" w:cs="楷体"/>
          <w:bCs/>
          <w:color w:val="auto"/>
          <w:szCs w:val="24"/>
        </w:rPr>
        <w:t>一. 项目概况</w:t>
      </w:r>
      <w:r>
        <w:rPr>
          <w:color w:val="auto"/>
        </w:rPr>
        <w:tab/>
      </w:r>
      <w:r>
        <w:rPr>
          <w:color w:val="auto"/>
        </w:rPr>
        <w:fldChar w:fldCharType="begin"/>
      </w:r>
      <w:r>
        <w:rPr>
          <w:color w:val="auto"/>
        </w:rPr>
        <w:instrText xml:space="preserve"> PAGEREF _Toc27455 \h </w:instrText>
      </w:r>
      <w:r>
        <w:rPr>
          <w:color w:val="auto"/>
        </w:rPr>
        <w:fldChar w:fldCharType="separate"/>
      </w:r>
      <w:r>
        <w:rPr>
          <w:color w:val="auto"/>
        </w:rPr>
        <w:t>37</w:t>
      </w:r>
      <w:r>
        <w:rPr>
          <w:color w:val="auto"/>
        </w:rPr>
        <w:fldChar w:fldCharType="end"/>
      </w:r>
      <w:r>
        <w:rPr>
          <w:rFonts w:hint="eastAsia" w:ascii="楷体" w:hAnsi="楷体" w:eastAsia="楷体" w:cs="楷体"/>
          <w:color w:val="auto"/>
          <w:szCs w:val="24"/>
        </w:rPr>
        <w:fldChar w:fldCharType="end"/>
      </w:r>
    </w:p>
    <w:p w14:paraId="529B4054">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_Toc25318 </w:instrText>
      </w:r>
      <w:r>
        <w:rPr>
          <w:rFonts w:hint="eastAsia" w:ascii="楷体" w:hAnsi="楷体" w:eastAsia="楷体" w:cs="楷体"/>
          <w:color w:val="auto"/>
          <w:szCs w:val="24"/>
        </w:rPr>
        <w:fldChar w:fldCharType="separate"/>
      </w:r>
      <w:r>
        <w:rPr>
          <w:rFonts w:hint="eastAsia" w:ascii="楷体" w:hAnsi="楷体" w:eastAsia="楷体" w:cs="楷体"/>
          <w:bCs/>
          <w:color w:val="auto"/>
          <w:szCs w:val="24"/>
        </w:rPr>
        <w:t>二. 采购标的汇总表</w:t>
      </w:r>
      <w:r>
        <w:rPr>
          <w:color w:val="auto"/>
        </w:rPr>
        <w:tab/>
      </w:r>
      <w:r>
        <w:rPr>
          <w:color w:val="auto"/>
        </w:rPr>
        <w:fldChar w:fldCharType="begin"/>
      </w:r>
      <w:r>
        <w:rPr>
          <w:color w:val="auto"/>
        </w:rPr>
        <w:instrText xml:space="preserve"> PAGEREF _Toc25318 \h </w:instrText>
      </w:r>
      <w:r>
        <w:rPr>
          <w:color w:val="auto"/>
        </w:rPr>
        <w:fldChar w:fldCharType="separate"/>
      </w:r>
      <w:r>
        <w:rPr>
          <w:color w:val="auto"/>
        </w:rPr>
        <w:t>37</w:t>
      </w:r>
      <w:r>
        <w:rPr>
          <w:color w:val="auto"/>
        </w:rPr>
        <w:fldChar w:fldCharType="end"/>
      </w:r>
      <w:r>
        <w:rPr>
          <w:rFonts w:hint="eastAsia" w:ascii="楷体" w:hAnsi="楷体" w:eastAsia="楷体" w:cs="楷体"/>
          <w:color w:val="auto"/>
          <w:szCs w:val="24"/>
        </w:rPr>
        <w:fldChar w:fldCharType="end"/>
      </w:r>
    </w:p>
    <w:p w14:paraId="02C3ED95">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_Toc22187 </w:instrText>
      </w:r>
      <w:r>
        <w:rPr>
          <w:rFonts w:hint="eastAsia" w:ascii="楷体" w:hAnsi="楷体" w:eastAsia="楷体" w:cs="楷体"/>
          <w:color w:val="auto"/>
          <w:szCs w:val="24"/>
        </w:rPr>
        <w:fldChar w:fldCharType="separate"/>
      </w:r>
      <w:r>
        <w:rPr>
          <w:rFonts w:hint="eastAsia" w:ascii="楷体" w:hAnsi="楷体" w:eastAsia="楷体" w:cs="楷体"/>
          <w:bCs/>
          <w:color w:val="auto"/>
          <w:szCs w:val="24"/>
        </w:rPr>
        <w:t>三. 技术要求</w:t>
      </w:r>
      <w:r>
        <w:rPr>
          <w:color w:val="auto"/>
        </w:rPr>
        <w:tab/>
      </w:r>
      <w:r>
        <w:rPr>
          <w:color w:val="auto"/>
        </w:rPr>
        <w:fldChar w:fldCharType="begin"/>
      </w:r>
      <w:r>
        <w:rPr>
          <w:color w:val="auto"/>
        </w:rPr>
        <w:instrText xml:space="preserve"> PAGEREF _Toc22187 \h </w:instrText>
      </w:r>
      <w:r>
        <w:rPr>
          <w:color w:val="auto"/>
        </w:rPr>
        <w:fldChar w:fldCharType="separate"/>
      </w:r>
      <w:r>
        <w:rPr>
          <w:color w:val="auto"/>
        </w:rPr>
        <w:t>37</w:t>
      </w:r>
      <w:r>
        <w:rPr>
          <w:color w:val="auto"/>
        </w:rPr>
        <w:fldChar w:fldCharType="end"/>
      </w:r>
      <w:r>
        <w:rPr>
          <w:rFonts w:hint="eastAsia" w:ascii="楷体" w:hAnsi="楷体" w:eastAsia="楷体" w:cs="楷体"/>
          <w:color w:val="auto"/>
          <w:szCs w:val="24"/>
        </w:rPr>
        <w:fldChar w:fldCharType="end"/>
      </w:r>
    </w:p>
    <w:p w14:paraId="01F59959">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_Toc7262 </w:instrText>
      </w:r>
      <w:r>
        <w:rPr>
          <w:rFonts w:hint="eastAsia" w:ascii="楷体" w:hAnsi="楷体" w:eastAsia="楷体" w:cs="楷体"/>
          <w:color w:val="auto"/>
          <w:szCs w:val="24"/>
        </w:rPr>
        <w:fldChar w:fldCharType="separate"/>
      </w:r>
      <w:r>
        <w:rPr>
          <w:rFonts w:hint="eastAsia" w:ascii="楷体" w:hAnsi="楷体" w:eastAsia="楷体" w:cs="楷体"/>
          <w:bCs/>
          <w:color w:val="auto"/>
          <w:szCs w:val="24"/>
        </w:rPr>
        <w:t>四. 商务要求</w:t>
      </w:r>
      <w:r>
        <w:rPr>
          <w:color w:val="auto"/>
        </w:rPr>
        <w:tab/>
      </w:r>
      <w:r>
        <w:rPr>
          <w:color w:val="auto"/>
        </w:rPr>
        <w:fldChar w:fldCharType="begin"/>
      </w:r>
      <w:r>
        <w:rPr>
          <w:color w:val="auto"/>
        </w:rPr>
        <w:instrText xml:space="preserve"> PAGEREF _Toc7262 \h </w:instrText>
      </w:r>
      <w:r>
        <w:rPr>
          <w:color w:val="auto"/>
        </w:rPr>
        <w:fldChar w:fldCharType="separate"/>
      </w:r>
      <w:r>
        <w:rPr>
          <w:color w:val="auto"/>
        </w:rPr>
        <w:t>38</w:t>
      </w:r>
      <w:r>
        <w:rPr>
          <w:color w:val="auto"/>
        </w:rPr>
        <w:fldChar w:fldCharType="end"/>
      </w:r>
      <w:r>
        <w:rPr>
          <w:rFonts w:hint="eastAsia" w:ascii="楷体" w:hAnsi="楷体" w:eastAsia="楷体" w:cs="楷体"/>
          <w:color w:val="auto"/>
          <w:szCs w:val="24"/>
        </w:rPr>
        <w:fldChar w:fldCharType="end"/>
      </w:r>
    </w:p>
    <w:p w14:paraId="76461B59">
      <w:pPr>
        <w:pStyle w:val="22"/>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_Toc5298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第五部分  评审办法和标准</w:t>
      </w:r>
      <w:r>
        <w:rPr>
          <w:color w:val="auto"/>
        </w:rPr>
        <w:tab/>
      </w:r>
      <w:r>
        <w:rPr>
          <w:color w:val="auto"/>
        </w:rPr>
        <w:fldChar w:fldCharType="begin"/>
      </w:r>
      <w:r>
        <w:rPr>
          <w:color w:val="auto"/>
        </w:rPr>
        <w:instrText xml:space="preserve"> PAGEREF _Toc5298 \h </w:instrText>
      </w:r>
      <w:r>
        <w:rPr>
          <w:color w:val="auto"/>
        </w:rPr>
        <w:fldChar w:fldCharType="separate"/>
      </w:r>
      <w:r>
        <w:rPr>
          <w:color w:val="auto"/>
        </w:rPr>
        <w:t>42</w:t>
      </w:r>
      <w:r>
        <w:rPr>
          <w:color w:val="auto"/>
        </w:rPr>
        <w:fldChar w:fldCharType="end"/>
      </w:r>
      <w:r>
        <w:rPr>
          <w:rFonts w:hint="eastAsia" w:ascii="楷体" w:hAnsi="楷体" w:eastAsia="楷体" w:cs="楷体"/>
          <w:color w:val="auto"/>
          <w:szCs w:val="24"/>
        </w:rPr>
        <w:fldChar w:fldCharType="end"/>
      </w:r>
    </w:p>
    <w:p w14:paraId="65E6A6F1">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_Toc2587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1．磋商小组职责</w:t>
      </w:r>
      <w:r>
        <w:rPr>
          <w:color w:val="auto"/>
        </w:rPr>
        <w:tab/>
      </w:r>
      <w:r>
        <w:rPr>
          <w:color w:val="auto"/>
        </w:rPr>
        <w:fldChar w:fldCharType="begin"/>
      </w:r>
      <w:r>
        <w:rPr>
          <w:color w:val="auto"/>
        </w:rPr>
        <w:instrText xml:space="preserve"> PAGEREF _Toc2587 \h </w:instrText>
      </w:r>
      <w:r>
        <w:rPr>
          <w:color w:val="auto"/>
        </w:rPr>
        <w:fldChar w:fldCharType="separate"/>
      </w:r>
      <w:r>
        <w:rPr>
          <w:color w:val="auto"/>
        </w:rPr>
        <w:t>42</w:t>
      </w:r>
      <w:r>
        <w:rPr>
          <w:color w:val="auto"/>
        </w:rPr>
        <w:fldChar w:fldCharType="end"/>
      </w:r>
      <w:r>
        <w:rPr>
          <w:rFonts w:hint="eastAsia" w:ascii="楷体" w:hAnsi="楷体" w:eastAsia="楷体" w:cs="楷体"/>
          <w:color w:val="auto"/>
          <w:szCs w:val="24"/>
        </w:rPr>
        <w:fldChar w:fldCharType="end"/>
      </w:r>
    </w:p>
    <w:p w14:paraId="1B73FA2F">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_Toc7846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2．磋商及评审程序</w:t>
      </w:r>
      <w:r>
        <w:rPr>
          <w:color w:val="auto"/>
        </w:rPr>
        <w:tab/>
      </w:r>
      <w:r>
        <w:rPr>
          <w:color w:val="auto"/>
        </w:rPr>
        <w:fldChar w:fldCharType="begin"/>
      </w:r>
      <w:r>
        <w:rPr>
          <w:color w:val="auto"/>
        </w:rPr>
        <w:instrText xml:space="preserve"> PAGEREF _Toc7846 \h </w:instrText>
      </w:r>
      <w:r>
        <w:rPr>
          <w:color w:val="auto"/>
        </w:rPr>
        <w:fldChar w:fldCharType="separate"/>
      </w:r>
      <w:r>
        <w:rPr>
          <w:color w:val="auto"/>
        </w:rPr>
        <w:t>42</w:t>
      </w:r>
      <w:r>
        <w:rPr>
          <w:color w:val="auto"/>
        </w:rPr>
        <w:fldChar w:fldCharType="end"/>
      </w:r>
      <w:r>
        <w:rPr>
          <w:rFonts w:hint="eastAsia" w:ascii="楷体" w:hAnsi="楷体" w:eastAsia="楷体" w:cs="楷体"/>
          <w:color w:val="auto"/>
          <w:szCs w:val="24"/>
        </w:rPr>
        <w:fldChar w:fldCharType="end"/>
      </w:r>
    </w:p>
    <w:p w14:paraId="6E29D38A">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_Toc4833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3．供应商资格审查</w:t>
      </w:r>
      <w:r>
        <w:rPr>
          <w:color w:val="auto"/>
        </w:rPr>
        <w:tab/>
      </w:r>
      <w:r>
        <w:rPr>
          <w:color w:val="auto"/>
        </w:rPr>
        <w:fldChar w:fldCharType="begin"/>
      </w:r>
      <w:r>
        <w:rPr>
          <w:color w:val="auto"/>
        </w:rPr>
        <w:instrText xml:space="preserve"> PAGEREF _Toc4833 \h </w:instrText>
      </w:r>
      <w:r>
        <w:rPr>
          <w:color w:val="auto"/>
        </w:rPr>
        <w:fldChar w:fldCharType="separate"/>
      </w:r>
      <w:r>
        <w:rPr>
          <w:color w:val="auto"/>
        </w:rPr>
        <w:t>43</w:t>
      </w:r>
      <w:r>
        <w:rPr>
          <w:color w:val="auto"/>
        </w:rPr>
        <w:fldChar w:fldCharType="end"/>
      </w:r>
      <w:r>
        <w:rPr>
          <w:rFonts w:hint="eastAsia" w:ascii="楷体" w:hAnsi="楷体" w:eastAsia="楷体" w:cs="楷体"/>
          <w:color w:val="auto"/>
          <w:szCs w:val="24"/>
        </w:rPr>
        <w:fldChar w:fldCharType="end"/>
      </w:r>
    </w:p>
    <w:p w14:paraId="1F918BE7">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_Toc12296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4．磋商响应文件的有效性、完整性和响应程度审查</w:t>
      </w:r>
      <w:r>
        <w:rPr>
          <w:color w:val="auto"/>
        </w:rPr>
        <w:tab/>
      </w:r>
      <w:r>
        <w:rPr>
          <w:color w:val="auto"/>
        </w:rPr>
        <w:fldChar w:fldCharType="begin"/>
      </w:r>
      <w:r>
        <w:rPr>
          <w:color w:val="auto"/>
        </w:rPr>
        <w:instrText xml:space="preserve"> PAGEREF _Toc12296 \h </w:instrText>
      </w:r>
      <w:r>
        <w:rPr>
          <w:color w:val="auto"/>
        </w:rPr>
        <w:fldChar w:fldCharType="separate"/>
      </w:r>
      <w:r>
        <w:rPr>
          <w:color w:val="auto"/>
        </w:rPr>
        <w:t>45</w:t>
      </w:r>
      <w:r>
        <w:rPr>
          <w:color w:val="auto"/>
        </w:rPr>
        <w:fldChar w:fldCharType="end"/>
      </w:r>
      <w:r>
        <w:rPr>
          <w:rFonts w:hint="eastAsia" w:ascii="楷体" w:hAnsi="楷体" w:eastAsia="楷体" w:cs="楷体"/>
          <w:color w:val="auto"/>
          <w:szCs w:val="24"/>
        </w:rPr>
        <w:fldChar w:fldCharType="end"/>
      </w:r>
    </w:p>
    <w:p w14:paraId="2F6EF6CE">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_Toc31930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5．磋商记录</w:t>
      </w:r>
      <w:r>
        <w:rPr>
          <w:color w:val="auto"/>
        </w:rPr>
        <w:tab/>
      </w:r>
      <w:r>
        <w:rPr>
          <w:color w:val="auto"/>
        </w:rPr>
        <w:fldChar w:fldCharType="begin"/>
      </w:r>
      <w:r>
        <w:rPr>
          <w:color w:val="auto"/>
        </w:rPr>
        <w:instrText xml:space="preserve"> PAGEREF _Toc31930 \h </w:instrText>
      </w:r>
      <w:r>
        <w:rPr>
          <w:color w:val="auto"/>
        </w:rPr>
        <w:fldChar w:fldCharType="separate"/>
      </w:r>
      <w:r>
        <w:rPr>
          <w:color w:val="auto"/>
        </w:rPr>
        <w:t>46</w:t>
      </w:r>
      <w:r>
        <w:rPr>
          <w:color w:val="auto"/>
        </w:rPr>
        <w:fldChar w:fldCharType="end"/>
      </w:r>
      <w:r>
        <w:rPr>
          <w:rFonts w:hint="eastAsia" w:ascii="楷体" w:hAnsi="楷体" w:eastAsia="楷体" w:cs="楷体"/>
          <w:color w:val="auto"/>
          <w:szCs w:val="24"/>
        </w:rPr>
        <w:fldChar w:fldCharType="end"/>
      </w:r>
    </w:p>
    <w:p w14:paraId="58D7C8ED">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_Toc13601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6．综合评分</w:t>
      </w:r>
      <w:r>
        <w:rPr>
          <w:color w:val="auto"/>
        </w:rPr>
        <w:tab/>
      </w:r>
      <w:r>
        <w:rPr>
          <w:color w:val="auto"/>
        </w:rPr>
        <w:fldChar w:fldCharType="begin"/>
      </w:r>
      <w:r>
        <w:rPr>
          <w:color w:val="auto"/>
        </w:rPr>
        <w:instrText xml:space="preserve"> PAGEREF _Toc13601 \h </w:instrText>
      </w:r>
      <w:r>
        <w:rPr>
          <w:color w:val="auto"/>
        </w:rPr>
        <w:fldChar w:fldCharType="separate"/>
      </w:r>
      <w:r>
        <w:rPr>
          <w:color w:val="auto"/>
        </w:rPr>
        <w:t>46</w:t>
      </w:r>
      <w:r>
        <w:rPr>
          <w:color w:val="auto"/>
        </w:rPr>
        <w:fldChar w:fldCharType="end"/>
      </w:r>
      <w:r>
        <w:rPr>
          <w:rFonts w:hint="eastAsia" w:ascii="楷体" w:hAnsi="楷体" w:eastAsia="楷体" w:cs="楷体"/>
          <w:color w:val="auto"/>
          <w:szCs w:val="24"/>
        </w:rPr>
        <w:fldChar w:fldCharType="end"/>
      </w:r>
    </w:p>
    <w:p w14:paraId="24F0C39D">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_Toc20388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7．推荐成交供应商</w:t>
      </w:r>
      <w:r>
        <w:rPr>
          <w:color w:val="auto"/>
        </w:rPr>
        <w:tab/>
      </w:r>
      <w:r>
        <w:rPr>
          <w:color w:val="auto"/>
        </w:rPr>
        <w:fldChar w:fldCharType="begin"/>
      </w:r>
      <w:r>
        <w:rPr>
          <w:color w:val="auto"/>
        </w:rPr>
        <w:instrText xml:space="preserve"> PAGEREF _Toc20388 \h </w:instrText>
      </w:r>
      <w:r>
        <w:rPr>
          <w:color w:val="auto"/>
        </w:rPr>
        <w:fldChar w:fldCharType="separate"/>
      </w:r>
      <w:r>
        <w:rPr>
          <w:color w:val="auto"/>
        </w:rPr>
        <w:t>50</w:t>
      </w:r>
      <w:r>
        <w:rPr>
          <w:color w:val="auto"/>
        </w:rPr>
        <w:fldChar w:fldCharType="end"/>
      </w:r>
      <w:r>
        <w:rPr>
          <w:rFonts w:hint="eastAsia" w:ascii="楷体" w:hAnsi="楷体" w:eastAsia="楷体" w:cs="楷体"/>
          <w:color w:val="auto"/>
          <w:szCs w:val="24"/>
        </w:rPr>
        <w:fldChar w:fldCharType="end"/>
      </w:r>
    </w:p>
    <w:p w14:paraId="7603F296">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_Toc5994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lang w:val="en-US" w:eastAsia="zh-CN"/>
        </w:rPr>
        <w:t>8.</w:t>
      </w:r>
      <w:r>
        <w:rPr>
          <w:rFonts w:hint="eastAsia" w:ascii="楷体" w:hAnsi="楷体" w:eastAsia="楷体" w:cs="楷体"/>
          <w:color w:val="auto"/>
          <w:highlight w:val="white"/>
        </w:rPr>
        <w:t>其他说明</w:t>
      </w:r>
      <w:r>
        <w:rPr>
          <w:color w:val="auto"/>
        </w:rPr>
        <w:tab/>
      </w:r>
      <w:r>
        <w:rPr>
          <w:color w:val="auto"/>
        </w:rPr>
        <w:fldChar w:fldCharType="begin"/>
      </w:r>
      <w:r>
        <w:rPr>
          <w:color w:val="auto"/>
        </w:rPr>
        <w:instrText xml:space="preserve"> PAGEREF _Toc5994 \h </w:instrText>
      </w:r>
      <w:r>
        <w:rPr>
          <w:color w:val="auto"/>
        </w:rPr>
        <w:fldChar w:fldCharType="separate"/>
      </w:r>
      <w:r>
        <w:rPr>
          <w:color w:val="auto"/>
        </w:rPr>
        <w:t>50</w:t>
      </w:r>
      <w:r>
        <w:rPr>
          <w:color w:val="auto"/>
        </w:rPr>
        <w:fldChar w:fldCharType="end"/>
      </w:r>
      <w:r>
        <w:rPr>
          <w:rFonts w:hint="eastAsia" w:ascii="楷体" w:hAnsi="楷体" w:eastAsia="楷体" w:cs="楷体"/>
          <w:color w:val="auto"/>
          <w:szCs w:val="24"/>
        </w:rPr>
        <w:fldChar w:fldCharType="end"/>
      </w:r>
    </w:p>
    <w:p w14:paraId="4FF0F56F">
      <w:pPr>
        <w:pStyle w:val="22"/>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_Toc4828 </w:instrText>
      </w:r>
      <w:r>
        <w:rPr>
          <w:rFonts w:hint="eastAsia" w:ascii="楷体" w:hAnsi="楷体" w:eastAsia="楷体" w:cs="楷体"/>
          <w:color w:val="auto"/>
          <w:szCs w:val="24"/>
        </w:rPr>
        <w:fldChar w:fldCharType="separate"/>
      </w:r>
      <w:r>
        <w:rPr>
          <w:rFonts w:hint="eastAsia" w:ascii="楷体" w:hAnsi="楷体" w:eastAsia="楷体" w:cs="楷体"/>
          <w:color w:val="auto"/>
          <w:highlight w:val="white"/>
        </w:rPr>
        <w:t xml:space="preserve">第六部分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响应文件（格式）</w:t>
      </w:r>
      <w:r>
        <w:rPr>
          <w:color w:val="auto"/>
        </w:rPr>
        <w:tab/>
      </w:r>
      <w:r>
        <w:rPr>
          <w:color w:val="auto"/>
        </w:rPr>
        <w:fldChar w:fldCharType="begin"/>
      </w:r>
      <w:r>
        <w:rPr>
          <w:color w:val="auto"/>
        </w:rPr>
        <w:instrText xml:space="preserve"> PAGEREF _Toc4828 \h </w:instrText>
      </w:r>
      <w:r>
        <w:rPr>
          <w:color w:val="auto"/>
        </w:rPr>
        <w:fldChar w:fldCharType="separate"/>
      </w:r>
      <w:r>
        <w:rPr>
          <w:color w:val="auto"/>
        </w:rPr>
        <w:t>51</w:t>
      </w:r>
      <w:r>
        <w:rPr>
          <w:color w:val="auto"/>
        </w:rPr>
        <w:fldChar w:fldCharType="end"/>
      </w:r>
      <w:r>
        <w:rPr>
          <w:rFonts w:hint="eastAsia" w:ascii="楷体" w:hAnsi="楷体" w:eastAsia="楷体" w:cs="楷体"/>
          <w:color w:val="auto"/>
          <w:szCs w:val="24"/>
        </w:rPr>
        <w:fldChar w:fldCharType="end"/>
      </w:r>
    </w:p>
    <w:p w14:paraId="3B8199C5">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_Toc7718 </w:instrText>
      </w:r>
      <w:r>
        <w:rPr>
          <w:rFonts w:hint="eastAsia" w:ascii="楷体" w:hAnsi="楷体" w:eastAsia="楷体" w:cs="楷体"/>
          <w:color w:val="auto"/>
          <w:szCs w:val="24"/>
        </w:rPr>
        <w:fldChar w:fldCharType="separate"/>
      </w:r>
      <w:r>
        <w:rPr>
          <w:rFonts w:hint="eastAsia" w:ascii="楷体" w:hAnsi="楷体" w:eastAsia="楷体" w:cs="楷体"/>
          <w:bCs/>
          <w:color w:val="auto"/>
        </w:rPr>
        <w:t>一、资格部分</w:t>
      </w:r>
      <w:r>
        <w:rPr>
          <w:color w:val="auto"/>
        </w:rPr>
        <w:tab/>
      </w:r>
      <w:r>
        <w:rPr>
          <w:color w:val="auto"/>
        </w:rPr>
        <w:fldChar w:fldCharType="begin"/>
      </w:r>
      <w:r>
        <w:rPr>
          <w:color w:val="auto"/>
        </w:rPr>
        <w:instrText xml:space="preserve"> PAGEREF _Toc7718 \h </w:instrText>
      </w:r>
      <w:r>
        <w:rPr>
          <w:color w:val="auto"/>
        </w:rPr>
        <w:fldChar w:fldCharType="separate"/>
      </w:r>
      <w:r>
        <w:rPr>
          <w:color w:val="auto"/>
        </w:rPr>
        <w:t>52</w:t>
      </w:r>
      <w:r>
        <w:rPr>
          <w:color w:val="auto"/>
        </w:rPr>
        <w:fldChar w:fldCharType="end"/>
      </w:r>
      <w:r>
        <w:rPr>
          <w:rFonts w:hint="eastAsia" w:ascii="楷体" w:hAnsi="楷体" w:eastAsia="楷体" w:cs="楷体"/>
          <w:color w:val="auto"/>
          <w:szCs w:val="24"/>
        </w:rPr>
        <w:fldChar w:fldCharType="end"/>
      </w:r>
    </w:p>
    <w:p w14:paraId="1181AF06">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_Toc19518 </w:instrText>
      </w:r>
      <w:r>
        <w:rPr>
          <w:rFonts w:hint="eastAsia" w:ascii="楷体" w:hAnsi="楷体" w:eastAsia="楷体" w:cs="楷体"/>
          <w:color w:val="auto"/>
          <w:szCs w:val="24"/>
        </w:rPr>
        <w:fldChar w:fldCharType="separate"/>
      </w:r>
      <w:r>
        <w:rPr>
          <w:rFonts w:hint="eastAsia" w:ascii="楷体" w:hAnsi="楷体" w:eastAsia="楷体" w:cs="楷体"/>
          <w:bCs/>
          <w:color w:val="auto"/>
        </w:rPr>
        <w:t>二、</w:t>
      </w:r>
      <w:r>
        <w:rPr>
          <w:rFonts w:hint="eastAsia" w:ascii="楷体" w:hAnsi="楷体" w:eastAsia="楷体" w:cs="楷体"/>
          <w:bCs/>
          <w:color w:val="auto"/>
          <w:lang w:val="en-US" w:eastAsia="zh-CN"/>
        </w:rPr>
        <w:t>商务</w:t>
      </w:r>
      <w:r>
        <w:rPr>
          <w:rFonts w:hint="eastAsia" w:ascii="楷体" w:hAnsi="楷体" w:eastAsia="楷体" w:cs="楷体"/>
          <w:bCs/>
          <w:color w:val="auto"/>
        </w:rPr>
        <w:t>部分</w:t>
      </w:r>
      <w:r>
        <w:rPr>
          <w:color w:val="auto"/>
        </w:rPr>
        <w:tab/>
      </w:r>
      <w:r>
        <w:rPr>
          <w:color w:val="auto"/>
        </w:rPr>
        <w:fldChar w:fldCharType="begin"/>
      </w:r>
      <w:r>
        <w:rPr>
          <w:color w:val="auto"/>
        </w:rPr>
        <w:instrText xml:space="preserve"> PAGEREF _Toc19518 \h </w:instrText>
      </w:r>
      <w:r>
        <w:rPr>
          <w:color w:val="auto"/>
        </w:rPr>
        <w:fldChar w:fldCharType="separate"/>
      </w:r>
      <w:r>
        <w:rPr>
          <w:color w:val="auto"/>
        </w:rPr>
        <w:t>67</w:t>
      </w:r>
      <w:r>
        <w:rPr>
          <w:color w:val="auto"/>
        </w:rPr>
        <w:fldChar w:fldCharType="end"/>
      </w:r>
      <w:r>
        <w:rPr>
          <w:rFonts w:hint="eastAsia" w:ascii="楷体" w:hAnsi="楷体" w:eastAsia="楷体" w:cs="楷体"/>
          <w:color w:val="auto"/>
          <w:szCs w:val="24"/>
        </w:rPr>
        <w:fldChar w:fldCharType="end"/>
      </w:r>
    </w:p>
    <w:p w14:paraId="551D1513">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_Toc32575 </w:instrText>
      </w:r>
      <w:r>
        <w:rPr>
          <w:rFonts w:hint="eastAsia" w:ascii="楷体" w:hAnsi="楷体" w:eastAsia="楷体" w:cs="楷体"/>
          <w:color w:val="auto"/>
          <w:szCs w:val="24"/>
        </w:rPr>
        <w:fldChar w:fldCharType="separate"/>
      </w:r>
      <w:r>
        <w:rPr>
          <w:rFonts w:hint="eastAsia" w:ascii="楷体" w:hAnsi="楷体" w:eastAsia="楷体" w:cs="楷体"/>
          <w:bCs/>
          <w:color w:val="auto"/>
          <w:lang w:val="en-US" w:eastAsia="zh-CN"/>
        </w:rPr>
        <w:t>三、价格部分</w:t>
      </w:r>
      <w:r>
        <w:rPr>
          <w:color w:val="auto"/>
        </w:rPr>
        <w:tab/>
      </w:r>
      <w:r>
        <w:rPr>
          <w:color w:val="auto"/>
        </w:rPr>
        <w:fldChar w:fldCharType="begin"/>
      </w:r>
      <w:r>
        <w:rPr>
          <w:color w:val="auto"/>
        </w:rPr>
        <w:instrText xml:space="preserve"> PAGEREF _Toc32575 \h </w:instrText>
      </w:r>
      <w:r>
        <w:rPr>
          <w:color w:val="auto"/>
        </w:rPr>
        <w:fldChar w:fldCharType="separate"/>
      </w:r>
      <w:r>
        <w:rPr>
          <w:color w:val="auto"/>
        </w:rPr>
        <w:t>68</w:t>
      </w:r>
      <w:r>
        <w:rPr>
          <w:color w:val="auto"/>
        </w:rPr>
        <w:fldChar w:fldCharType="end"/>
      </w:r>
      <w:r>
        <w:rPr>
          <w:rFonts w:hint="eastAsia" w:ascii="楷体" w:hAnsi="楷体" w:eastAsia="楷体" w:cs="楷体"/>
          <w:color w:val="auto"/>
          <w:szCs w:val="24"/>
        </w:rPr>
        <w:fldChar w:fldCharType="end"/>
      </w:r>
    </w:p>
    <w:p w14:paraId="3629CFF7">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_Toc6484 </w:instrText>
      </w:r>
      <w:r>
        <w:rPr>
          <w:rFonts w:hint="eastAsia" w:ascii="楷体" w:hAnsi="楷体" w:eastAsia="楷体" w:cs="楷体"/>
          <w:color w:val="auto"/>
          <w:szCs w:val="24"/>
        </w:rPr>
        <w:fldChar w:fldCharType="separate"/>
      </w:r>
      <w:r>
        <w:rPr>
          <w:rFonts w:hint="eastAsia" w:ascii="楷体" w:hAnsi="楷体" w:eastAsia="楷体" w:cs="楷体"/>
          <w:bCs/>
          <w:color w:val="auto"/>
          <w:szCs w:val="28"/>
          <w:lang w:val="en-US" w:eastAsia="zh-CN"/>
        </w:rPr>
        <w:t>四、技术部分</w:t>
      </w:r>
      <w:r>
        <w:rPr>
          <w:color w:val="auto"/>
        </w:rPr>
        <w:tab/>
      </w:r>
      <w:r>
        <w:rPr>
          <w:color w:val="auto"/>
        </w:rPr>
        <w:fldChar w:fldCharType="begin"/>
      </w:r>
      <w:r>
        <w:rPr>
          <w:color w:val="auto"/>
        </w:rPr>
        <w:instrText xml:space="preserve"> PAGEREF _Toc6484 \h </w:instrText>
      </w:r>
      <w:r>
        <w:rPr>
          <w:color w:val="auto"/>
        </w:rPr>
        <w:fldChar w:fldCharType="separate"/>
      </w:r>
      <w:r>
        <w:rPr>
          <w:color w:val="auto"/>
        </w:rPr>
        <w:t>71</w:t>
      </w:r>
      <w:r>
        <w:rPr>
          <w:color w:val="auto"/>
        </w:rPr>
        <w:fldChar w:fldCharType="end"/>
      </w:r>
      <w:r>
        <w:rPr>
          <w:rFonts w:hint="eastAsia" w:ascii="楷体" w:hAnsi="楷体" w:eastAsia="楷体" w:cs="楷体"/>
          <w:color w:val="auto"/>
          <w:szCs w:val="24"/>
        </w:rPr>
        <w:fldChar w:fldCharType="end"/>
      </w:r>
    </w:p>
    <w:p w14:paraId="2C35FFC4">
      <w:pPr>
        <w:pStyle w:val="28"/>
        <w:tabs>
          <w:tab w:val="right" w:leader="dot" w:pos="8300"/>
        </w:tabs>
        <w:rPr>
          <w:color w:val="auto"/>
        </w:rPr>
      </w:pPr>
      <w:r>
        <w:rPr>
          <w:rFonts w:hint="eastAsia" w:ascii="楷体" w:hAnsi="楷体" w:eastAsia="楷体" w:cs="楷体"/>
          <w:color w:val="auto"/>
          <w:szCs w:val="24"/>
        </w:rPr>
        <w:fldChar w:fldCharType="begin"/>
      </w:r>
      <w:r>
        <w:rPr>
          <w:rFonts w:hint="eastAsia" w:ascii="楷体" w:hAnsi="楷体" w:eastAsia="楷体" w:cs="楷体"/>
          <w:color w:val="auto"/>
          <w:szCs w:val="24"/>
        </w:rPr>
        <w:instrText xml:space="preserve"> HYPERLINK \l _Toc29034 </w:instrText>
      </w:r>
      <w:r>
        <w:rPr>
          <w:rFonts w:hint="eastAsia" w:ascii="楷体" w:hAnsi="楷体" w:eastAsia="楷体" w:cs="楷体"/>
          <w:color w:val="auto"/>
          <w:szCs w:val="24"/>
        </w:rPr>
        <w:fldChar w:fldCharType="separate"/>
      </w:r>
      <w:r>
        <w:rPr>
          <w:rFonts w:hint="eastAsia" w:ascii="楷体" w:hAnsi="楷体" w:eastAsia="楷体" w:cs="楷体"/>
          <w:bCs/>
          <w:color w:val="auto"/>
          <w:szCs w:val="28"/>
          <w:lang w:val="en-US" w:eastAsia="zh-CN"/>
        </w:rPr>
        <w:t>五、其他部分</w:t>
      </w:r>
      <w:r>
        <w:rPr>
          <w:color w:val="auto"/>
        </w:rPr>
        <w:tab/>
      </w:r>
      <w:r>
        <w:rPr>
          <w:color w:val="auto"/>
        </w:rPr>
        <w:fldChar w:fldCharType="begin"/>
      </w:r>
      <w:r>
        <w:rPr>
          <w:color w:val="auto"/>
        </w:rPr>
        <w:instrText xml:space="preserve"> PAGEREF _Toc29034 \h </w:instrText>
      </w:r>
      <w:r>
        <w:rPr>
          <w:color w:val="auto"/>
        </w:rPr>
        <w:fldChar w:fldCharType="separate"/>
      </w:r>
      <w:r>
        <w:rPr>
          <w:color w:val="auto"/>
        </w:rPr>
        <w:t>73</w:t>
      </w:r>
      <w:r>
        <w:rPr>
          <w:color w:val="auto"/>
        </w:rPr>
        <w:fldChar w:fldCharType="end"/>
      </w:r>
      <w:r>
        <w:rPr>
          <w:rFonts w:hint="eastAsia" w:ascii="楷体" w:hAnsi="楷体" w:eastAsia="楷体" w:cs="楷体"/>
          <w:color w:val="auto"/>
          <w:szCs w:val="24"/>
        </w:rPr>
        <w:fldChar w:fldCharType="end"/>
      </w:r>
    </w:p>
    <w:p w14:paraId="6A121538">
      <w:pPr>
        <w:spacing w:line="360" w:lineRule="auto"/>
        <w:jc w:val="left"/>
        <w:rPr>
          <w:rFonts w:hint="eastAsia" w:ascii="楷体" w:hAnsi="楷体" w:eastAsia="楷体" w:cs="楷体"/>
          <w:b/>
          <w:color w:val="auto"/>
          <w:sz w:val="30"/>
          <w:szCs w:val="24"/>
        </w:rPr>
      </w:pPr>
      <w:r>
        <w:rPr>
          <w:rFonts w:hint="eastAsia" w:ascii="楷体" w:hAnsi="楷体" w:eastAsia="楷体" w:cs="楷体"/>
          <w:color w:val="auto"/>
          <w:szCs w:val="24"/>
        </w:rPr>
        <w:fldChar w:fldCharType="end"/>
      </w:r>
    </w:p>
    <w:p w14:paraId="7DF85539">
      <w:pPr>
        <w:spacing w:line="360" w:lineRule="auto"/>
        <w:rPr>
          <w:rFonts w:hint="eastAsia" w:ascii="楷体" w:hAnsi="楷体" w:eastAsia="楷体" w:cs="楷体"/>
          <w:color w:val="auto"/>
        </w:rPr>
      </w:pPr>
    </w:p>
    <w:p w14:paraId="6ABAD912">
      <w:pPr>
        <w:pStyle w:val="195"/>
        <w:pageBreakBefore/>
        <w:jc w:val="center"/>
        <w:rPr>
          <w:rFonts w:hint="eastAsia" w:ascii="楷体" w:hAnsi="楷体" w:eastAsia="楷体" w:cs="楷体"/>
          <w:color w:val="auto"/>
          <w:highlight w:val="white"/>
        </w:rPr>
        <w:sectPr>
          <w:footerReference r:id="rId3" w:type="first"/>
          <w:pgSz w:w="11906" w:h="16838"/>
          <w:pgMar w:top="1440" w:right="1803" w:bottom="1440" w:left="1803" w:header="851" w:footer="992" w:gutter="0"/>
          <w:cols w:space="425" w:num="1"/>
          <w:titlePg/>
          <w:docGrid w:linePitch="360" w:charSpace="0"/>
        </w:sectPr>
      </w:pPr>
      <w:bookmarkStart w:id="0" w:name="_Toc73965849"/>
      <w:bookmarkStart w:id="1" w:name="_Toc256000000"/>
    </w:p>
    <w:p w14:paraId="48822080">
      <w:pPr>
        <w:pStyle w:val="195"/>
        <w:pageBreakBefore/>
        <w:jc w:val="center"/>
        <w:rPr>
          <w:rFonts w:hint="eastAsia" w:ascii="楷体" w:hAnsi="楷体" w:eastAsia="楷体" w:cs="楷体"/>
          <w:color w:val="auto"/>
        </w:rPr>
      </w:pPr>
      <w:bookmarkStart w:id="2" w:name="_Toc583"/>
      <w:r>
        <w:rPr>
          <w:rFonts w:hint="eastAsia" w:ascii="楷体" w:hAnsi="楷体" w:eastAsia="楷体" w:cs="楷体"/>
          <w:color w:val="auto"/>
          <w:highlight w:val="white"/>
        </w:rPr>
        <w:t xml:space="preserve">第一部分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邀请</w:t>
      </w:r>
      <w:bookmarkEnd w:id="0"/>
      <w:bookmarkEnd w:id="1"/>
      <w:bookmarkEnd w:id="2"/>
    </w:p>
    <w:p w14:paraId="5B18C4A4">
      <w:pPr>
        <w:pBdr>
          <w:top w:val="single" w:color="000000" w:sz="4" w:space="1"/>
          <w:left w:val="single" w:color="000000" w:sz="4" w:space="4"/>
          <w:bottom w:val="single" w:color="000000" w:sz="4" w:space="1"/>
          <w:right w:val="single" w:color="000000" w:sz="4" w:space="4"/>
        </w:pBdr>
        <w:spacing w:line="360" w:lineRule="auto"/>
        <w:ind w:firstLine="480"/>
        <w:rPr>
          <w:rFonts w:hint="eastAsia" w:ascii="楷体" w:hAnsi="楷体" w:eastAsia="楷体" w:cs="楷体"/>
          <w:color w:val="auto"/>
          <w:sz w:val="24"/>
          <w:szCs w:val="28"/>
        </w:rPr>
      </w:pPr>
      <w:r>
        <w:rPr>
          <w:rFonts w:hint="eastAsia" w:ascii="楷体" w:hAnsi="楷体" w:eastAsia="楷体" w:cs="楷体"/>
          <w:color w:val="auto"/>
          <w:sz w:val="24"/>
          <w:szCs w:val="28"/>
          <w:highlight w:val="white"/>
        </w:rPr>
        <w:t>项目概况</w:t>
      </w:r>
    </w:p>
    <w:p w14:paraId="7EACE7D4">
      <w:pPr>
        <w:pBdr>
          <w:top w:val="single" w:color="000000" w:sz="4" w:space="1"/>
          <w:left w:val="single" w:color="000000" w:sz="4" w:space="4"/>
          <w:bottom w:val="single" w:color="000000" w:sz="4" w:space="1"/>
          <w:right w:val="single" w:color="000000" w:sz="4" w:space="4"/>
        </w:pBdr>
        <w:spacing w:line="360" w:lineRule="auto"/>
        <w:ind w:firstLine="480"/>
        <w:rPr>
          <w:rFonts w:hint="eastAsia" w:ascii="楷体" w:hAnsi="楷体" w:eastAsia="楷体" w:cs="楷体"/>
          <w:color w:val="auto"/>
          <w:sz w:val="24"/>
          <w:szCs w:val="28"/>
          <w:u w:val="single"/>
        </w:rPr>
      </w:pPr>
      <w:bookmarkStart w:id="3" w:name="EBe7eb310d1d1b4fa3a8fca95dff68bccc"/>
      <w:r>
        <w:rPr>
          <w:rFonts w:hint="eastAsia" w:ascii="楷体" w:hAnsi="楷体" w:eastAsia="楷体" w:cs="楷体"/>
          <w:color w:val="auto"/>
          <w:sz w:val="24"/>
          <w:szCs w:val="28"/>
          <w:highlight w:val="white"/>
          <w:lang w:eastAsia="zh-CN"/>
        </w:rPr>
        <w:t>句容市养老护理院户外设施增设项目</w:t>
      </w:r>
      <w:r>
        <w:rPr>
          <w:rFonts w:hint="eastAsia" w:ascii="楷体" w:hAnsi="楷体" w:eastAsia="楷体" w:cs="楷体"/>
          <w:color w:val="auto"/>
          <w:sz w:val="24"/>
          <w:szCs w:val="28"/>
          <w:highlight w:val="white"/>
        </w:rPr>
        <w:t>的潜在供应商应在</w:t>
      </w:r>
      <w:r>
        <w:rPr>
          <w:rFonts w:hint="eastAsia" w:ascii="楷体" w:hAnsi="楷体" w:eastAsia="楷体" w:cs="楷体"/>
          <w:color w:val="auto"/>
          <w:sz w:val="24"/>
          <w:szCs w:val="28"/>
          <w:highlight w:val="white"/>
          <w:lang w:val="en-US" w:eastAsia="zh-CN"/>
        </w:rPr>
        <w:t>江苏智汇锡建工程项目管理有限公司处获取磋商文件，并于</w:t>
      </w:r>
      <w:r>
        <w:rPr>
          <w:rFonts w:hint="eastAsia" w:ascii="楷体" w:hAnsi="楷体" w:eastAsia="楷体" w:cs="楷体"/>
          <w:color w:val="auto"/>
          <w:sz w:val="24"/>
          <w:szCs w:val="24"/>
          <w:u w:val="none"/>
          <w:lang w:val="en-US" w:eastAsia="zh-CN"/>
        </w:rPr>
        <w:t>2026年5月11日14：30</w:t>
      </w:r>
      <w:r>
        <w:rPr>
          <w:rFonts w:hint="eastAsia" w:ascii="楷体" w:hAnsi="楷体" w:eastAsia="楷体" w:cs="楷体"/>
          <w:color w:val="auto"/>
          <w:sz w:val="24"/>
          <w:szCs w:val="28"/>
          <w:highlight w:val="white"/>
        </w:rPr>
        <w:t>（北京时间）前递交响应文件。</w:t>
      </w:r>
      <w:bookmarkEnd w:id="3"/>
    </w:p>
    <w:p w14:paraId="62F95A7F">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rPr>
      </w:pPr>
      <w:bookmarkStart w:id="4" w:name="_Toc256000001"/>
      <w:bookmarkStart w:id="5" w:name="_Toc73965850"/>
      <w:r>
        <w:rPr>
          <w:rFonts w:hint="eastAsia" w:ascii="楷体" w:hAnsi="楷体" w:eastAsia="楷体" w:cs="楷体"/>
          <w:b/>
          <w:bCs/>
          <w:color w:val="auto"/>
          <w:sz w:val="24"/>
          <w:szCs w:val="28"/>
        </w:rPr>
        <w:t>项目基本情况</w:t>
      </w:r>
      <w:bookmarkEnd w:id="4"/>
      <w:bookmarkEnd w:id="5"/>
    </w:p>
    <w:p w14:paraId="747EEB0C">
      <w:pPr>
        <w:spacing w:line="360" w:lineRule="auto"/>
        <w:ind w:firstLine="480"/>
        <w:rPr>
          <w:rFonts w:hint="eastAsia" w:ascii="楷体" w:hAnsi="楷体" w:eastAsia="楷体" w:cs="楷体"/>
          <w:color w:val="auto"/>
          <w:sz w:val="24"/>
          <w:szCs w:val="28"/>
          <w:lang w:eastAsia="zh-CN"/>
        </w:rPr>
      </w:pPr>
      <w:r>
        <w:rPr>
          <w:rFonts w:hint="eastAsia" w:ascii="楷体" w:hAnsi="楷体" w:eastAsia="楷体" w:cs="楷体"/>
          <w:color w:val="auto"/>
          <w:sz w:val="24"/>
          <w:szCs w:val="28"/>
          <w:highlight w:val="white"/>
        </w:rPr>
        <w:t>项目编号：</w:t>
      </w:r>
      <w:r>
        <w:rPr>
          <w:rFonts w:hint="eastAsia" w:ascii="楷体" w:hAnsi="楷体" w:eastAsia="楷体" w:cs="楷体"/>
          <w:color w:val="auto"/>
          <w:sz w:val="24"/>
          <w:szCs w:val="28"/>
          <w:highlight w:val="white"/>
          <w:lang w:eastAsia="zh-CN"/>
        </w:rPr>
        <w:t>JSZH-202</w:t>
      </w:r>
      <w:r>
        <w:rPr>
          <w:rFonts w:hint="eastAsia" w:ascii="楷体" w:hAnsi="楷体" w:eastAsia="楷体" w:cs="楷体"/>
          <w:color w:val="auto"/>
          <w:sz w:val="24"/>
          <w:szCs w:val="28"/>
          <w:highlight w:val="white"/>
          <w:lang w:val="en-US" w:eastAsia="zh-CN"/>
        </w:rPr>
        <w:t>6</w:t>
      </w:r>
      <w:r>
        <w:rPr>
          <w:rFonts w:hint="eastAsia" w:ascii="楷体" w:hAnsi="楷体" w:eastAsia="楷体" w:cs="楷体"/>
          <w:color w:val="auto"/>
          <w:sz w:val="24"/>
          <w:szCs w:val="28"/>
          <w:highlight w:val="white"/>
          <w:lang w:eastAsia="zh-CN"/>
        </w:rPr>
        <w:t>-0</w:t>
      </w:r>
      <w:r>
        <w:rPr>
          <w:rFonts w:hint="eastAsia" w:ascii="楷体" w:hAnsi="楷体" w:eastAsia="楷体" w:cs="楷体"/>
          <w:color w:val="auto"/>
          <w:sz w:val="24"/>
          <w:szCs w:val="28"/>
          <w:highlight w:val="white"/>
          <w:lang w:val="en-US" w:eastAsia="zh-CN"/>
        </w:rPr>
        <w:t>0</w:t>
      </w:r>
      <w:r>
        <w:rPr>
          <w:rFonts w:hint="eastAsia" w:ascii="楷体" w:hAnsi="楷体" w:eastAsia="楷体" w:cs="楷体"/>
          <w:color w:val="auto"/>
          <w:sz w:val="24"/>
          <w:szCs w:val="28"/>
          <w:highlight w:val="white"/>
          <w:lang w:eastAsia="zh-CN"/>
        </w:rPr>
        <w:t>7号</w:t>
      </w:r>
    </w:p>
    <w:p w14:paraId="17BB2D53">
      <w:pPr>
        <w:spacing w:line="360" w:lineRule="auto"/>
        <w:ind w:firstLine="480"/>
        <w:rPr>
          <w:rFonts w:hint="eastAsia" w:ascii="楷体" w:hAnsi="楷体" w:eastAsia="楷体" w:cs="楷体"/>
          <w:color w:val="auto"/>
          <w:sz w:val="24"/>
          <w:szCs w:val="28"/>
          <w:lang w:eastAsia="zh-CN"/>
        </w:rPr>
      </w:pPr>
      <w:r>
        <w:rPr>
          <w:rFonts w:hint="eastAsia" w:ascii="楷体" w:hAnsi="楷体" w:eastAsia="楷体" w:cs="楷体"/>
          <w:color w:val="auto"/>
          <w:sz w:val="24"/>
          <w:szCs w:val="28"/>
          <w:highlight w:val="white"/>
        </w:rPr>
        <w:t>项目名称：</w:t>
      </w:r>
      <w:r>
        <w:rPr>
          <w:rFonts w:hint="eastAsia" w:ascii="楷体" w:hAnsi="楷体" w:eastAsia="楷体" w:cs="楷体"/>
          <w:color w:val="auto"/>
          <w:sz w:val="24"/>
          <w:szCs w:val="28"/>
          <w:highlight w:val="white"/>
          <w:lang w:eastAsia="zh-CN"/>
        </w:rPr>
        <w:t>句容市养老护理院户外设施增设项目</w:t>
      </w:r>
    </w:p>
    <w:p w14:paraId="5D901271">
      <w:pPr>
        <w:spacing w:line="360" w:lineRule="auto"/>
        <w:ind w:firstLine="480"/>
        <w:rPr>
          <w:rFonts w:hint="default" w:ascii="楷体" w:hAnsi="楷体" w:eastAsia="楷体" w:cs="楷体"/>
          <w:color w:val="auto"/>
          <w:sz w:val="24"/>
          <w:szCs w:val="28"/>
          <w:highlight w:val="white"/>
          <w:lang w:val="en-US" w:eastAsia="zh-CN"/>
        </w:rPr>
      </w:pPr>
      <w:r>
        <w:rPr>
          <w:rFonts w:hint="eastAsia" w:ascii="楷体" w:hAnsi="楷体" w:eastAsia="楷体" w:cs="楷体"/>
          <w:color w:val="auto"/>
          <w:sz w:val="24"/>
          <w:szCs w:val="28"/>
          <w:highlight w:val="white"/>
          <w:lang w:val="en-US" w:eastAsia="zh-CN"/>
        </w:rPr>
        <w:t>采购预算：157721.40元</w:t>
      </w:r>
    </w:p>
    <w:p w14:paraId="35F3EC73">
      <w:pPr>
        <w:spacing w:line="360" w:lineRule="auto"/>
        <w:ind w:firstLine="480"/>
        <w:rPr>
          <w:rFonts w:hint="eastAsia" w:ascii="楷体" w:hAnsi="楷体" w:eastAsia="楷体" w:cs="楷体"/>
          <w:color w:val="auto"/>
          <w:sz w:val="24"/>
          <w:szCs w:val="28"/>
          <w:highlight w:val="white"/>
          <w:lang w:val="en-US" w:eastAsia="zh-CN"/>
        </w:rPr>
      </w:pPr>
      <w:r>
        <w:rPr>
          <w:rFonts w:hint="eastAsia" w:ascii="楷体" w:hAnsi="楷体" w:eastAsia="楷体" w:cs="楷体"/>
          <w:color w:val="auto"/>
          <w:sz w:val="24"/>
          <w:szCs w:val="28"/>
          <w:highlight w:val="white"/>
        </w:rPr>
        <w:t>最高限价：</w:t>
      </w:r>
      <w:r>
        <w:rPr>
          <w:rFonts w:hint="eastAsia" w:ascii="楷体" w:hAnsi="楷体" w:eastAsia="楷体" w:cs="楷体"/>
          <w:color w:val="auto"/>
          <w:sz w:val="24"/>
          <w:szCs w:val="28"/>
          <w:highlight w:val="white"/>
          <w:lang w:val="en-US" w:eastAsia="zh-CN"/>
        </w:rPr>
        <w:t>157721.40元。</w:t>
      </w:r>
    </w:p>
    <w:p w14:paraId="74ECC640">
      <w:pPr>
        <w:spacing w:line="360" w:lineRule="auto"/>
        <w:ind w:firstLine="480"/>
        <w:rPr>
          <w:rFonts w:hint="eastAsia" w:ascii="楷体" w:hAnsi="楷体" w:eastAsia="楷体" w:cs="楷体"/>
          <w:color w:val="auto"/>
          <w:sz w:val="24"/>
          <w:szCs w:val="28"/>
        </w:rPr>
      </w:pPr>
      <w:bookmarkStart w:id="6" w:name="_Toc256000002"/>
      <w:bookmarkStart w:id="7" w:name="_Toc73965851"/>
      <w:r>
        <w:rPr>
          <w:rFonts w:hint="eastAsia" w:ascii="楷体" w:hAnsi="楷体" w:eastAsia="楷体" w:cs="楷体"/>
          <w:color w:val="auto"/>
          <w:sz w:val="24"/>
          <w:szCs w:val="28"/>
          <w:highlight w:val="white"/>
          <w:lang w:val="en-US" w:eastAsia="zh-CN"/>
        </w:rPr>
        <w:t>项目工期</w:t>
      </w:r>
      <w:r>
        <w:rPr>
          <w:rFonts w:hint="eastAsia" w:ascii="楷体" w:hAnsi="楷体" w:eastAsia="楷体" w:cs="楷体"/>
          <w:color w:val="auto"/>
          <w:sz w:val="24"/>
          <w:szCs w:val="28"/>
          <w:highlight w:val="white"/>
        </w:rPr>
        <w:t>：</w:t>
      </w:r>
      <w:bookmarkStart w:id="8" w:name="EB480a61ad8677491da1c9092ca4eece55"/>
      <w:r>
        <w:rPr>
          <w:rFonts w:hint="eastAsia" w:ascii="楷体" w:hAnsi="楷体" w:eastAsia="楷体" w:cs="楷体"/>
          <w:color w:val="auto"/>
          <w:sz w:val="24"/>
          <w:szCs w:val="24"/>
          <w:lang w:val="en-US" w:eastAsia="zh-CN"/>
        </w:rPr>
        <w:t>30日历天</w:t>
      </w:r>
      <w:r>
        <w:rPr>
          <w:rFonts w:hint="eastAsia" w:ascii="楷体" w:hAnsi="楷体" w:eastAsia="楷体" w:cs="楷体"/>
          <w:color w:val="auto"/>
          <w:sz w:val="24"/>
          <w:szCs w:val="28"/>
          <w:highlight w:val="white"/>
        </w:rPr>
        <w:t>。</w:t>
      </w:r>
      <w:bookmarkEnd w:id="8"/>
    </w:p>
    <w:p w14:paraId="4001BB2F">
      <w:pPr>
        <w:spacing w:line="360" w:lineRule="auto"/>
        <w:ind w:firstLine="480"/>
        <w:rPr>
          <w:rFonts w:hint="eastAsia" w:ascii="楷体" w:hAnsi="楷体" w:eastAsia="楷体" w:cs="楷体"/>
          <w:color w:val="auto"/>
          <w:sz w:val="24"/>
          <w:szCs w:val="28"/>
        </w:rPr>
      </w:pPr>
      <w:r>
        <w:rPr>
          <w:rFonts w:hint="eastAsia" w:ascii="楷体" w:hAnsi="楷体" w:eastAsia="楷体" w:cs="楷体"/>
          <w:color w:val="auto"/>
          <w:sz w:val="24"/>
          <w:szCs w:val="28"/>
          <w:highlight w:val="white"/>
        </w:rPr>
        <w:t>采购需求：</w:t>
      </w:r>
      <w:r>
        <w:rPr>
          <w:rFonts w:hint="eastAsia" w:ascii="楷体" w:hAnsi="楷体" w:eastAsia="楷体" w:cs="楷体"/>
          <w:color w:val="auto"/>
          <w:sz w:val="24"/>
          <w:szCs w:val="28"/>
          <w:highlight w:val="white"/>
          <w:lang w:eastAsia="zh-CN"/>
        </w:rPr>
        <w:t>句容市养老护理院户外设施增设项目</w:t>
      </w:r>
      <w:r>
        <w:rPr>
          <w:rFonts w:hint="eastAsia" w:ascii="楷体" w:hAnsi="楷体" w:eastAsia="楷体" w:cs="楷体"/>
          <w:color w:val="auto"/>
          <w:sz w:val="24"/>
          <w:szCs w:val="28"/>
          <w:highlight w:val="white"/>
          <w:lang w:val="en-US" w:eastAsia="zh-CN"/>
        </w:rPr>
        <w:t>施工</w:t>
      </w:r>
      <w:r>
        <w:rPr>
          <w:rFonts w:hint="eastAsia" w:ascii="楷体" w:hAnsi="楷体" w:eastAsia="楷体" w:cs="楷体"/>
          <w:color w:val="auto"/>
          <w:sz w:val="24"/>
          <w:szCs w:val="28"/>
          <w:highlight w:val="white"/>
          <w:lang w:eastAsia="zh-CN"/>
        </w:rPr>
        <w:t>，</w:t>
      </w:r>
      <w:r>
        <w:rPr>
          <w:rFonts w:hint="eastAsia" w:ascii="楷体" w:hAnsi="楷体" w:eastAsia="楷体" w:cs="楷体"/>
          <w:color w:val="auto"/>
          <w:sz w:val="24"/>
          <w:szCs w:val="28"/>
          <w:highlight w:val="white"/>
          <w:lang w:val="en-US" w:eastAsia="zh-CN"/>
        </w:rPr>
        <w:t>详细内容及要求见第四部分采购需求</w:t>
      </w:r>
      <w:r>
        <w:rPr>
          <w:rFonts w:hint="eastAsia" w:ascii="楷体" w:hAnsi="楷体" w:eastAsia="楷体" w:cs="楷体"/>
          <w:color w:val="auto"/>
          <w:sz w:val="24"/>
          <w:szCs w:val="28"/>
          <w:highlight w:val="white"/>
        </w:rPr>
        <w:t>。</w:t>
      </w:r>
    </w:p>
    <w:p w14:paraId="69410BFC">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本项目是否接受联合体：</w:t>
      </w:r>
      <w:r>
        <w:rPr>
          <w:rFonts w:hint="eastAsia" w:ascii="楷体" w:hAnsi="楷体" w:eastAsia="楷体" w:cs="楷体"/>
          <w:color w:val="auto"/>
          <w:sz w:val="24"/>
          <w:szCs w:val="28"/>
          <w:highlight w:val="white"/>
        </w:rPr>
        <w:t>不接受</w:t>
      </w:r>
    </w:p>
    <w:p w14:paraId="2BA9116C">
      <w:pPr>
        <w:spacing w:line="360" w:lineRule="auto"/>
        <w:ind w:firstLine="480"/>
        <w:rPr>
          <w:rFonts w:hint="eastAsia" w:ascii="楷体" w:hAnsi="楷体" w:eastAsia="楷体" w:cs="楷体"/>
          <w:color w:val="auto"/>
          <w:sz w:val="24"/>
          <w:szCs w:val="28"/>
        </w:rPr>
      </w:pPr>
      <w:r>
        <w:rPr>
          <w:rFonts w:hint="eastAsia" w:ascii="楷体" w:hAnsi="楷体" w:eastAsia="楷体" w:cs="楷体"/>
          <w:color w:val="auto"/>
          <w:sz w:val="24"/>
          <w:szCs w:val="28"/>
          <w:highlight w:val="white"/>
        </w:rPr>
        <w:t>本次采购确定的成交供应商数量：</w:t>
      </w:r>
      <w:bookmarkStart w:id="9" w:name="EB337cdd935a2e40599f2905ccc249562d"/>
      <w:r>
        <w:rPr>
          <w:rFonts w:hint="eastAsia" w:ascii="楷体" w:hAnsi="楷体" w:eastAsia="楷体" w:cs="楷体"/>
          <w:color w:val="auto"/>
          <w:sz w:val="24"/>
          <w:szCs w:val="28"/>
          <w:highlight w:val="white"/>
          <w:lang w:val="en-US" w:eastAsia="zh-CN"/>
        </w:rPr>
        <w:t>1</w:t>
      </w:r>
      <w:r>
        <w:rPr>
          <w:rFonts w:hint="eastAsia" w:ascii="楷体" w:hAnsi="楷体" w:eastAsia="楷体" w:cs="楷体"/>
          <w:color w:val="auto"/>
          <w:sz w:val="24"/>
          <w:szCs w:val="28"/>
          <w:highlight w:val="white"/>
        </w:rPr>
        <w:t>名</w:t>
      </w:r>
      <w:bookmarkEnd w:id="9"/>
    </w:p>
    <w:p w14:paraId="3FE5513D">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rPr>
      </w:pPr>
      <w:r>
        <w:rPr>
          <w:rFonts w:hint="eastAsia" w:ascii="楷体" w:hAnsi="楷体" w:eastAsia="楷体" w:cs="楷体"/>
          <w:b/>
          <w:bCs/>
          <w:color w:val="auto"/>
          <w:sz w:val="24"/>
          <w:szCs w:val="28"/>
        </w:rPr>
        <w:t>申请人的资格要求</w:t>
      </w:r>
      <w:bookmarkEnd w:id="6"/>
      <w:bookmarkEnd w:id="7"/>
    </w:p>
    <w:p w14:paraId="7EFC0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bookmarkStart w:id="10" w:name="EBc1bc06189b4a41ccac26e04e92f3d69f"/>
      <w:bookmarkStart w:id="11" w:name="_Toc73965852"/>
      <w:bookmarkStart w:id="12" w:name="_Toc256000003"/>
      <w:r>
        <w:rPr>
          <w:rFonts w:hint="eastAsia" w:ascii="楷体" w:hAnsi="楷体" w:eastAsia="楷体" w:cs="楷体"/>
          <w:color w:val="auto"/>
          <w:sz w:val="24"/>
          <w:szCs w:val="28"/>
          <w:highlight w:val="white"/>
        </w:rPr>
        <w:t>1.满足《中华人民共和国政府采购法》第二十二条规定：</w:t>
      </w:r>
    </w:p>
    <w:p w14:paraId="62F3B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1.1具有独立承担民事责任的能力（提供法人或者其他组织的营业执照等证明文件扫描件；</w:t>
      </w:r>
      <w:r>
        <w:rPr>
          <w:rFonts w:hint="eastAsia" w:ascii="楷体" w:hAnsi="楷体" w:eastAsia="楷体" w:cs="楷体"/>
          <w:color w:val="auto"/>
          <w:sz w:val="24"/>
          <w:szCs w:val="28"/>
          <w:highlight w:val="white"/>
          <w:lang w:eastAsia="zh-CN"/>
        </w:rPr>
        <w:t>供应商</w:t>
      </w:r>
      <w:r>
        <w:rPr>
          <w:rFonts w:hint="eastAsia" w:ascii="楷体" w:hAnsi="楷体" w:eastAsia="楷体" w:cs="楷体"/>
          <w:color w:val="auto"/>
          <w:sz w:val="24"/>
          <w:szCs w:val="28"/>
          <w:highlight w:val="white"/>
        </w:rPr>
        <w:t>为自然人的，提供其身份证扫描件）；</w:t>
      </w:r>
    </w:p>
    <w:p w14:paraId="569DF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1.2具有良好的商业信誉和健全的财务会计制度[提供</w:t>
      </w:r>
      <w:r>
        <w:rPr>
          <w:rFonts w:hint="eastAsia" w:ascii="楷体" w:hAnsi="楷体" w:eastAsia="楷体" w:cs="楷体"/>
          <w:color w:val="auto"/>
          <w:sz w:val="24"/>
          <w:szCs w:val="28"/>
          <w:highlight w:val="white"/>
          <w:lang w:eastAsia="zh-CN"/>
        </w:rPr>
        <w:t>202</w:t>
      </w:r>
      <w:r>
        <w:rPr>
          <w:rFonts w:hint="eastAsia" w:ascii="楷体" w:hAnsi="楷体" w:eastAsia="楷体" w:cs="楷体"/>
          <w:color w:val="auto"/>
          <w:sz w:val="24"/>
          <w:szCs w:val="28"/>
          <w:highlight w:val="white"/>
          <w:lang w:val="en-US" w:eastAsia="zh-CN"/>
        </w:rPr>
        <w:t>5</w:t>
      </w:r>
      <w:r>
        <w:rPr>
          <w:rFonts w:hint="eastAsia" w:ascii="楷体" w:hAnsi="楷体" w:eastAsia="楷体" w:cs="楷体"/>
          <w:color w:val="auto"/>
          <w:sz w:val="24"/>
          <w:szCs w:val="28"/>
          <w:highlight w:val="white"/>
          <w:lang w:eastAsia="zh-CN"/>
        </w:rPr>
        <w:t>年度</w:t>
      </w:r>
      <w:r>
        <w:rPr>
          <w:rFonts w:hint="eastAsia" w:ascii="楷体" w:hAnsi="楷体" w:eastAsia="楷体" w:cs="楷体"/>
          <w:color w:val="auto"/>
          <w:sz w:val="24"/>
          <w:szCs w:val="28"/>
          <w:highlight w:val="white"/>
        </w:rPr>
        <w:t>财务报告、成立不满一年的提供至少一个月财务报告，或银行出具的资信证明，或财政部门认可的政府采购专业担保机构出具的投标担保函等，或资格承诺函（格式见第六部分）]；</w:t>
      </w:r>
    </w:p>
    <w:p w14:paraId="69D1E2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1.3具有履行合同所必需的设备和专业技术能力[提供供应商相关信息一览表或资格承诺函（格式见第六部分）]；</w:t>
      </w:r>
    </w:p>
    <w:p w14:paraId="6DDDF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1.4有依法缴纳税收和社会保障资金的良好记录[提供参加本次采购活动前半年内至少一个月依法缴纳税收和社会保险的凭据或资格承诺函（格式见第六部分）]；</w:t>
      </w:r>
    </w:p>
    <w:p w14:paraId="1BD88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1.5参加采购活动前三年内，在经营活动中没有重大违法记录[见</w:t>
      </w:r>
      <w:r>
        <w:rPr>
          <w:rFonts w:hint="eastAsia" w:ascii="楷体" w:hAnsi="楷体" w:eastAsia="楷体" w:cs="楷体"/>
          <w:color w:val="auto"/>
          <w:sz w:val="24"/>
          <w:szCs w:val="28"/>
          <w:highlight w:val="white"/>
          <w:lang w:eastAsia="zh-CN"/>
        </w:rPr>
        <w:t>磋商</w:t>
      </w:r>
      <w:r>
        <w:rPr>
          <w:rFonts w:hint="eastAsia" w:ascii="楷体" w:hAnsi="楷体" w:eastAsia="楷体" w:cs="楷体"/>
          <w:color w:val="auto"/>
          <w:sz w:val="24"/>
          <w:szCs w:val="28"/>
          <w:highlight w:val="white"/>
        </w:rPr>
        <w:t>承诺函或提供资格承诺函（格式见第六部分）];</w:t>
      </w:r>
    </w:p>
    <w:p w14:paraId="73850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1.6法律、行政法规规定的其他条件：无。</w:t>
      </w:r>
    </w:p>
    <w:p w14:paraId="42B2DD3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落实政府采购政策需满足的资格要求：本项目专门面向中小微企业采购</w:t>
      </w:r>
    </w:p>
    <w:p w14:paraId="7FAA89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highlight w:val="white"/>
        </w:rPr>
        <w:t>本项目的特定资格要求</w:t>
      </w:r>
      <w:r>
        <w:rPr>
          <w:rFonts w:hint="eastAsia" w:ascii="楷体" w:hAnsi="楷体" w:eastAsia="楷体" w:cs="楷体"/>
          <w:color w:val="auto"/>
          <w:sz w:val="24"/>
          <w:szCs w:val="28"/>
        </w:rPr>
        <w:t>：</w:t>
      </w:r>
      <w:bookmarkEnd w:id="10"/>
    </w:p>
    <w:p w14:paraId="70793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（1）供应商须具有有效期内</w:t>
      </w:r>
      <w:r>
        <w:rPr>
          <w:rFonts w:hint="eastAsia" w:ascii="楷体" w:hAnsi="楷体" w:eastAsia="楷体" w:cs="楷体"/>
          <w:color w:val="auto"/>
          <w:sz w:val="24"/>
          <w:szCs w:val="28"/>
          <w:lang w:eastAsia="zh-CN"/>
        </w:rPr>
        <w:t>的</w:t>
      </w:r>
      <w:r>
        <w:rPr>
          <w:rFonts w:hint="eastAsia" w:ascii="楷体" w:hAnsi="楷体" w:eastAsia="楷体" w:cs="楷体"/>
          <w:color w:val="auto"/>
          <w:sz w:val="24"/>
          <w:szCs w:val="28"/>
        </w:rPr>
        <w:t>建筑工程施工总承包三级及以上资质，并取得有效期内安全生产许可证（提供相关证明材料</w:t>
      </w:r>
      <w:r>
        <w:rPr>
          <w:rFonts w:hint="eastAsia" w:ascii="楷体" w:hAnsi="楷体" w:eastAsia="楷体" w:cs="楷体"/>
          <w:color w:val="auto"/>
          <w:sz w:val="24"/>
          <w:szCs w:val="28"/>
          <w:lang w:val="en-US" w:eastAsia="zh-CN"/>
        </w:rPr>
        <w:t>及供应商资质动态核查合格证明材料复印件</w:t>
      </w:r>
      <w:r>
        <w:rPr>
          <w:rFonts w:hint="eastAsia" w:ascii="楷体" w:hAnsi="楷体" w:eastAsia="楷体" w:cs="楷体"/>
          <w:color w:val="auto"/>
          <w:sz w:val="24"/>
          <w:szCs w:val="28"/>
        </w:rPr>
        <w:t>）。</w:t>
      </w:r>
    </w:p>
    <w:p w14:paraId="43536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（2）供应商拟派项目负责人须具备建筑工程专业二级及以上注册建造师资格，并具备有效的安全生产考核合格证B类证（提供相关证书及</w:t>
      </w:r>
      <w:r>
        <w:rPr>
          <w:rFonts w:hint="eastAsia" w:ascii="楷体" w:hAnsi="楷体" w:eastAsia="楷体" w:cs="楷体"/>
          <w:color w:val="auto"/>
          <w:sz w:val="24"/>
          <w:szCs w:val="28"/>
          <w:lang w:val="en-US" w:eastAsia="zh-CN"/>
        </w:rPr>
        <w:t>上述</w:t>
      </w:r>
      <w:r>
        <w:rPr>
          <w:rFonts w:hint="eastAsia" w:ascii="楷体" w:hAnsi="楷体" w:eastAsia="楷体" w:cs="楷体"/>
          <w:color w:val="auto"/>
          <w:sz w:val="24"/>
          <w:szCs w:val="28"/>
        </w:rPr>
        <w:t>社会保险证明材料</w:t>
      </w:r>
      <w:r>
        <w:rPr>
          <w:rFonts w:hint="eastAsia" w:ascii="楷体" w:hAnsi="楷体" w:eastAsia="楷体" w:cs="楷体"/>
          <w:color w:val="auto"/>
          <w:sz w:val="24"/>
          <w:szCs w:val="28"/>
          <w:lang w:val="en-US" w:eastAsia="zh-CN"/>
        </w:rPr>
        <w:t>复印件</w:t>
      </w:r>
      <w:r>
        <w:rPr>
          <w:rFonts w:hint="eastAsia" w:ascii="楷体" w:hAnsi="楷体" w:eastAsia="楷体" w:cs="楷体"/>
          <w:color w:val="auto"/>
          <w:sz w:val="24"/>
          <w:szCs w:val="28"/>
        </w:rPr>
        <w:t>）。</w:t>
      </w:r>
    </w:p>
    <w:p w14:paraId="689CC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（3）供应商承诺项目负责人无在建工程(提供书面承诺书)。</w:t>
      </w:r>
    </w:p>
    <w:p w14:paraId="6742A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在建工程的认定：</w:t>
      </w:r>
    </w:p>
    <w:p w14:paraId="1F11F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1）项目负责人不得同时在两个或者两个以上单位受聘或者执业： </w:t>
      </w:r>
    </w:p>
    <w:p w14:paraId="5AB25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a、同时在两个及以上单位签订劳动合同或交纳社会保险； </w:t>
      </w:r>
    </w:p>
    <w:p w14:paraId="1177D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b、将本人执（职）业资格证书同时注册在两个及以上单位。 </w:t>
      </w:r>
    </w:p>
    <w:p w14:paraId="2A74B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2）项目负责人是非变更后无在建工程，或项目负责人是变更后无在建工程（必须原合同工期已满且变更备案之日已满</w:t>
      </w:r>
      <w:r>
        <w:rPr>
          <w:rFonts w:hint="eastAsia" w:ascii="楷体" w:hAnsi="楷体" w:eastAsia="楷体" w:cs="楷体"/>
          <w:color w:val="auto"/>
          <w:sz w:val="24"/>
          <w:szCs w:val="28"/>
          <w:lang w:val="en-US" w:eastAsia="zh-CN"/>
        </w:rPr>
        <w:t>6</w:t>
      </w:r>
      <w:r>
        <w:rPr>
          <w:rFonts w:hint="eastAsia" w:ascii="楷体" w:hAnsi="楷体" w:eastAsia="楷体" w:cs="楷体"/>
          <w:color w:val="auto"/>
          <w:sz w:val="24"/>
          <w:szCs w:val="28"/>
        </w:rPr>
        <w:t xml:space="preserve">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 </w:t>
      </w:r>
    </w:p>
    <w:p w14:paraId="06C46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3）项目负责人不得同时在其他企业担任法定代表人、分公司负责人、董事长、总经理、董事、执行董事、监事、财务负责人等企业高级管理岗位。项目负责人不得是个体工商户经营者。</w:t>
      </w:r>
    </w:p>
    <w:p w14:paraId="0F1A4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  4）不得同时在两个及两个以上的工程项目上担任施工单位项目负责人。</w:t>
      </w:r>
    </w:p>
    <w:p w14:paraId="22FCF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lang w:val="en-US" w:eastAsia="zh-CN"/>
        </w:rPr>
        <w:t>4</w:t>
      </w:r>
      <w:r>
        <w:rPr>
          <w:rFonts w:hint="eastAsia" w:ascii="楷体" w:hAnsi="楷体" w:eastAsia="楷体" w:cs="楷体"/>
          <w:color w:val="auto"/>
          <w:sz w:val="24"/>
          <w:szCs w:val="28"/>
        </w:rPr>
        <w:t xml:space="preserve">.拒绝下述供应商参加本次采购活动： </w:t>
      </w:r>
    </w:p>
    <w:p w14:paraId="1455A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（1）供应商单位负责人为同一人或者存在直接控股、管理关系的不同供应商，不得参加同一合同项下的采购活动； </w:t>
      </w:r>
    </w:p>
    <w:p w14:paraId="504F7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 xml:space="preserve">（2）为采购项目提供整体设计、规范编制或者项目管理、监理、检测等服务的供应商，不得参加本项目的采购活动； </w:t>
      </w:r>
    </w:p>
    <w:p w14:paraId="208F9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color w:val="auto"/>
          <w:highlight w:val="white"/>
        </w:rPr>
      </w:pPr>
      <w:r>
        <w:rPr>
          <w:rFonts w:hint="eastAsia" w:ascii="楷体" w:hAnsi="楷体" w:eastAsia="楷体" w:cs="楷体"/>
          <w:color w:val="auto"/>
          <w:sz w:val="24"/>
          <w:szCs w:val="28"/>
        </w:rPr>
        <w:t>（3）供应商被“信用中国”网站（www.creditchina.gov.cn）、“中国政府采购网”(www.ccgp.gov.cn)列入失信被执行人、重大税收违法案件当事人名单、政府采购严重违法失信行为记录名单。</w:t>
      </w:r>
    </w:p>
    <w:p w14:paraId="04D2BA1A">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rPr>
      </w:pPr>
      <w:r>
        <w:rPr>
          <w:rFonts w:hint="eastAsia" w:ascii="楷体" w:hAnsi="楷体" w:eastAsia="楷体" w:cs="楷体"/>
          <w:b/>
          <w:bCs/>
          <w:color w:val="auto"/>
          <w:sz w:val="24"/>
          <w:szCs w:val="28"/>
        </w:rPr>
        <w:t>获取</w:t>
      </w:r>
      <w:r>
        <w:rPr>
          <w:rFonts w:hint="eastAsia" w:ascii="楷体" w:hAnsi="楷体" w:eastAsia="楷体" w:cs="楷体"/>
          <w:b/>
          <w:bCs/>
          <w:color w:val="auto"/>
          <w:sz w:val="24"/>
          <w:szCs w:val="28"/>
          <w:lang w:eastAsia="zh-CN"/>
        </w:rPr>
        <w:t>磋商</w:t>
      </w:r>
      <w:r>
        <w:rPr>
          <w:rFonts w:hint="eastAsia" w:ascii="楷体" w:hAnsi="楷体" w:eastAsia="楷体" w:cs="楷体"/>
          <w:b/>
          <w:bCs/>
          <w:color w:val="auto"/>
          <w:sz w:val="24"/>
          <w:szCs w:val="28"/>
        </w:rPr>
        <w:t>文件</w:t>
      </w:r>
      <w:bookmarkEnd w:id="11"/>
      <w:bookmarkEnd w:id="12"/>
    </w:p>
    <w:p w14:paraId="3EE2E4A1">
      <w:pPr>
        <w:spacing w:line="360" w:lineRule="auto"/>
        <w:ind w:firstLine="480" w:firstLineChars="200"/>
        <w:rPr>
          <w:rFonts w:ascii="楷体" w:hAnsi="楷体" w:eastAsia="楷体"/>
          <w:color w:val="auto"/>
          <w:sz w:val="24"/>
        </w:rPr>
      </w:pPr>
      <w:bookmarkStart w:id="13" w:name="_Toc73965853"/>
      <w:bookmarkStart w:id="14" w:name="_Toc256000004"/>
      <w:r>
        <w:rPr>
          <w:rFonts w:hint="eastAsia" w:ascii="楷体" w:hAnsi="楷体" w:eastAsia="楷体"/>
          <w:color w:val="auto"/>
          <w:sz w:val="24"/>
          <w:lang w:val="en-US" w:eastAsia="zh-CN"/>
        </w:rPr>
        <w:t>本项目磋商文件免费获取，供应商可自行下载附件。参与本项目的供应商应在规定时间内登记报名。报名登记</w:t>
      </w:r>
      <w:r>
        <w:rPr>
          <w:rFonts w:hint="eastAsia" w:ascii="楷体" w:hAnsi="楷体" w:eastAsia="楷体"/>
          <w:color w:val="auto"/>
          <w:sz w:val="24"/>
        </w:rPr>
        <w:t>时间、地点及联系人（</w:t>
      </w:r>
      <w:r>
        <w:rPr>
          <w:rFonts w:hint="eastAsia" w:ascii="楷体" w:hAnsi="楷体" w:eastAsia="楷体"/>
          <w:b/>
          <w:color w:val="auto"/>
          <w:sz w:val="24"/>
          <w:lang w:val="en-US" w:eastAsia="zh-CN"/>
        </w:rPr>
        <w:t>未在规定时间内</w:t>
      </w:r>
      <w:r>
        <w:rPr>
          <w:rFonts w:hint="eastAsia" w:ascii="楷体" w:hAnsi="楷体" w:eastAsia="楷体"/>
          <w:b/>
          <w:color w:val="auto"/>
          <w:sz w:val="24"/>
        </w:rPr>
        <w:t>登记领取</w:t>
      </w:r>
      <w:r>
        <w:rPr>
          <w:rFonts w:hint="eastAsia" w:ascii="楷体" w:hAnsi="楷体" w:eastAsia="楷体"/>
          <w:b/>
          <w:color w:val="auto"/>
          <w:sz w:val="24"/>
          <w:lang w:val="en-US" w:eastAsia="zh-CN"/>
        </w:rPr>
        <w:t>磋商</w:t>
      </w:r>
      <w:r>
        <w:rPr>
          <w:rFonts w:hint="eastAsia" w:ascii="楷体" w:hAnsi="楷体" w:eastAsia="楷体"/>
          <w:b/>
          <w:color w:val="auto"/>
          <w:sz w:val="24"/>
        </w:rPr>
        <w:t>文件的</w:t>
      </w:r>
      <w:r>
        <w:rPr>
          <w:rFonts w:hint="eastAsia" w:ascii="楷体" w:hAnsi="楷体" w:eastAsia="楷体"/>
          <w:b/>
          <w:color w:val="auto"/>
          <w:sz w:val="24"/>
          <w:lang w:val="en-US" w:eastAsia="zh-CN"/>
        </w:rPr>
        <w:t>供应商</w:t>
      </w:r>
      <w:r>
        <w:rPr>
          <w:rFonts w:hint="eastAsia" w:ascii="楷体" w:hAnsi="楷体" w:eastAsia="楷体"/>
          <w:b/>
          <w:color w:val="auto"/>
          <w:sz w:val="24"/>
        </w:rPr>
        <w:t>，其</w:t>
      </w:r>
      <w:r>
        <w:rPr>
          <w:rFonts w:hint="eastAsia" w:ascii="楷体" w:hAnsi="楷体" w:eastAsia="楷体"/>
          <w:b/>
          <w:color w:val="auto"/>
          <w:sz w:val="24"/>
          <w:lang w:val="en-US" w:eastAsia="zh-CN"/>
        </w:rPr>
        <w:t>递交的响应文件</w:t>
      </w:r>
      <w:r>
        <w:rPr>
          <w:rFonts w:hint="eastAsia" w:ascii="楷体" w:hAnsi="楷体" w:eastAsia="楷体"/>
          <w:b/>
          <w:color w:val="auto"/>
          <w:sz w:val="24"/>
        </w:rPr>
        <w:t>将被拒绝</w:t>
      </w:r>
      <w:r>
        <w:rPr>
          <w:rFonts w:hint="eastAsia" w:ascii="楷体" w:hAnsi="楷体" w:eastAsia="楷体"/>
          <w:color w:val="auto"/>
          <w:sz w:val="24"/>
        </w:rPr>
        <w:t>）：</w:t>
      </w:r>
    </w:p>
    <w:p w14:paraId="21133E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楷体" w:hAnsi="楷体" w:eastAsia="楷体"/>
          <w:color w:val="auto"/>
          <w:sz w:val="24"/>
          <w:highlight w:val="none"/>
        </w:rPr>
      </w:pPr>
      <w:r>
        <w:rPr>
          <w:rFonts w:hint="eastAsia" w:ascii="楷体" w:hAnsi="楷体" w:eastAsia="楷体"/>
          <w:color w:val="auto"/>
          <w:sz w:val="24"/>
          <w:highlight w:val="none"/>
        </w:rPr>
        <w:t>（1）时间：</w:t>
      </w:r>
      <w:r>
        <w:rPr>
          <w:rFonts w:hint="eastAsia" w:ascii="楷体" w:hAnsi="楷体" w:eastAsia="楷体"/>
          <w:color w:val="auto"/>
          <w:sz w:val="24"/>
          <w:highlight w:val="none"/>
          <w:lang w:eastAsia="zh-CN"/>
        </w:rPr>
        <w:t>202</w:t>
      </w:r>
      <w:r>
        <w:rPr>
          <w:rFonts w:hint="eastAsia" w:ascii="楷体" w:hAnsi="楷体" w:eastAsia="楷体"/>
          <w:color w:val="auto"/>
          <w:sz w:val="24"/>
          <w:highlight w:val="none"/>
          <w:lang w:val="en-US" w:eastAsia="zh-CN"/>
        </w:rPr>
        <w:t>6</w:t>
      </w:r>
      <w:r>
        <w:rPr>
          <w:rFonts w:hint="eastAsia" w:ascii="楷体" w:hAnsi="楷体" w:eastAsia="楷体"/>
          <w:color w:val="auto"/>
          <w:sz w:val="24"/>
          <w:highlight w:val="none"/>
          <w:lang w:eastAsia="zh-CN"/>
        </w:rPr>
        <w:t>年</w:t>
      </w:r>
      <w:r>
        <w:rPr>
          <w:rFonts w:hint="eastAsia" w:ascii="楷体" w:hAnsi="楷体" w:eastAsia="楷体"/>
          <w:color w:val="auto"/>
          <w:sz w:val="24"/>
          <w:highlight w:val="none"/>
          <w:lang w:val="en-US" w:eastAsia="zh-CN"/>
        </w:rPr>
        <w:t>4</w:t>
      </w:r>
      <w:r>
        <w:rPr>
          <w:rFonts w:hint="eastAsia" w:ascii="楷体" w:hAnsi="楷体" w:eastAsia="楷体"/>
          <w:color w:val="auto"/>
          <w:sz w:val="24"/>
          <w:highlight w:val="none"/>
          <w:lang w:eastAsia="zh-CN"/>
        </w:rPr>
        <w:t>月</w:t>
      </w:r>
      <w:r>
        <w:rPr>
          <w:rFonts w:hint="eastAsia" w:ascii="楷体" w:hAnsi="楷体" w:eastAsia="楷体"/>
          <w:color w:val="auto"/>
          <w:sz w:val="24"/>
          <w:highlight w:val="none"/>
          <w:lang w:val="en-US" w:eastAsia="zh-CN"/>
        </w:rPr>
        <w:t>29</w:t>
      </w:r>
      <w:r>
        <w:rPr>
          <w:rFonts w:hint="eastAsia" w:ascii="楷体" w:hAnsi="楷体" w:eastAsia="楷体"/>
          <w:color w:val="auto"/>
          <w:sz w:val="24"/>
          <w:highlight w:val="none"/>
        </w:rPr>
        <w:t>日至</w:t>
      </w:r>
      <w:r>
        <w:rPr>
          <w:rFonts w:hint="eastAsia" w:ascii="楷体" w:hAnsi="楷体" w:eastAsia="楷体"/>
          <w:color w:val="auto"/>
          <w:sz w:val="24"/>
          <w:highlight w:val="none"/>
          <w:lang w:eastAsia="zh-CN"/>
        </w:rPr>
        <w:t>202</w:t>
      </w:r>
      <w:r>
        <w:rPr>
          <w:rFonts w:hint="eastAsia" w:ascii="楷体" w:hAnsi="楷体" w:eastAsia="楷体"/>
          <w:color w:val="auto"/>
          <w:sz w:val="24"/>
          <w:highlight w:val="none"/>
          <w:lang w:val="en-US" w:eastAsia="zh-CN"/>
        </w:rPr>
        <w:t>6</w:t>
      </w:r>
      <w:r>
        <w:rPr>
          <w:rFonts w:hint="eastAsia" w:ascii="楷体" w:hAnsi="楷体" w:eastAsia="楷体"/>
          <w:color w:val="auto"/>
          <w:sz w:val="24"/>
          <w:highlight w:val="none"/>
          <w:lang w:eastAsia="zh-CN"/>
        </w:rPr>
        <w:t>年</w:t>
      </w:r>
      <w:r>
        <w:rPr>
          <w:rFonts w:hint="eastAsia" w:ascii="楷体" w:hAnsi="楷体" w:eastAsia="楷体"/>
          <w:color w:val="auto"/>
          <w:sz w:val="24"/>
          <w:highlight w:val="none"/>
          <w:lang w:val="en-US" w:eastAsia="zh-CN"/>
        </w:rPr>
        <w:t>5</w:t>
      </w:r>
      <w:r>
        <w:rPr>
          <w:rFonts w:hint="eastAsia" w:ascii="楷体" w:hAnsi="楷体" w:eastAsia="楷体"/>
          <w:color w:val="auto"/>
          <w:sz w:val="24"/>
          <w:highlight w:val="none"/>
          <w:lang w:eastAsia="zh-CN"/>
        </w:rPr>
        <w:t>月</w:t>
      </w:r>
      <w:r>
        <w:rPr>
          <w:rFonts w:hint="eastAsia" w:ascii="楷体" w:hAnsi="楷体" w:eastAsia="楷体"/>
          <w:color w:val="auto"/>
          <w:sz w:val="24"/>
          <w:highlight w:val="none"/>
          <w:lang w:val="en-US" w:eastAsia="zh-CN"/>
        </w:rPr>
        <w:t>8</w:t>
      </w:r>
      <w:r>
        <w:rPr>
          <w:rFonts w:hint="eastAsia" w:ascii="楷体" w:hAnsi="楷体" w:eastAsia="楷体"/>
          <w:color w:val="auto"/>
          <w:sz w:val="24"/>
          <w:highlight w:val="none"/>
        </w:rPr>
        <w:t>日</w:t>
      </w:r>
    </w:p>
    <w:p w14:paraId="5F2B00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楷体" w:hAnsi="楷体" w:eastAsia="楷体"/>
          <w:color w:val="auto"/>
          <w:sz w:val="24"/>
          <w:highlight w:val="none"/>
        </w:rPr>
      </w:pPr>
      <w:r>
        <w:rPr>
          <w:rFonts w:hint="eastAsia" w:ascii="楷体" w:hAnsi="楷体" w:eastAsia="楷体"/>
          <w:color w:val="auto"/>
          <w:sz w:val="24"/>
          <w:highlight w:val="none"/>
        </w:rPr>
        <w:t>上午8:30至11:30，下午</w:t>
      </w:r>
      <w:r>
        <w:rPr>
          <w:rFonts w:hint="eastAsia" w:ascii="楷体" w:hAnsi="楷体" w:eastAsia="楷体"/>
          <w:color w:val="auto"/>
          <w:sz w:val="24"/>
          <w:highlight w:val="none"/>
          <w:lang w:val="en-US" w:eastAsia="zh-CN"/>
        </w:rPr>
        <w:t>14</w:t>
      </w:r>
      <w:r>
        <w:rPr>
          <w:rFonts w:hint="eastAsia" w:ascii="楷体" w:hAnsi="楷体" w:eastAsia="楷体"/>
          <w:color w:val="auto"/>
          <w:sz w:val="24"/>
          <w:highlight w:val="none"/>
        </w:rPr>
        <w:t>:00至</w:t>
      </w:r>
      <w:r>
        <w:rPr>
          <w:rFonts w:hint="eastAsia" w:ascii="楷体" w:hAnsi="楷体" w:eastAsia="楷体"/>
          <w:color w:val="auto"/>
          <w:sz w:val="24"/>
          <w:highlight w:val="none"/>
          <w:lang w:val="en-US" w:eastAsia="zh-CN"/>
        </w:rPr>
        <w:t>17</w:t>
      </w:r>
      <w:r>
        <w:rPr>
          <w:rFonts w:hint="eastAsia" w:ascii="楷体" w:hAnsi="楷体" w:eastAsia="楷体"/>
          <w:color w:val="auto"/>
          <w:sz w:val="24"/>
          <w:highlight w:val="none"/>
        </w:rPr>
        <w:t>:</w:t>
      </w:r>
      <w:r>
        <w:rPr>
          <w:rFonts w:hint="eastAsia" w:ascii="楷体" w:hAnsi="楷体" w:eastAsia="楷体"/>
          <w:color w:val="auto"/>
          <w:sz w:val="24"/>
          <w:highlight w:val="none"/>
          <w:lang w:val="en-US" w:eastAsia="zh-CN"/>
        </w:rPr>
        <w:t>3</w:t>
      </w:r>
      <w:r>
        <w:rPr>
          <w:rFonts w:hint="eastAsia" w:ascii="楷体" w:hAnsi="楷体" w:eastAsia="楷体"/>
          <w:color w:val="auto"/>
          <w:sz w:val="24"/>
          <w:highlight w:val="none"/>
        </w:rPr>
        <w:t>0(节假日除外)</w:t>
      </w:r>
    </w:p>
    <w:p w14:paraId="5EF1E3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楷体" w:hAnsi="楷体" w:eastAsia="楷体"/>
          <w:color w:val="auto"/>
          <w:sz w:val="24"/>
        </w:rPr>
      </w:pPr>
      <w:r>
        <w:rPr>
          <w:rFonts w:hint="eastAsia" w:ascii="楷体" w:hAnsi="楷体" w:eastAsia="楷体"/>
          <w:color w:val="auto"/>
          <w:sz w:val="24"/>
        </w:rPr>
        <w:t>（2）地点：</w:t>
      </w:r>
      <w:r>
        <w:rPr>
          <w:rFonts w:hint="eastAsia" w:ascii="楷体" w:hAnsi="楷体" w:eastAsia="楷体" w:cs="楷体"/>
          <w:color w:val="auto"/>
          <w:spacing w:val="0"/>
          <w:w w:val="100"/>
          <w:sz w:val="24"/>
          <w:szCs w:val="24"/>
          <w:lang w:val="en-US" w:eastAsia="zh-CN"/>
        </w:rPr>
        <w:t>句容市华阳北路35号国际花园北门内街东1#</w:t>
      </w:r>
      <w:r>
        <w:rPr>
          <w:rFonts w:hint="eastAsia" w:ascii="楷体" w:hAnsi="楷体" w:eastAsia="楷体" w:cs="楷体"/>
          <w:color w:val="auto"/>
          <w:spacing w:val="0"/>
          <w:w w:val="100"/>
          <w:sz w:val="24"/>
          <w:szCs w:val="24"/>
        </w:rPr>
        <w:t>江苏智汇锡建工程项目管理有限公司</w:t>
      </w:r>
    </w:p>
    <w:p w14:paraId="46949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隶书"/>
          <w:color w:val="auto"/>
          <w:sz w:val="24"/>
          <w:lang w:eastAsia="zh-CN"/>
        </w:rPr>
      </w:pPr>
      <w:r>
        <w:rPr>
          <w:rFonts w:hint="eastAsia" w:ascii="楷体" w:hAnsi="楷体" w:eastAsia="楷体" w:cs="隶书"/>
          <w:color w:val="auto"/>
          <w:sz w:val="24"/>
        </w:rPr>
        <w:t>（3）联系人：秦</w:t>
      </w:r>
      <w:r>
        <w:rPr>
          <w:rFonts w:hint="eastAsia" w:ascii="楷体" w:hAnsi="楷体" w:eastAsia="楷体" w:cs="隶书"/>
          <w:color w:val="auto"/>
          <w:sz w:val="24"/>
          <w:lang w:val="en-US" w:eastAsia="zh-CN"/>
        </w:rPr>
        <w:t>工</w:t>
      </w:r>
      <w:r>
        <w:rPr>
          <w:rFonts w:hint="eastAsia" w:ascii="楷体" w:hAnsi="楷体" w:eastAsia="楷体" w:cs="隶书"/>
          <w:color w:val="auto"/>
          <w:sz w:val="24"/>
        </w:rPr>
        <w:t xml:space="preserve">          联系电话： 15051856</w:t>
      </w:r>
      <w:bookmarkStart w:id="285" w:name="_GoBack"/>
      <w:bookmarkEnd w:id="285"/>
      <w:r>
        <w:rPr>
          <w:rFonts w:hint="eastAsia" w:ascii="楷体" w:hAnsi="楷体" w:eastAsia="楷体" w:cs="隶书"/>
          <w:color w:val="auto"/>
          <w:sz w:val="24"/>
        </w:rPr>
        <w:t>713</w:t>
      </w:r>
    </w:p>
    <w:p w14:paraId="12A1A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隶书"/>
          <w:color w:val="auto"/>
          <w:sz w:val="24"/>
        </w:rPr>
      </w:pPr>
      <w:r>
        <w:rPr>
          <w:rFonts w:hint="eastAsia" w:ascii="楷体" w:hAnsi="楷体" w:eastAsia="楷体" w:cs="隶书"/>
          <w:color w:val="auto"/>
          <w:sz w:val="24"/>
        </w:rPr>
        <w:t>（4）</w:t>
      </w:r>
      <w:r>
        <w:rPr>
          <w:rFonts w:hint="eastAsia" w:ascii="楷体" w:hAnsi="楷体" w:eastAsia="楷体" w:cs="隶书"/>
          <w:color w:val="auto"/>
          <w:sz w:val="24"/>
          <w:lang w:val="en-US" w:eastAsia="zh-CN"/>
        </w:rPr>
        <w:t>报名登记</w:t>
      </w:r>
      <w:r>
        <w:rPr>
          <w:rFonts w:hint="eastAsia" w:ascii="楷体" w:hAnsi="楷体" w:eastAsia="楷体" w:cs="隶书"/>
          <w:color w:val="auto"/>
          <w:sz w:val="24"/>
        </w:rPr>
        <w:t>方式：</w:t>
      </w:r>
      <w:r>
        <w:rPr>
          <w:rFonts w:hint="eastAsia" w:ascii="楷体" w:hAnsi="楷体" w:eastAsia="楷体" w:cs="隶书"/>
          <w:color w:val="auto"/>
          <w:sz w:val="24"/>
          <w:lang w:val="en-US" w:eastAsia="zh-CN"/>
        </w:rPr>
        <w:t>现场报名或线上报名</w:t>
      </w:r>
      <w:r>
        <w:rPr>
          <w:rFonts w:hint="eastAsia" w:ascii="楷体" w:hAnsi="楷体" w:eastAsia="楷体" w:cs="隶书"/>
          <w:color w:val="auto"/>
          <w:sz w:val="24"/>
        </w:rPr>
        <w:t>。</w:t>
      </w:r>
    </w:p>
    <w:p w14:paraId="65E7F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隶书"/>
          <w:color w:val="auto"/>
          <w:sz w:val="24"/>
          <w:lang w:val="en-US" w:eastAsia="zh-CN"/>
        </w:rPr>
      </w:pPr>
      <w:r>
        <w:rPr>
          <w:rFonts w:hint="eastAsia" w:ascii="楷体" w:hAnsi="楷体" w:eastAsia="楷体" w:cs="隶书"/>
          <w:color w:val="auto"/>
          <w:sz w:val="24"/>
        </w:rPr>
        <w:t>（5）</w:t>
      </w:r>
      <w:r>
        <w:rPr>
          <w:rFonts w:hint="eastAsia" w:ascii="楷体" w:hAnsi="楷体" w:eastAsia="楷体" w:cs="隶书"/>
          <w:color w:val="auto"/>
          <w:sz w:val="24"/>
          <w:lang w:val="en-US" w:eastAsia="zh-CN"/>
        </w:rPr>
        <w:t>报名</w:t>
      </w:r>
      <w:r>
        <w:rPr>
          <w:rFonts w:hint="eastAsia" w:ascii="楷体" w:hAnsi="楷体" w:eastAsia="楷体" w:cs="隶书"/>
          <w:color w:val="auto"/>
          <w:sz w:val="24"/>
        </w:rPr>
        <w:t>登记时需提供下列材料：</w:t>
      </w:r>
      <w:r>
        <w:rPr>
          <w:rFonts w:hint="default" w:ascii="楷体" w:hAnsi="楷体" w:eastAsia="楷体" w:cs="隶书"/>
          <w:color w:val="auto"/>
          <w:sz w:val="24"/>
        </w:rPr>
        <w:t>①</w:t>
      </w:r>
      <w:r>
        <w:rPr>
          <w:rFonts w:hint="eastAsia" w:ascii="楷体" w:hAnsi="楷体" w:eastAsia="楷体" w:cs="隶书"/>
          <w:color w:val="auto"/>
          <w:sz w:val="24"/>
        </w:rPr>
        <w:t>营业执照（复印件）；</w:t>
      </w:r>
      <w:r>
        <w:rPr>
          <w:rFonts w:hint="default" w:ascii="楷体" w:hAnsi="楷体" w:eastAsia="楷体" w:cs="隶书"/>
          <w:color w:val="auto"/>
          <w:sz w:val="24"/>
        </w:rPr>
        <w:t>②</w:t>
      </w:r>
      <w:r>
        <w:rPr>
          <w:rFonts w:hint="eastAsia" w:ascii="楷体" w:hAnsi="楷体" w:eastAsia="楷体" w:cs="隶书"/>
          <w:color w:val="auto"/>
          <w:sz w:val="24"/>
        </w:rPr>
        <w:t>“单位介绍信+代理人身份证复印件（加盖公章）”或“法人授权书+法人身份证及代理人身份证复印件（加盖公章）”；</w:t>
      </w:r>
      <w:r>
        <w:rPr>
          <w:rFonts w:hint="default" w:ascii="楷体" w:hAnsi="楷体" w:eastAsia="楷体" w:cs="隶书"/>
          <w:color w:val="auto"/>
          <w:sz w:val="24"/>
        </w:rPr>
        <w:t>③</w:t>
      </w:r>
      <w:r>
        <w:rPr>
          <w:rFonts w:hint="eastAsia" w:ascii="楷体" w:hAnsi="楷体" w:eastAsia="楷体" w:cs="隶书"/>
          <w:color w:val="auto"/>
          <w:sz w:val="24"/>
        </w:rPr>
        <w:t>供应商</w:t>
      </w:r>
      <w:r>
        <w:rPr>
          <w:rFonts w:hint="eastAsia" w:ascii="楷体" w:hAnsi="楷体" w:eastAsia="楷体" w:cs="隶书"/>
          <w:color w:val="auto"/>
          <w:sz w:val="24"/>
          <w:lang w:val="en-US" w:eastAsia="zh-CN"/>
        </w:rPr>
        <w:t>磋商</w:t>
      </w:r>
      <w:r>
        <w:rPr>
          <w:rFonts w:hint="eastAsia" w:ascii="楷体" w:hAnsi="楷体" w:eastAsia="楷体" w:cs="隶书"/>
          <w:color w:val="auto"/>
          <w:sz w:val="24"/>
        </w:rPr>
        <w:t>文件领取登记表</w:t>
      </w:r>
      <w:r>
        <w:rPr>
          <w:rFonts w:hint="eastAsia" w:ascii="楷体" w:hAnsi="楷体" w:eastAsia="楷体" w:cs="隶书"/>
          <w:color w:val="auto"/>
          <w:sz w:val="24"/>
          <w:lang w:eastAsia="zh-CN"/>
        </w:rPr>
        <w:t>（</w:t>
      </w:r>
      <w:r>
        <w:rPr>
          <w:rFonts w:hint="eastAsia" w:ascii="楷体" w:hAnsi="楷体" w:eastAsia="楷体" w:cs="隶书"/>
          <w:color w:val="auto"/>
          <w:sz w:val="24"/>
          <w:lang w:val="en-US" w:eastAsia="zh-CN"/>
        </w:rPr>
        <w:t>格式见附件</w:t>
      </w:r>
      <w:r>
        <w:rPr>
          <w:rFonts w:hint="eastAsia" w:ascii="楷体" w:hAnsi="楷体" w:eastAsia="楷体" w:cs="隶书"/>
          <w:color w:val="auto"/>
          <w:sz w:val="24"/>
          <w:lang w:eastAsia="zh-CN"/>
        </w:rPr>
        <w:t>）</w:t>
      </w:r>
      <w:r>
        <w:rPr>
          <w:rFonts w:hint="eastAsia" w:ascii="楷体" w:hAnsi="楷体" w:eastAsia="楷体" w:cs="隶书"/>
          <w:color w:val="auto"/>
          <w:sz w:val="24"/>
        </w:rPr>
        <w:t>。</w:t>
      </w:r>
      <w:r>
        <w:rPr>
          <w:rFonts w:hint="eastAsia" w:ascii="楷体" w:hAnsi="楷体" w:eastAsia="楷体" w:cs="隶书"/>
          <w:color w:val="auto"/>
          <w:sz w:val="24"/>
          <w:lang w:val="en-US" w:eastAsia="zh-CN"/>
        </w:rPr>
        <w:t>线上报名的供应商请将上述材料扫描发送至qpqinsong@163.com，并电话告知。</w:t>
      </w:r>
    </w:p>
    <w:bookmarkEnd w:id="13"/>
    <w:bookmarkEnd w:id="14"/>
    <w:p w14:paraId="6CCC4EB3">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rPr>
      </w:pPr>
      <w:r>
        <w:rPr>
          <w:rFonts w:hint="eastAsia" w:ascii="楷体" w:hAnsi="楷体" w:eastAsia="楷体" w:cs="楷体"/>
          <w:b/>
          <w:bCs/>
          <w:color w:val="auto"/>
          <w:sz w:val="24"/>
          <w:szCs w:val="28"/>
          <w:lang w:val="en-US" w:eastAsia="zh-CN"/>
        </w:rPr>
        <w:t>磋商响应</w:t>
      </w:r>
      <w:r>
        <w:rPr>
          <w:rFonts w:hint="eastAsia" w:ascii="楷体" w:hAnsi="楷体" w:eastAsia="楷体" w:cs="楷体"/>
          <w:b/>
          <w:bCs/>
          <w:color w:val="auto"/>
          <w:sz w:val="24"/>
          <w:szCs w:val="28"/>
        </w:rPr>
        <w:t>文件提交截止时间、</w:t>
      </w:r>
      <w:r>
        <w:rPr>
          <w:rFonts w:hint="eastAsia" w:ascii="楷体" w:hAnsi="楷体" w:eastAsia="楷体" w:cs="楷体"/>
          <w:b/>
          <w:bCs/>
          <w:color w:val="auto"/>
          <w:sz w:val="24"/>
          <w:szCs w:val="28"/>
          <w:lang w:val="en-US" w:eastAsia="zh-CN"/>
        </w:rPr>
        <w:t>开启</w:t>
      </w:r>
      <w:r>
        <w:rPr>
          <w:rFonts w:hint="eastAsia" w:ascii="楷体" w:hAnsi="楷体" w:eastAsia="楷体" w:cs="楷体"/>
          <w:b/>
          <w:bCs/>
          <w:color w:val="auto"/>
          <w:sz w:val="24"/>
          <w:szCs w:val="28"/>
        </w:rPr>
        <w:t>时间和地点</w:t>
      </w:r>
    </w:p>
    <w:p w14:paraId="54A91947">
      <w:pPr>
        <w:pStyle w:val="2"/>
        <w:keepNext w:val="0"/>
        <w:keepLines w:val="0"/>
        <w:pageBreakBefore w:val="0"/>
        <w:widowControl w:val="0"/>
        <w:kinsoku/>
        <w:wordWrap w:val="0"/>
        <w:overflowPunct/>
        <w:topLinePunct w:val="0"/>
        <w:autoSpaceDE w:val="0"/>
        <w:autoSpaceDN w:val="0"/>
        <w:bidi w:val="0"/>
        <w:adjustRightInd/>
        <w:snapToGrid/>
        <w:spacing w:before="0" w:line="360" w:lineRule="auto"/>
        <w:ind w:left="0" w:right="0" w:rightChars="0" w:firstLine="480" w:firstLineChars="200"/>
        <w:textAlignment w:val="auto"/>
        <w:rPr>
          <w:rFonts w:hint="eastAsia" w:ascii="楷体" w:hAnsi="楷体" w:eastAsia="楷体" w:cs="楷体"/>
          <w:color w:val="auto"/>
          <w:spacing w:val="0"/>
          <w:w w:val="100"/>
        </w:rPr>
      </w:pPr>
      <w:bookmarkStart w:id="15" w:name="_Toc73965854"/>
      <w:bookmarkStart w:id="16" w:name="_Toc256000005"/>
      <w:r>
        <w:rPr>
          <w:rFonts w:hint="eastAsia" w:ascii="楷体" w:hAnsi="楷体" w:eastAsia="楷体" w:cs="楷体"/>
          <w:color w:val="auto"/>
          <w:spacing w:val="0"/>
          <w:w w:val="100"/>
          <w:lang w:val="en-US" w:eastAsia="zh-CN"/>
        </w:rPr>
        <w:t>1.磋商响应</w:t>
      </w:r>
      <w:r>
        <w:rPr>
          <w:rFonts w:hint="eastAsia" w:ascii="楷体" w:hAnsi="楷体" w:eastAsia="楷体" w:cs="楷体"/>
          <w:color w:val="auto"/>
          <w:spacing w:val="0"/>
          <w:w w:val="100"/>
        </w:rPr>
        <w:t>文件提交截止时间及</w:t>
      </w:r>
      <w:r>
        <w:rPr>
          <w:rFonts w:hint="eastAsia" w:ascii="楷体" w:hAnsi="楷体" w:eastAsia="楷体" w:cs="楷体"/>
          <w:color w:val="auto"/>
          <w:spacing w:val="0"/>
          <w:w w:val="100"/>
          <w:lang w:val="en-US" w:eastAsia="zh-CN"/>
        </w:rPr>
        <w:t>开启</w:t>
      </w:r>
      <w:r>
        <w:rPr>
          <w:rFonts w:hint="eastAsia" w:ascii="楷体" w:hAnsi="楷体" w:eastAsia="楷体" w:cs="楷体"/>
          <w:color w:val="auto"/>
          <w:spacing w:val="0"/>
          <w:w w:val="100"/>
        </w:rPr>
        <w:t>时间：</w:t>
      </w:r>
      <w:r>
        <w:rPr>
          <w:rFonts w:hint="eastAsia" w:ascii="楷体" w:hAnsi="楷体" w:eastAsia="楷体" w:cs="楷体"/>
          <w:color w:val="auto"/>
          <w:spacing w:val="0"/>
          <w:w w:val="100"/>
          <w:lang w:eastAsia="zh-CN"/>
        </w:rPr>
        <w:t>202</w:t>
      </w:r>
      <w:r>
        <w:rPr>
          <w:rFonts w:hint="eastAsia" w:ascii="楷体" w:hAnsi="楷体" w:eastAsia="楷体" w:cs="楷体"/>
          <w:color w:val="auto"/>
          <w:spacing w:val="0"/>
          <w:w w:val="100"/>
          <w:lang w:val="en-US" w:eastAsia="zh-CN"/>
        </w:rPr>
        <w:t>6</w:t>
      </w:r>
      <w:r>
        <w:rPr>
          <w:rFonts w:hint="eastAsia" w:ascii="楷体" w:hAnsi="楷体" w:eastAsia="楷体" w:cs="楷体"/>
          <w:color w:val="auto"/>
          <w:spacing w:val="0"/>
          <w:w w:val="100"/>
          <w:lang w:eastAsia="zh-CN"/>
        </w:rPr>
        <w:t>年</w:t>
      </w:r>
      <w:r>
        <w:rPr>
          <w:rFonts w:hint="eastAsia" w:ascii="楷体" w:hAnsi="楷体" w:eastAsia="楷体" w:cs="楷体"/>
          <w:color w:val="auto"/>
          <w:spacing w:val="0"/>
          <w:w w:val="100"/>
          <w:lang w:val="en-US" w:eastAsia="zh-CN"/>
        </w:rPr>
        <w:t>5月11日14</w:t>
      </w:r>
      <w:r>
        <w:rPr>
          <w:rFonts w:hint="eastAsia" w:ascii="楷体" w:hAnsi="楷体" w:eastAsia="楷体" w:cs="楷体"/>
          <w:color w:val="auto"/>
          <w:spacing w:val="0"/>
          <w:w w:val="100"/>
        </w:rPr>
        <w:t>:30（北京时间）</w:t>
      </w:r>
      <w:r>
        <w:rPr>
          <w:rFonts w:hint="eastAsia" w:ascii="楷体" w:hAnsi="楷体" w:eastAsia="楷体" w:cs="楷体"/>
          <w:color w:val="auto"/>
          <w:spacing w:val="0"/>
          <w:w w:val="100"/>
          <w:lang w:eastAsia="zh-CN"/>
        </w:rPr>
        <w:t>，</w:t>
      </w:r>
      <w:r>
        <w:rPr>
          <w:rFonts w:hint="eastAsia" w:ascii="楷体" w:hAnsi="楷体" w:eastAsia="楷体" w:cs="楷体"/>
          <w:color w:val="auto"/>
          <w:spacing w:val="0"/>
          <w:w w:val="100"/>
        </w:rPr>
        <w:t>届时请</w:t>
      </w:r>
      <w:r>
        <w:rPr>
          <w:rFonts w:hint="eastAsia" w:ascii="楷体" w:hAnsi="楷体" w:eastAsia="楷体" w:cs="楷体"/>
          <w:color w:val="auto"/>
          <w:spacing w:val="0"/>
          <w:w w:val="100"/>
          <w:lang w:val="en-US" w:eastAsia="zh-CN"/>
        </w:rPr>
        <w:t>每家供应商</w:t>
      </w:r>
      <w:r>
        <w:rPr>
          <w:rFonts w:hint="eastAsia" w:ascii="楷体" w:hAnsi="楷体" w:eastAsia="楷体" w:cs="楷体"/>
          <w:color w:val="auto"/>
          <w:spacing w:val="0"/>
          <w:w w:val="100"/>
        </w:rPr>
        <w:t>代表（3人以内）出席</w:t>
      </w:r>
      <w:r>
        <w:rPr>
          <w:rFonts w:hint="eastAsia" w:ascii="楷体" w:hAnsi="楷体" w:eastAsia="楷体" w:cs="楷体"/>
          <w:color w:val="auto"/>
          <w:spacing w:val="0"/>
          <w:w w:val="100"/>
          <w:lang w:val="en-US" w:eastAsia="zh-CN"/>
        </w:rPr>
        <w:t>磋商</w:t>
      </w:r>
      <w:r>
        <w:rPr>
          <w:rFonts w:hint="eastAsia" w:ascii="楷体" w:hAnsi="楷体" w:eastAsia="楷体" w:cs="楷体"/>
          <w:color w:val="auto"/>
          <w:spacing w:val="0"/>
          <w:w w:val="100"/>
        </w:rPr>
        <w:t>会议。</w:t>
      </w:r>
    </w:p>
    <w:p w14:paraId="459E55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olor w:val="auto"/>
          <w:sz w:val="24"/>
          <w:lang w:val="en-US" w:eastAsia="zh-CN"/>
        </w:rPr>
      </w:pPr>
      <w:r>
        <w:rPr>
          <w:rFonts w:hint="eastAsia" w:ascii="楷体" w:hAnsi="楷体" w:eastAsia="楷体" w:cs="楷体"/>
          <w:color w:val="auto"/>
          <w:spacing w:val="0"/>
          <w:w w:val="100"/>
          <w:sz w:val="24"/>
          <w:szCs w:val="24"/>
          <w:lang w:val="en-US" w:eastAsia="zh-CN" w:bidi="ar-SA"/>
        </w:rPr>
        <w:t>2.磋商响应文件开启地点：</w:t>
      </w:r>
      <w:bookmarkEnd w:id="15"/>
      <w:bookmarkEnd w:id="16"/>
      <w:bookmarkStart w:id="17" w:name="_Toc256000006"/>
      <w:bookmarkStart w:id="18" w:name="_Toc73965855"/>
      <w:r>
        <w:rPr>
          <w:rFonts w:hint="eastAsia" w:ascii="楷体" w:hAnsi="楷体" w:eastAsia="楷体" w:cs="楷体"/>
          <w:color w:val="auto"/>
          <w:spacing w:val="0"/>
          <w:w w:val="100"/>
          <w:sz w:val="24"/>
          <w:szCs w:val="24"/>
          <w:lang w:val="en-US" w:eastAsia="zh-CN"/>
        </w:rPr>
        <w:t>句容市华阳北路33号国际花园北门内街东1#</w:t>
      </w:r>
      <w:r>
        <w:rPr>
          <w:rFonts w:hint="eastAsia" w:ascii="楷体" w:hAnsi="楷体" w:eastAsia="楷体" w:cs="楷体"/>
          <w:color w:val="auto"/>
          <w:spacing w:val="0"/>
          <w:w w:val="100"/>
          <w:sz w:val="24"/>
          <w:szCs w:val="24"/>
        </w:rPr>
        <w:t>江苏智汇锡建工程项目管理有限公司</w:t>
      </w:r>
      <w:r>
        <w:rPr>
          <w:rFonts w:hint="eastAsia" w:ascii="楷体" w:hAnsi="楷体" w:eastAsia="楷体" w:cs="楷体"/>
          <w:color w:val="auto"/>
          <w:spacing w:val="0"/>
          <w:w w:val="100"/>
          <w:sz w:val="24"/>
          <w:szCs w:val="24"/>
          <w:lang w:val="en-US" w:eastAsia="zh-CN"/>
        </w:rPr>
        <w:t>开标室</w:t>
      </w:r>
    </w:p>
    <w:p w14:paraId="29CC3DCE">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lang w:val="en-US" w:eastAsia="zh-CN"/>
        </w:rPr>
      </w:pPr>
      <w:r>
        <w:rPr>
          <w:rFonts w:hint="eastAsia" w:ascii="楷体" w:hAnsi="楷体" w:eastAsia="楷体" w:cs="楷体"/>
          <w:b/>
          <w:bCs/>
          <w:color w:val="auto"/>
          <w:sz w:val="24"/>
          <w:szCs w:val="28"/>
          <w:lang w:val="en-US" w:eastAsia="zh-CN"/>
        </w:rPr>
        <w:t>公告期限</w:t>
      </w:r>
      <w:bookmarkEnd w:id="17"/>
      <w:bookmarkEnd w:id="18"/>
    </w:p>
    <w:p w14:paraId="154CB9F9">
      <w:pPr>
        <w:spacing w:line="360" w:lineRule="auto"/>
        <w:ind w:firstLine="480"/>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自本公告发布之日起3个工作日。</w:t>
      </w:r>
    </w:p>
    <w:p w14:paraId="53E952AB">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lang w:val="en-US" w:eastAsia="zh-CN"/>
        </w:rPr>
      </w:pPr>
      <w:bookmarkStart w:id="19" w:name="_Toc73965856"/>
      <w:r>
        <w:rPr>
          <w:rFonts w:hint="eastAsia" w:ascii="楷体" w:hAnsi="楷体" w:eastAsia="楷体" w:cs="楷体"/>
          <w:b/>
          <w:bCs/>
          <w:color w:val="auto"/>
          <w:sz w:val="24"/>
          <w:szCs w:val="28"/>
          <w:lang w:val="en-US" w:eastAsia="zh-CN"/>
        </w:rPr>
        <w:t>其他补充事宜</w:t>
      </w:r>
      <w:bookmarkEnd w:id="19"/>
    </w:p>
    <w:p w14:paraId="7549884B">
      <w:pPr>
        <w:spacing w:line="360" w:lineRule="auto"/>
        <w:ind w:firstLine="480"/>
        <w:rPr>
          <w:rFonts w:hint="eastAsia" w:ascii="楷体" w:hAnsi="楷体" w:eastAsia="楷体" w:cs="楷体"/>
          <w:color w:val="auto"/>
          <w:sz w:val="24"/>
          <w:szCs w:val="24"/>
          <w:highlight w:val="white"/>
        </w:rPr>
      </w:pPr>
      <w:bookmarkStart w:id="20" w:name="_Toc256000007"/>
      <w:bookmarkStart w:id="21" w:name="_Toc73965857"/>
      <w:r>
        <w:rPr>
          <w:rFonts w:hint="eastAsia" w:ascii="楷体" w:hAnsi="楷体" w:eastAsia="楷体" w:cs="楷体"/>
          <w:color w:val="auto"/>
          <w:sz w:val="24"/>
          <w:szCs w:val="24"/>
          <w:highlight w:val="white"/>
        </w:rPr>
        <w:t>无。</w:t>
      </w:r>
    </w:p>
    <w:p w14:paraId="6C19F9E4">
      <w:pPr>
        <w:keepNext w:val="0"/>
        <w:keepLines w:val="0"/>
        <w:pageBreakBefore w:val="0"/>
        <w:widowControl w:val="0"/>
        <w:numPr>
          <w:ilvl w:val="0"/>
          <w:numId w:val="2"/>
        </w:numPr>
        <w:kinsoku/>
        <w:wordWrap/>
        <w:overflowPunct/>
        <w:topLinePunct w:val="0"/>
        <w:autoSpaceDE/>
        <w:autoSpaceDN/>
        <w:bidi w:val="0"/>
        <w:adjustRightInd/>
        <w:snapToGrid/>
        <w:spacing w:before="181" w:beforeLines="50" w:after="181" w:afterLines="50" w:line="360" w:lineRule="auto"/>
        <w:ind w:left="0" w:leftChars="0" w:firstLine="0" w:firstLineChars="0"/>
        <w:textAlignment w:val="auto"/>
        <w:rPr>
          <w:rFonts w:hint="eastAsia" w:ascii="楷体" w:hAnsi="楷体" w:eastAsia="楷体" w:cs="楷体"/>
          <w:b/>
          <w:bCs/>
          <w:color w:val="auto"/>
          <w:sz w:val="24"/>
          <w:szCs w:val="28"/>
          <w:lang w:val="en-US" w:eastAsia="zh-CN"/>
        </w:rPr>
      </w:pPr>
      <w:r>
        <w:rPr>
          <w:rFonts w:hint="eastAsia" w:ascii="楷体" w:hAnsi="楷体" w:eastAsia="楷体" w:cs="楷体"/>
          <w:b/>
          <w:bCs/>
          <w:color w:val="auto"/>
          <w:sz w:val="24"/>
          <w:szCs w:val="28"/>
          <w:lang w:val="en-US" w:eastAsia="zh-CN"/>
        </w:rPr>
        <w:t>对本次磋商提出询问，请按以下方式联系。</w:t>
      </w:r>
      <w:bookmarkEnd w:id="20"/>
      <w:bookmarkEnd w:id="21"/>
    </w:p>
    <w:p w14:paraId="3B43E4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rPr>
      </w:pPr>
      <w:r>
        <w:rPr>
          <w:rFonts w:hint="eastAsia" w:ascii="楷体" w:hAnsi="楷体" w:eastAsia="楷体" w:cs="楷体"/>
          <w:color w:val="auto"/>
          <w:sz w:val="24"/>
          <w:highlight w:val="white"/>
        </w:rPr>
        <w:t>1.采购人信息</w:t>
      </w:r>
    </w:p>
    <w:p w14:paraId="5CEDE5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lang w:eastAsia="zh-CN"/>
        </w:rPr>
      </w:pPr>
      <w:r>
        <w:rPr>
          <w:rFonts w:hint="eastAsia" w:ascii="楷体" w:hAnsi="楷体" w:eastAsia="楷体" w:cs="楷体"/>
          <w:color w:val="auto"/>
          <w:sz w:val="24"/>
          <w:highlight w:val="white"/>
        </w:rPr>
        <w:t>名称：</w:t>
      </w:r>
      <w:r>
        <w:rPr>
          <w:rFonts w:hint="eastAsia" w:ascii="楷体" w:hAnsi="楷体" w:eastAsia="楷体" w:cs="楷体"/>
          <w:bCs/>
          <w:color w:val="auto"/>
          <w:sz w:val="24"/>
          <w:szCs w:val="28"/>
          <w:highlight w:val="white"/>
          <w:lang w:eastAsia="zh-CN"/>
        </w:rPr>
        <w:t>句容市民政局</w:t>
      </w:r>
    </w:p>
    <w:p w14:paraId="7B077B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Cs/>
          <w:color w:val="auto"/>
          <w:sz w:val="24"/>
          <w:szCs w:val="24"/>
          <w:lang w:val="en-US" w:eastAsia="zh-CN"/>
        </w:rPr>
      </w:pPr>
      <w:r>
        <w:rPr>
          <w:rFonts w:hint="eastAsia" w:ascii="楷体" w:hAnsi="楷体" w:eastAsia="楷体" w:cs="楷体"/>
          <w:color w:val="auto"/>
          <w:sz w:val="24"/>
          <w:highlight w:val="white"/>
        </w:rPr>
        <w:t>地址：句容市文昌东路11-3号</w:t>
      </w:r>
    </w:p>
    <w:p w14:paraId="1DC34222">
      <w:pPr>
        <w:pStyle w:val="2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color w:val="auto"/>
          <w:highlight w:val="white"/>
          <w:lang w:val="en-US" w:eastAsia="zh-CN"/>
        </w:rPr>
      </w:pPr>
      <w:r>
        <w:rPr>
          <w:rFonts w:hint="eastAsia" w:ascii="楷体" w:hAnsi="楷体" w:eastAsia="楷体" w:cs="楷体"/>
          <w:color w:val="auto"/>
          <w:highlight w:val="white"/>
          <w:lang w:val="en-US" w:eastAsia="zh-CN"/>
        </w:rPr>
        <w:t>联系人：杜小明</w:t>
      </w:r>
    </w:p>
    <w:p w14:paraId="0D1FECFE">
      <w:pPr>
        <w:pStyle w:val="2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lang w:eastAsia="zh-CN"/>
        </w:rPr>
      </w:pPr>
      <w:r>
        <w:rPr>
          <w:rFonts w:hint="eastAsia" w:ascii="楷体" w:hAnsi="楷体" w:eastAsia="楷体" w:cs="楷体"/>
          <w:color w:val="auto"/>
          <w:highlight w:val="white"/>
        </w:rPr>
        <w:t>联系方式：</w:t>
      </w:r>
      <w:r>
        <w:rPr>
          <w:rFonts w:hint="eastAsia" w:ascii="楷体" w:hAnsi="楷体" w:eastAsia="楷体" w:cs="楷体"/>
          <w:color w:val="auto"/>
          <w:highlight w:val="white"/>
          <w:lang w:eastAsia="zh-CN"/>
        </w:rPr>
        <w:t>13952968158</w:t>
      </w:r>
    </w:p>
    <w:p w14:paraId="07ACDB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rPr>
      </w:pPr>
      <w:r>
        <w:rPr>
          <w:rFonts w:hint="eastAsia" w:ascii="楷体" w:hAnsi="楷体" w:eastAsia="楷体" w:cs="楷体"/>
          <w:color w:val="auto"/>
          <w:sz w:val="24"/>
          <w:highlight w:val="white"/>
        </w:rPr>
        <w:t>2.采购代理机构信息</w:t>
      </w:r>
    </w:p>
    <w:p w14:paraId="02B246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lang w:eastAsia="zh-CN"/>
        </w:rPr>
      </w:pPr>
      <w:r>
        <w:rPr>
          <w:rFonts w:hint="eastAsia" w:ascii="楷体" w:hAnsi="楷体" w:eastAsia="楷体" w:cs="楷体"/>
          <w:color w:val="auto"/>
          <w:sz w:val="24"/>
          <w:highlight w:val="white"/>
        </w:rPr>
        <w:t>名称：</w:t>
      </w:r>
      <w:r>
        <w:rPr>
          <w:rFonts w:hint="eastAsia" w:ascii="楷体" w:hAnsi="楷体" w:eastAsia="楷体" w:cs="楷体"/>
          <w:bCs/>
          <w:color w:val="auto"/>
          <w:sz w:val="24"/>
          <w:szCs w:val="28"/>
          <w:highlight w:val="white"/>
          <w:lang w:eastAsia="zh-CN"/>
        </w:rPr>
        <w:t>江苏智汇锡建工程项目管理有限公司</w:t>
      </w:r>
    </w:p>
    <w:p w14:paraId="4007FF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楷体" w:hAnsi="楷体" w:eastAsia="楷体"/>
          <w:color w:val="auto"/>
          <w:sz w:val="24"/>
        </w:rPr>
      </w:pPr>
      <w:r>
        <w:rPr>
          <w:rFonts w:hint="eastAsia" w:ascii="楷体" w:hAnsi="楷体" w:eastAsia="楷体" w:cs="楷体"/>
          <w:color w:val="auto"/>
          <w:sz w:val="24"/>
          <w:highlight w:val="white"/>
        </w:rPr>
        <w:t>地 址：</w:t>
      </w:r>
      <w:r>
        <w:rPr>
          <w:rFonts w:hint="eastAsia" w:ascii="楷体" w:hAnsi="楷体" w:eastAsia="楷体" w:cs="楷体"/>
          <w:color w:val="auto"/>
          <w:spacing w:val="0"/>
          <w:w w:val="100"/>
          <w:sz w:val="24"/>
          <w:szCs w:val="24"/>
          <w:lang w:val="en-US" w:eastAsia="zh-CN"/>
        </w:rPr>
        <w:t>句容市华阳北路33号国际花园北门内街东1#</w:t>
      </w:r>
    </w:p>
    <w:p w14:paraId="1A5238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bCs/>
          <w:color w:val="auto"/>
          <w:sz w:val="24"/>
          <w:szCs w:val="28"/>
          <w:highlight w:val="white"/>
          <w:lang w:val="en-US" w:eastAsia="zh-CN"/>
        </w:rPr>
      </w:pPr>
      <w:r>
        <w:rPr>
          <w:rFonts w:hint="eastAsia" w:ascii="楷体" w:hAnsi="楷体" w:eastAsia="楷体" w:cs="楷体"/>
          <w:color w:val="auto"/>
          <w:sz w:val="24"/>
          <w:highlight w:val="white"/>
        </w:rPr>
        <w:t>联系方式：</w:t>
      </w:r>
      <w:r>
        <w:rPr>
          <w:rFonts w:hint="eastAsia" w:ascii="楷体" w:hAnsi="楷体" w:eastAsia="楷体" w:cs="楷体"/>
          <w:color w:val="auto"/>
          <w:sz w:val="24"/>
          <w:highlight w:val="white"/>
          <w:lang w:val="en-US" w:eastAsia="zh-CN"/>
        </w:rPr>
        <w:t>15051856713</w:t>
      </w:r>
    </w:p>
    <w:p w14:paraId="1F6EAE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rPr>
      </w:pPr>
      <w:r>
        <w:rPr>
          <w:rFonts w:hint="eastAsia" w:ascii="楷体" w:hAnsi="楷体" w:eastAsia="楷体" w:cs="楷体"/>
          <w:color w:val="auto"/>
          <w:sz w:val="24"/>
          <w:highlight w:val="white"/>
        </w:rPr>
        <w:t>3.项目联系方式</w:t>
      </w:r>
    </w:p>
    <w:p w14:paraId="4BFA78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color w:val="auto"/>
          <w:sz w:val="24"/>
          <w:highlight w:val="white"/>
          <w:lang w:val="en-US" w:eastAsia="zh-CN"/>
        </w:rPr>
      </w:pPr>
      <w:r>
        <w:rPr>
          <w:rFonts w:hint="eastAsia" w:ascii="楷体" w:hAnsi="楷体" w:eastAsia="楷体" w:cs="楷体"/>
          <w:color w:val="auto"/>
          <w:sz w:val="24"/>
          <w:highlight w:val="white"/>
        </w:rPr>
        <w:t>项目联系人：</w:t>
      </w:r>
      <w:r>
        <w:rPr>
          <w:rFonts w:hint="eastAsia" w:ascii="楷体" w:hAnsi="楷体" w:eastAsia="楷体" w:cs="楷体"/>
          <w:color w:val="auto"/>
          <w:sz w:val="24"/>
          <w:highlight w:val="white"/>
          <w:lang w:val="en-US" w:eastAsia="zh-CN"/>
        </w:rPr>
        <w:t>秦工</w:t>
      </w:r>
    </w:p>
    <w:p w14:paraId="5FA60F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color w:val="auto"/>
          <w:sz w:val="24"/>
          <w:highlight w:val="white"/>
          <w:lang w:val="en-US" w:eastAsia="zh-CN"/>
        </w:rPr>
      </w:pPr>
      <w:r>
        <w:rPr>
          <w:rFonts w:hint="eastAsia" w:ascii="楷体" w:hAnsi="楷体" w:eastAsia="楷体" w:cs="楷体"/>
          <w:color w:val="auto"/>
          <w:sz w:val="24"/>
          <w:highlight w:val="white"/>
        </w:rPr>
        <w:t>电 话：</w:t>
      </w:r>
      <w:r>
        <w:rPr>
          <w:rFonts w:hint="eastAsia" w:ascii="楷体" w:hAnsi="楷体" w:eastAsia="楷体" w:cs="楷体"/>
          <w:color w:val="auto"/>
          <w:sz w:val="24"/>
          <w:highlight w:val="white"/>
          <w:lang w:val="en-US" w:eastAsia="zh-CN"/>
        </w:rPr>
        <w:t>15051856713</w:t>
      </w:r>
    </w:p>
    <w:p w14:paraId="5F67A150">
      <w:pPr>
        <w:pStyle w:val="195"/>
        <w:pageBreakBefore/>
        <w:jc w:val="center"/>
        <w:rPr>
          <w:rFonts w:hint="eastAsia" w:ascii="楷体" w:hAnsi="楷体" w:eastAsia="楷体" w:cs="楷体"/>
          <w:color w:val="auto"/>
        </w:rPr>
      </w:pPr>
      <w:bookmarkStart w:id="22" w:name="_Toc31596"/>
      <w:bookmarkStart w:id="23" w:name="_Toc256000009"/>
      <w:bookmarkStart w:id="24" w:name="_Toc73965859"/>
      <w:r>
        <w:rPr>
          <w:rFonts w:hint="eastAsia" w:ascii="楷体" w:hAnsi="楷体" w:eastAsia="楷体" w:cs="楷体"/>
          <w:color w:val="auto"/>
          <w:highlight w:val="white"/>
        </w:rPr>
        <w:t>第二部分  供应商须知</w:t>
      </w:r>
      <w:bookmarkEnd w:id="22"/>
      <w:bookmarkEnd w:id="23"/>
      <w:bookmarkEnd w:id="24"/>
    </w:p>
    <w:p w14:paraId="0E4A6164">
      <w:pPr>
        <w:spacing w:line="360" w:lineRule="auto"/>
        <w:jc w:val="center"/>
        <w:outlineLvl w:val="2"/>
        <w:rPr>
          <w:rFonts w:hint="eastAsia" w:ascii="楷体" w:hAnsi="楷体" w:eastAsia="楷体" w:cs="楷体"/>
          <w:b/>
          <w:color w:val="auto"/>
          <w:sz w:val="32"/>
          <w:szCs w:val="32"/>
        </w:rPr>
      </w:pPr>
      <w:bookmarkStart w:id="25" w:name="_Toc1645"/>
      <w:r>
        <w:rPr>
          <w:rFonts w:hint="eastAsia" w:ascii="楷体" w:hAnsi="楷体" w:eastAsia="楷体" w:cs="楷体"/>
          <w:b/>
          <w:color w:val="auto"/>
          <w:sz w:val="32"/>
          <w:szCs w:val="32"/>
        </w:rPr>
        <w:t>前附表</w:t>
      </w:r>
      <w:bookmarkEnd w:id="25"/>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652"/>
        <w:gridCol w:w="6144"/>
      </w:tblGrid>
      <w:tr w14:paraId="732E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14:paraId="44D5FE3A">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1652" w:type="dxa"/>
            <w:noWrap w:val="0"/>
            <w:vAlign w:val="center"/>
          </w:tcPr>
          <w:p w14:paraId="686DC2D5">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事项</w:t>
            </w:r>
          </w:p>
        </w:tc>
        <w:tc>
          <w:tcPr>
            <w:tcW w:w="6144" w:type="dxa"/>
            <w:noWrap w:val="0"/>
            <w:vAlign w:val="center"/>
          </w:tcPr>
          <w:p w14:paraId="48E28D85">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本项目规定</w:t>
            </w:r>
          </w:p>
        </w:tc>
      </w:tr>
      <w:tr w14:paraId="6FDC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14:paraId="50E54F87">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p>
        </w:tc>
        <w:tc>
          <w:tcPr>
            <w:tcW w:w="1652" w:type="dxa"/>
            <w:noWrap w:val="0"/>
            <w:vAlign w:val="center"/>
          </w:tcPr>
          <w:p w14:paraId="7F02CCDE">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报价要求</w:t>
            </w:r>
          </w:p>
        </w:tc>
        <w:tc>
          <w:tcPr>
            <w:tcW w:w="6144" w:type="dxa"/>
            <w:noWrap w:val="0"/>
            <w:vAlign w:val="center"/>
          </w:tcPr>
          <w:p w14:paraId="0F502022">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本次</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响应报价的币种为人民币。</w:t>
            </w:r>
          </w:p>
          <w:p w14:paraId="18A9A3D8">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供应商应按</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文件所提供的各报价表格式报价。</w:t>
            </w:r>
          </w:p>
          <w:p w14:paraId="623F729F">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供应商应对本项目报出最具有竞争力的价格，应包括本次</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要求提供的货物（服务）已支付或将支付的所有费用（含税费）。</w:t>
            </w:r>
          </w:p>
          <w:p w14:paraId="3CAEA31A">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最低响应报价不能作为成交的保证。</w:t>
            </w:r>
          </w:p>
          <w:p w14:paraId="62DBBB52">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成交价即为合同签约价。</w:t>
            </w:r>
          </w:p>
          <w:p w14:paraId="4812B7DA">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如出现报价前后不一致的，将按</w:t>
            </w:r>
            <w:r>
              <w:rPr>
                <w:rFonts w:hint="eastAsia" w:ascii="楷体" w:hAnsi="楷体" w:eastAsia="楷体" w:cs="楷体"/>
                <w:color w:val="auto"/>
                <w:sz w:val="24"/>
                <w:szCs w:val="24"/>
                <w:lang w:val="en-US" w:eastAsia="zh-CN"/>
              </w:rPr>
              <w:t>磋商</w:t>
            </w:r>
            <w:r>
              <w:rPr>
                <w:rFonts w:hint="eastAsia" w:ascii="楷体" w:hAnsi="楷体" w:eastAsia="楷体" w:cs="楷体"/>
                <w:color w:val="auto"/>
                <w:sz w:val="24"/>
                <w:szCs w:val="24"/>
              </w:rPr>
              <w:t>文件第五部分“评</w:t>
            </w:r>
            <w:r>
              <w:rPr>
                <w:rFonts w:hint="eastAsia" w:ascii="楷体" w:hAnsi="楷体" w:eastAsia="楷体" w:cs="楷体"/>
                <w:color w:val="auto"/>
                <w:sz w:val="24"/>
                <w:szCs w:val="24"/>
                <w:lang w:val="en-US" w:eastAsia="zh-CN"/>
              </w:rPr>
              <w:t>审</w:t>
            </w:r>
            <w:r>
              <w:rPr>
                <w:rFonts w:hint="eastAsia" w:ascii="楷体" w:hAnsi="楷体" w:eastAsia="楷体" w:cs="楷体"/>
                <w:color w:val="auto"/>
                <w:sz w:val="24"/>
                <w:szCs w:val="24"/>
              </w:rPr>
              <w:t>办法和标准”第5项规定进行修正。</w:t>
            </w:r>
          </w:p>
        </w:tc>
      </w:tr>
      <w:tr w14:paraId="5EAB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720" w:type="dxa"/>
            <w:noWrap w:val="0"/>
            <w:vAlign w:val="center"/>
          </w:tcPr>
          <w:p w14:paraId="6DC9EB36">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1652" w:type="dxa"/>
            <w:noWrap w:val="0"/>
            <w:vAlign w:val="center"/>
          </w:tcPr>
          <w:p w14:paraId="50D2E175">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转包及分包</w:t>
            </w:r>
          </w:p>
        </w:tc>
        <w:tc>
          <w:tcPr>
            <w:tcW w:w="6144" w:type="dxa"/>
            <w:noWrap w:val="0"/>
            <w:vAlign w:val="center"/>
          </w:tcPr>
          <w:p w14:paraId="2C853E63">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项目依法不得转包</w:t>
            </w:r>
          </w:p>
          <w:p w14:paraId="4CA0B12C">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本项目不同意分包。</w:t>
            </w:r>
          </w:p>
        </w:tc>
      </w:tr>
      <w:tr w14:paraId="7AC1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20" w:type="dxa"/>
            <w:noWrap w:val="0"/>
            <w:vAlign w:val="center"/>
          </w:tcPr>
          <w:p w14:paraId="31F7D3E8">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1652" w:type="dxa"/>
            <w:noWrap w:val="0"/>
            <w:vAlign w:val="center"/>
          </w:tcPr>
          <w:p w14:paraId="0563B69F">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开标前答疑会</w:t>
            </w:r>
          </w:p>
        </w:tc>
        <w:tc>
          <w:tcPr>
            <w:tcW w:w="6144" w:type="dxa"/>
            <w:noWrap w:val="0"/>
            <w:vAlign w:val="center"/>
          </w:tcPr>
          <w:p w14:paraId="746E18DD">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不组织</w:t>
            </w:r>
          </w:p>
        </w:tc>
      </w:tr>
      <w:tr w14:paraId="025D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720" w:type="dxa"/>
            <w:noWrap w:val="0"/>
            <w:vAlign w:val="center"/>
          </w:tcPr>
          <w:p w14:paraId="5C3A970C">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1652" w:type="dxa"/>
            <w:noWrap w:val="0"/>
            <w:vAlign w:val="center"/>
          </w:tcPr>
          <w:p w14:paraId="6BCA07B3">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现场踏勘</w:t>
            </w:r>
          </w:p>
        </w:tc>
        <w:tc>
          <w:tcPr>
            <w:tcW w:w="6144" w:type="dxa"/>
            <w:noWrap w:val="0"/>
            <w:vAlign w:val="center"/>
          </w:tcPr>
          <w:p w14:paraId="3F606E0D">
            <w:pPr>
              <w:spacing w:line="360" w:lineRule="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不统一组织，供应商自行联系采购人进行现场踏勘</w:t>
            </w:r>
          </w:p>
        </w:tc>
      </w:tr>
      <w:tr w14:paraId="0D6F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20" w:type="dxa"/>
            <w:noWrap w:val="0"/>
            <w:vAlign w:val="center"/>
          </w:tcPr>
          <w:p w14:paraId="6CEAD874">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1652" w:type="dxa"/>
            <w:noWrap w:val="0"/>
            <w:vAlign w:val="center"/>
          </w:tcPr>
          <w:p w14:paraId="61FC427C">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演示</w:t>
            </w:r>
          </w:p>
        </w:tc>
        <w:tc>
          <w:tcPr>
            <w:tcW w:w="6144" w:type="dxa"/>
            <w:noWrap w:val="0"/>
            <w:vAlign w:val="center"/>
          </w:tcPr>
          <w:p w14:paraId="2B4A23DB">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无</w:t>
            </w:r>
          </w:p>
        </w:tc>
      </w:tr>
      <w:tr w14:paraId="4453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20" w:type="dxa"/>
            <w:noWrap w:val="0"/>
            <w:vAlign w:val="center"/>
          </w:tcPr>
          <w:p w14:paraId="6047DA52">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1652" w:type="dxa"/>
            <w:noWrap w:val="0"/>
            <w:vAlign w:val="center"/>
          </w:tcPr>
          <w:p w14:paraId="0D8EE06B">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样品</w:t>
            </w:r>
          </w:p>
        </w:tc>
        <w:tc>
          <w:tcPr>
            <w:tcW w:w="6144" w:type="dxa"/>
            <w:noWrap w:val="0"/>
            <w:vAlign w:val="center"/>
          </w:tcPr>
          <w:p w14:paraId="21A6731E">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不要求提供。</w:t>
            </w:r>
          </w:p>
        </w:tc>
      </w:tr>
      <w:tr w14:paraId="7C48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20" w:type="dxa"/>
            <w:shd w:val="clear" w:color="auto" w:fill="auto"/>
            <w:noWrap w:val="0"/>
            <w:vAlign w:val="center"/>
          </w:tcPr>
          <w:p w14:paraId="41686A7A">
            <w:pPr>
              <w:spacing w:line="360" w:lineRule="auto"/>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7</w:t>
            </w:r>
          </w:p>
        </w:tc>
        <w:tc>
          <w:tcPr>
            <w:tcW w:w="1652" w:type="dxa"/>
            <w:shd w:val="clear" w:color="auto" w:fill="auto"/>
            <w:noWrap w:val="0"/>
            <w:vAlign w:val="center"/>
          </w:tcPr>
          <w:p w14:paraId="186D4FCD">
            <w:pPr>
              <w:spacing w:line="360" w:lineRule="auto"/>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是否允许采购进口产品</w:t>
            </w:r>
          </w:p>
        </w:tc>
        <w:tc>
          <w:tcPr>
            <w:tcW w:w="6144" w:type="dxa"/>
            <w:shd w:val="clear" w:color="auto" w:fill="auto"/>
            <w:noWrap w:val="0"/>
            <w:vAlign w:val="center"/>
          </w:tcPr>
          <w:p w14:paraId="66A9F7C6">
            <w:pPr>
              <w:spacing w:line="360" w:lineRule="auto"/>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本项目不适用。</w:t>
            </w:r>
          </w:p>
        </w:tc>
      </w:tr>
      <w:tr w14:paraId="7E9A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20" w:type="dxa"/>
            <w:noWrap w:val="0"/>
            <w:vAlign w:val="center"/>
          </w:tcPr>
          <w:p w14:paraId="48BCF26D">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1652" w:type="dxa"/>
            <w:noWrap w:val="0"/>
            <w:vAlign w:val="center"/>
          </w:tcPr>
          <w:p w14:paraId="4BCA1BA8">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项目属性</w:t>
            </w:r>
          </w:p>
        </w:tc>
        <w:tc>
          <w:tcPr>
            <w:tcW w:w="6144" w:type="dxa"/>
            <w:noWrap w:val="0"/>
            <w:vAlign w:val="center"/>
          </w:tcPr>
          <w:p w14:paraId="38F60716">
            <w:pPr>
              <w:spacing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项目属性：</w:t>
            </w:r>
            <w:r>
              <w:rPr>
                <w:rFonts w:hint="eastAsia" w:ascii="楷体" w:hAnsi="楷体" w:eastAsia="楷体" w:cs="楷体"/>
                <w:color w:val="auto"/>
                <w:sz w:val="24"/>
                <w:szCs w:val="24"/>
                <w:lang w:val="en-US" w:eastAsia="zh-CN"/>
              </w:rPr>
              <w:t>工程</w:t>
            </w:r>
            <w:r>
              <w:rPr>
                <w:rFonts w:hint="eastAsia" w:ascii="楷体" w:hAnsi="楷体" w:eastAsia="楷体" w:cs="楷体"/>
                <w:color w:val="auto"/>
                <w:sz w:val="24"/>
                <w:szCs w:val="24"/>
              </w:rPr>
              <w:t>类采购。</w:t>
            </w:r>
          </w:p>
        </w:tc>
      </w:tr>
      <w:tr w14:paraId="54F2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20" w:type="dxa"/>
            <w:noWrap w:val="0"/>
            <w:vAlign w:val="center"/>
          </w:tcPr>
          <w:p w14:paraId="17C089DC">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1652" w:type="dxa"/>
            <w:noWrap w:val="0"/>
            <w:vAlign w:val="center"/>
          </w:tcPr>
          <w:p w14:paraId="3510833F">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采购标的对应的中小企业划分标准所属行业</w:t>
            </w:r>
          </w:p>
        </w:tc>
        <w:tc>
          <w:tcPr>
            <w:tcW w:w="6144" w:type="dxa"/>
            <w:noWrap w:val="0"/>
            <w:vAlign w:val="center"/>
          </w:tcPr>
          <w:p w14:paraId="5ABE5E05">
            <w:pPr>
              <w:spacing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标的：</w:t>
            </w:r>
            <w:r>
              <w:rPr>
                <w:rFonts w:hint="eastAsia" w:ascii="楷体" w:hAnsi="楷体" w:eastAsia="楷体" w:cs="楷体"/>
                <w:color w:val="auto"/>
                <w:sz w:val="24"/>
                <w:szCs w:val="28"/>
                <w:highlight w:val="white"/>
                <w:lang w:eastAsia="zh-CN"/>
              </w:rPr>
              <w:t>句容市养老护理院户外设施增设项目</w:t>
            </w:r>
            <w:r>
              <w:rPr>
                <w:rFonts w:hint="eastAsia" w:ascii="楷体" w:hAnsi="楷体" w:eastAsia="楷体" w:cs="楷体"/>
                <w:color w:val="auto"/>
                <w:sz w:val="24"/>
                <w:szCs w:val="24"/>
              </w:rPr>
              <w:t>，</w:t>
            </w:r>
          </w:p>
          <w:p w14:paraId="087D0B57">
            <w:pPr>
              <w:spacing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属于建筑业行业；</w:t>
            </w:r>
          </w:p>
          <w:p w14:paraId="2B7A8664">
            <w:pPr>
              <w:spacing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企业划型标准请对照《关于印发中小企业划型标准规定的通知》（工信部联企业[2011]300号）。</w:t>
            </w:r>
          </w:p>
        </w:tc>
      </w:tr>
      <w:tr w14:paraId="6A5E5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20" w:type="dxa"/>
            <w:noWrap w:val="0"/>
            <w:vAlign w:val="center"/>
          </w:tcPr>
          <w:p w14:paraId="7F41C8CC">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1652" w:type="dxa"/>
            <w:noWrap w:val="0"/>
            <w:vAlign w:val="center"/>
          </w:tcPr>
          <w:p w14:paraId="04D56E8A">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节能产品、环境标志产品</w:t>
            </w:r>
          </w:p>
        </w:tc>
        <w:tc>
          <w:tcPr>
            <w:tcW w:w="6144" w:type="dxa"/>
            <w:noWrap w:val="0"/>
            <w:vAlign w:val="center"/>
          </w:tcPr>
          <w:p w14:paraId="126D2024">
            <w:pPr>
              <w:spacing w:line="360" w:lineRule="auto"/>
              <w:jc w:val="left"/>
              <w:rPr>
                <w:rFonts w:hint="eastAsia" w:ascii="楷体" w:hAnsi="楷体" w:eastAsia="楷体" w:cs="楷体"/>
                <w:color w:val="auto"/>
                <w:sz w:val="24"/>
                <w:szCs w:val="24"/>
              </w:rPr>
            </w:pPr>
            <w:r>
              <w:rPr>
                <w:rFonts w:hint="eastAsia" w:ascii="楷体" w:hAnsi="楷体" w:eastAsia="楷体" w:cs="楷体"/>
                <w:color w:val="auto"/>
                <w:sz w:val="24"/>
                <w:szCs w:val="24"/>
              </w:rPr>
              <w:t>本项目不适用。</w:t>
            </w:r>
          </w:p>
        </w:tc>
      </w:tr>
      <w:tr w14:paraId="1766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14:paraId="7D815F30">
            <w:pPr>
              <w:spacing w:line="360" w:lineRule="auto"/>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1</w:t>
            </w:r>
          </w:p>
        </w:tc>
        <w:tc>
          <w:tcPr>
            <w:tcW w:w="1652" w:type="dxa"/>
            <w:noWrap w:val="0"/>
            <w:vAlign w:val="center"/>
          </w:tcPr>
          <w:p w14:paraId="3093F5C9">
            <w:pPr>
              <w:spacing w:line="360" w:lineRule="auto"/>
              <w:jc w:val="center"/>
              <w:rPr>
                <w:rFonts w:hint="eastAsia" w:ascii="楷体" w:hAnsi="楷体" w:eastAsia="楷体" w:cs="楷体"/>
                <w:color w:val="auto"/>
                <w:sz w:val="24"/>
                <w:szCs w:val="24"/>
              </w:rPr>
            </w:pPr>
            <w:r>
              <w:rPr>
                <w:rFonts w:hint="eastAsia" w:ascii="楷体" w:hAnsi="楷体" w:eastAsia="楷体" w:cs="楷体"/>
                <w:color w:val="auto"/>
                <w:sz w:val="24"/>
                <w:szCs w:val="24"/>
              </w:rPr>
              <w:t>特别说明</w:t>
            </w:r>
          </w:p>
        </w:tc>
        <w:tc>
          <w:tcPr>
            <w:tcW w:w="6144" w:type="dxa"/>
            <w:noWrap w:val="0"/>
            <w:vAlign w:val="center"/>
          </w:tcPr>
          <w:p w14:paraId="7C7D1CF0">
            <w:pPr>
              <w:spacing w:line="360" w:lineRule="auto"/>
              <w:rPr>
                <w:rFonts w:hint="eastAsia" w:ascii="楷体" w:hAnsi="楷体" w:eastAsia="楷体" w:cs="楷体"/>
                <w:i/>
                <w:iCs/>
                <w:color w:val="auto"/>
                <w:sz w:val="24"/>
                <w:szCs w:val="24"/>
              </w:rPr>
            </w:pPr>
            <w:r>
              <w:rPr>
                <w:rFonts w:hint="eastAsia" w:ascii="楷体" w:hAnsi="楷体" w:eastAsia="楷体" w:cs="楷体"/>
                <w:color w:val="auto"/>
                <w:sz w:val="24"/>
                <w:szCs w:val="24"/>
              </w:rPr>
              <w:t>无</w:t>
            </w:r>
          </w:p>
        </w:tc>
      </w:tr>
    </w:tbl>
    <w:p w14:paraId="09AB1028">
      <w:pPr>
        <w:rPr>
          <w:rFonts w:hint="eastAsia" w:ascii="楷体" w:hAnsi="楷体" w:eastAsia="楷体" w:cs="楷体"/>
          <w:color w:val="auto"/>
          <w:highlight w:val="white"/>
          <w:lang w:val="en-US"/>
        </w:rPr>
      </w:pPr>
      <w:bookmarkStart w:id="26" w:name="_Toc73965860"/>
      <w:bookmarkStart w:id="27" w:name="_Toc256000010"/>
    </w:p>
    <w:p w14:paraId="50DF2D56">
      <w:pPr>
        <w:pStyle w:val="196"/>
        <w:rPr>
          <w:rFonts w:hint="eastAsia" w:ascii="楷体" w:hAnsi="楷体" w:eastAsia="楷体" w:cs="楷体"/>
          <w:color w:val="auto"/>
          <w:sz w:val="32"/>
        </w:rPr>
      </w:pPr>
      <w:bookmarkStart w:id="28" w:name="_Toc10892"/>
      <w:r>
        <w:rPr>
          <w:rFonts w:hint="eastAsia" w:ascii="楷体" w:hAnsi="楷体" w:eastAsia="楷体" w:cs="楷体"/>
          <w:color w:val="auto"/>
          <w:sz w:val="32"/>
          <w:highlight w:val="white"/>
        </w:rPr>
        <w:t>一、总  则</w:t>
      </w:r>
      <w:bookmarkEnd w:id="26"/>
      <w:bookmarkEnd w:id="27"/>
      <w:bookmarkEnd w:id="28"/>
    </w:p>
    <w:p w14:paraId="5D769560">
      <w:pPr>
        <w:pStyle w:val="44"/>
        <w:numPr>
          <w:ilvl w:val="0"/>
          <w:numId w:val="4"/>
        </w:numPr>
        <w:ind w:left="425" w:leftChars="0" w:hanging="425" w:firstLineChars="0"/>
        <w:rPr>
          <w:rFonts w:hint="eastAsia" w:ascii="楷体" w:hAnsi="楷体" w:eastAsia="楷体" w:cs="楷体"/>
          <w:color w:val="auto"/>
        </w:rPr>
      </w:pPr>
      <w:bookmarkStart w:id="29" w:name="_Toc13691"/>
      <w:bookmarkStart w:id="30" w:name="_Toc73965861"/>
      <w:bookmarkStart w:id="31" w:name="_Toc256000011"/>
      <w:r>
        <w:rPr>
          <w:rFonts w:hint="eastAsia" w:ascii="楷体" w:hAnsi="楷体" w:eastAsia="楷体" w:cs="楷体"/>
          <w:color w:val="auto"/>
          <w:highlight w:val="white"/>
        </w:rPr>
        <w:t>适用范围</w:t>
      </w:r>
      <w:bookmarkEnd w:id="29"/>
      <w:bookmarkEnd w:id="30"/>
      <w:bookmarkEnd w:id="31"/>
    </w:p>
    <w:p w14:paraId="4B0ADD3E">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1.1 本</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文件仅适用于</w:t>
      </w:r>
      <w:r>
        <w:rPr>
          <w:rFonts w:hint="eastAsia" w:ascii="楷体" w:hAnsi="楷体" w:eastAsia="楷体" w:cs="楷体"/>
          <w:color w:val="auto"/>
          <w:sz w:val="24"/>
          <w:highlight w:val="white"/>
          <w:lang w:eastAsia="zh-CN"/>
        </w:rPr>
        <w:t>句容市养老护理院户外设施增设项目</w:t>
      </w:r>
      <w:r>
        <w:rPr>
          <w:rFonts w:hint="eastAsia" w:ascii="楷体" w:hAnsi="楷体" w:eastAsia="楷体" w:cs="楷体"/>
          <w:color w:val="auto"/>
          <w:sz w:val="24"/>
          <w:highlight w:val="white"/>
        </w:rPr>
        <w:t>。</w:t>
      </w:r>
    </w:p>
    <w:p w14:paraId="2FC6CA93">
      <w:pPr>
        <w:pStyle w:val="44"/>
        <w:numPr>
          <w:ilvl w:val="0"/>
          <w:numId w:val="4"/>
        </w:numPr>
        <w:ind w:left="425" w:leftChars="0" w:hanging="425" w:firstLineChars="0"/>
        <w:rPr>
          <w:rFonts w:hint="eastAsia" w:ascii="楷体" w:hAnsi="楷体" w:eastAsia="楷体" w:cs="楷体"/>
          <w:color w:val="auto"/>
          <w:highlight w:val="white"/>
        </w:rPr>
      </w:pPr>
      <w:bookmarkStart w:id="32" w:name="_Toc256000012"/>
      <w:bookmarkStart w:id="33" w:name="_Toc73965862"/>
      <w:bookmarkStart w:id="34" w:name="_Toc6847"/>
      <w:r>
        <w:rPr>
          <w:rFonts w:hint="eastAsia" w:ascii="楷体" w:hAnsi="楷体" w:eastAsia="楷体" w:cs="楷体"/>
          <w:color w:val="auto"/>
          <w:highlight w:val="white"/>
        </w:rPr>
        <w:t>定义</w:t>
      </w:r>
      <w:bookmarkEnd w:id="32"/>
      <w:bookmarkEnd w:id="33"/>
      <w:bookmarkEnd w:id="34"/>
    </w:p>
    <w:p w14:paraId="173B00AC">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文件中下列术语应解释为：</w:t>
      </w:r>
    </w:p>
    <w:p w14:paraId="244DF867">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2.1 “</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组织方”系指采购代理机构或采购单位，即：</w:t>
      </w:r>
      <w:r>
        <w:rPr>
          <w:rFonts w:hint="eastAsia" w:ascii="楷体" w:hAnsi="楷体" w:eastAsia="楷体" w:cs="楷体"/>
          <w:color w:val="auto"/>
          <w:sz w:val="24"/>
          <w:highlight w:val="white"/>
          <w:lang w:eastAsia="zh-CN"/>
        </w:rPr>
        <w:t>江苏智汇锡建工程项目管理有限公司</w:t>
      </w:r>
      <w:r>
        <w:rPr>
          <w:rFonts w:hint="eastAsia" w:ascii="楷体" w:hAnsi="楷体" w:eastAsia="楷体" w:cs="楷体"/>
          <w:color w:val="auto"/>
          <w:sz w:val="24"/>
          <w:highlight w:val="white"/>
        </w:rPr>
        <w:t>。</w:t>
      </w:r>
    </w:p>
    <w:p w14:paraId="6913DFCD">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2.2 “采购人”系指依法进行采购的国家机关、事业单位、团体组织，即：</w:t>
      </w:r>
      <w:r>
        <w:rPr>
          <w:rFonts w:hint="eastAsia" w:ascii="楷体" w:hAnsi="楷体" w:eastAsia="楷体" w:cs="楷体"/>
          <w:color w:val="auto"/>
          <w:sz w:val="24"/>
          <w:highlight w:val="white"/>
          <w:lang w:eastAsia="zh-CN"/>
        </w:rPr>
        <w:t>句容市民政局</w:t>
      </w:r>
      <w:r>
        <w:rPr>
          <w:rFonts w:hint="eastAsia" w:ascii="楷体" w:hAnsi="楷体" w:eastAsia="楷体" w:cs="楷体"/>
          <w:color w:val="auto"/>
          <w:sz w:val="24"/>
          <w:highlight w:val="white"/>
        </w:rPr>
        <w:t>。</w:t>
      </w:r>
    </w:p>
    <w:p w14:paraId="05552D2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2.3 “供应商”系指响应</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、参加</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竞争的法人、其他组织或者自然人。</w:t>
      </w:r>
    </w:p>
    <w:p w14:paraId="07A1E971">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2.4 “工程”系指本</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文件所述采购标的，即</w:t>
      </w:r>
      <w:r>
        <w:rPr>
          <w:rFonts w:hint="eastAsia" w:ascii="楷体" w:hAnsi="楷体" w:eastAsia="楷体" w:cs="楷体"/>
          <w:color w:val="auto"/>
          <w:sz w:val="24"/>
          <w:highlight w:val="white"/>
          <w:lang w:eastAsia="zh-CN"/>
        </w:rPr>
        <w:t>句容市养老护理院户外设施增设项目</w:t>
      </w:r>
      <w:r>
        <w:rPr>
          <w:rFonts w:hint="eastAsia" w:ascii="楷体" w:hAnsi="楷体" w:eastAsia="楷体" w:cs="Times New Roman"/>
          <w:bCs/>
          <w:color w:val="auto"/>
          <w:sz w:val="24"/>
          <w:lang w:val="en-US" w:eastAsia="zh-CN"/>
        </w:rPr>
        <w:t>。</w:t>
      </w:r>
    </w:p>
    <w:p w14:paraId="49B98CEF">
      <w:pPr>
        <w:pStyle w:val="44"/>
        <w:numPr>
          <w:ilvl w:val="0"/>
          <w:numId w:val="4"/>
        </w:numPr>
        <w:ind w:left="425" w:leftChars="0" w:hanging="425" w:firstLineChars="0"/>
        <w:rPr>
          <w:rFonts w:hint="eastAsia" w:ascii="楷体" w:hAnsi="楷体" w:eastAsia="楷体" w:cs="楷体"/>
          <w:color w:val="auto"/>
        </w:rPr>
      </w:pPr>
      <w:bookmarkStart w:id="35" w:name="_Toc256000013"/>
      <w:bookmarkStart w:id="36" w:name="_Toc21741"/>
      <w:bookmarkStart w:id="37" w:name="_Toc73965863"/>
      <w:r>
        <w:rPr>
          <w:rFonts w:hint="eastAsia" w:ascii="楷体" w:hAnsi="楷体" w:eastAsia="楷体" w:cs="楷体"/>
          <w:color w:val="auto"/>
          <w:highlight w:val="white"/>
        </w:rPr>
        <w:t>本次采购方式</w:t>
      </w:r>
      <w:bookmarkEnd w:id="35"/>
      <w:bookmarkEnd w:id="36"/>
      <w:bookmarkEnd w:id="37"/>
    </w:p>
    <w:p w14:paraId="28A8923D">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3.1 本次采购采取竞争性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采购方式。</w:t>
      </w:r>
    </w:p>
    <w:p w14:paraId="7690BF1E">
      <w:pPr>
        <w:spacing w:line="360" w:lineRule="auto"/>
        <w:ind w:firstLine="480"/>
        <w:rPr>
          <w:rFonts w:hint="eastAsia" w:ascii="楷体" w:hAnsi="楷体" w:eastAsia="楷体" w:cs="楷体"/>
          <w:color w:val="auto"/>
          <w:sz w:val="24"/>
          <w:szCs w:val="28"/>
        </w:rPr>
      </w:pPr>
      <w:r>
        <w:rPr>
          <w:rFonts w:hint="eastAsia" w:ascii="楷体" w:hAnsi="楷体" w:eastAsia="楷体" w:cs="楷体"/>
          <w:color w:val="auto"/>
          <w:sz w:val="24"/>
          <w:szCs w:val="28"/>
          <w:highlight w:val="white"/>
        </w:rPr>
        <w:t>3.</w:t>
      </w:r>
      <w:r>
        <w:rPr>
          <w:rFonts w:hint="eastAsia" w:ascii="楷体" w:hAnsi="楷体" w:eastAsia="楷体" w:cs="楷体"/>
          <w:color w:val="auto"/>
          <w:sz w:val="24"/>
          <w:szCs w:val="28"/>
          <w:highlight w:val="white"/>
          <w:lang w:val="en-US" w:eastAsia="zh-CN"/>
        </w:rPr>
        <w:t>2</w:t>
      </w:r>
      <w:r>
        <w:rPr>
          <w:rFonts w:hint="eastAsia" w:ascii="楷体" w:hAnsi="楷体" w:eastAsia="楷体" w:cs="楷体"/>
          <w:color w:val="auto"/>
          <w:sz w:val="24"/>
          <w:szCs w:val="28"/>
          <w:highlight w:val="white"/>
        </w:rPr>
        <w:t xml:space="preserve"> 本次采购确定的成交人数量：</w:t>
      </w:r>
      <w:r>
        <w:rPr>
          <w:rFonts w:hint="eastAsia" w:ascii="楷体" w:hAnsi="楷体" w:eastAsia="楷体" w:cs="楷体"/>
          <w:color w:val="auto"/>
          <w:sz w:val="24"/>
          <w:szCs w:val="28"/>
          <w:highlight w:val="white"/>
          <w:lang w:val="en-US" w:eastAsia="zh-CN"/>
        </w:rPr>
        <w:t>1</w:t>
      </w:r>
      <w:r>
        <w:rPr>
          <w:rFonts w:hint="eastAsia" w:ascii="楷体" w:hAnsi="楷体" w:eastAsia="楷体" w:cs="楷体"/>
          <w:color w:val="auto"/>
          <w:sz w:val="24"/>
          <w:highlight w:val="white"/>
        </w:rPr>
        <w:t>名</w:t>
      </w:r>
    </w:p>
    <w:p w14:paraId="58431B45">
      <w:pPr>
        <w:spacing w:line="360" w:lineRule="auto"/>
        <w:ind w:firstLine="480"/>
        <w:rPr>
          <w:rFonts w:hint="eastAsia" w:ascii="楷体" w:hAnsi="楷体" w:eastAsia="楷体" w:cs="楷体"/>
          <w:color w:val="auto"/>
          <w:sz w:val="24"/>
          <w:highlight w:val="white"/>
        </w:rPr>
      </w:pPr>
      <w:bookmarkStart w:id="38" w:name="EB0c331c81797546a9a3fde0c6c5fb3d8e"/>
      <w:r>
        <w:rPr>
          <w:rFonts w:hint="eastAsia" w:ascii="楷体" w:hAnsi="楷体" w:eastAsia="楷体" w:cs="楷体"/>
          <w:color w:val="auto"/>
          <w:sz w:val="24"/>
        </w:rPr>
        <w:t>3.</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 本项目不接受联合体。</w:t>
      </w:r>
    </w:p>
    <w:bookmarkEnd w:id="38"/>
    <w:p w14:paraId="350AB7B4">
      <w:pPr>
        <w:pStyle w:val="44"/>
        <w:numPr>
          <w:ilvl w:val="0"/>
          <w:numId w:val="4"/>
        </w:numPr>
        <w:ind w:left="425" w:leftChars="0" w:hanging="425" w:firstLineChars="0"/>
        <w:rPr>
          <w:rFonts w:hint="eastAsia" w:ascii="楷体" w:hAnsi="楷体" w:eastAsia="楷体" w:cs="楷体"/>
          <w:color w:val="auto"/>
        </w:rPr>
      </w:pPr>
      <w:bookmarkStart w:id="39" w:name="_Toc73965864"/>
      <w:bookmarkStart w:id="40" w:name="_Toc256000014"/>
      <w:bookmarkStart w:id="41" w:name="_Toc13279"/>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费用</w:t>
      </w:r>
      <w:bookmarkEnd w:id="39"/>
      <w:bookmarkEnd w:id="40"/>
      <w:bookmarkEnd w:id="41"/>
    </w:p>
    <w:p w14:paraId="19A9CEE5">
      <w:pPr>
        <w:spacing w:line="360" w:lineRule="auto"/>
        <w:ind w:firstLine="480"/>
        <w:rPr>
          <w:rFonts w:hint="eastAsia" w:ascii="楷体" w:hAnsi="楷体" w:eastAsia="楷体" w:cs="楷体"/>
          <w:b/>
          <w:color w:val="auto"/>
          <w:sz w:val="24"/>
          <w:lang w:eastAsia="zh-CN"/>
        </w:rPr>
      </w:pPr>
      <w:r>
        <w:rPr>
          <w:rFonts w:hint="eastAsia" w:ascii="楷体" w:hAnsi="楷体" w:eastAsia="楷体" w:cs="楷体"/>
          <w:color w:val="auto"/>
          <w:sz w:val="24"/>
          <w:highlight w:val="white"/>
        </w:rPr>
        <w:t>4.1 供应商应自行承担所有与参加</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有关的费用。不论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的结果如何，</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组织方在任何情况下均无义务和责任承担上述费用。</w:t>
      </w:r>
    </w:p>
    <w:p w14:paraId="64155EA9">
      <w:pPr>
        <w:spacing w:line="360" w:lineRule="auto"/>
        <w:ind w:firstLine="480"/>
        <w:rPr>
          <w:rFonts w:hint="eastAsia" w:ascii="楷体" w:hAnsi="楷体" w:eastAsia="楷体" w:cs="楷体"/>
          <w:color w:val="auto"/>
          <w:sz w:val="24"/>
        </w:rPr>
      </w:pPr>
      <w:bookmarkStart w:id="42" w:name="EB43d98a67a624490d81135a7e75760740"/>
      <w:r>
        <w:rPr>
          <w:rFonts w:hint="eastAsia" w:ascii="楷体" w:hAnsi="楷体" w:eastAsia="楷体" w:cs="楷体"/>
          <w:color w:val="auto"/>
          <w:sz w:val="24"/>
          <w:lang w:val="en-US" w:eastAsia="zh-CN"/>
        </w:rPr>
        <w:t>4.2</w:t>
      </w:r>
      <w:r>
        <w:rPr>
          <w:rFonts w:hint="eastAsia" w:ascii="楷体" w:hAnsi="楷体" w:eastAsia="楷体" w:cs="楷体"/>
          <w:color w:val="auto"/>
          <w:sz w:val="24"/>
        </w:rPr>
        <w:t>成交供应商</w:t>
      </w:r>
      <w:r>
        <w:rPr>
          <w:rFonts w:hint="eastAsia" w:ascii="楷体" w:hAnsi="楷体" w:eastAsia="楷体" w:cs="楷体"/>
          <w:color w:val="auto"/>
          <w:sz w:val="24"/>
          <w:lang w:val="en-US" w:eastAsia="zh-CN"/>
        </w:rPr>
        <w:t>领取成交通知书前</w:t>
      </w:r>
      <w:r>
        <w:rPr>
          <w:rFonts w:hint="eastAsia" w:ascii="楷体" w:hAnsi="楷体" w:eastAsia="楷体" w:cs="楷体"/>
          <w:color w:val="auto"/>
          <w:sz w:val="24"/>
        </w:rPr>
        <w:t>须向</w:t>
      </w:r>
      <w:r>
        <w:rPr>
          <w:rFonts w:hint="eastAsia" w:ascii="楷体" w:hAnsi="楷体" w:eastAsia="楷体" w:cs="楷体"/>
          <w:color w:val="auto"/>
          <w:sz w:val="24"/>
          <w:lang w:eastAsia="zh-CN"/>
        </w:rPr>
        <w:t>磋商</w:t>
      </w:r>
      <w:r>
        <w:rPr>
          <w:rFonts w:hint="eastAsia" w:ascii="楷体" w:hAnsi="楷体" w:eastAsia="楷体" w:cs="楷体"/>
          <w:color w:val="auto"/>
          <w:sz w:val="24"/>
        </w:rPr>
        <w:t>组织方支付采购代理服务费，</w:t>
      </w:r>
      <w:r>
        <w:rPr>
          <w:rFonts w:hint="eastAsia" w:ascii="楷体" w:hAnsi="楷体" w:eastAsia="楷体" w:cs="楷体"/>
          <w:color w:val="auto"/>
          <w:sz w:val="24"/>
          <w:lang w:val="en-US" w:eastAsia="zh-CN"/>
        </w:rPr>
        <w:t>收费标准</w:t>
      </w:r>
      <w:r>
        <w:rPr>
          <w:rFonts w:hint="eastAsia" w:ascii="楷体" w:hAnsi="楷体" w:eastAsia="楷体" w:cs="楷体"/>
          <w:color w:val="auto"/>
          <w:sz w:val="24"/>
        </w:rPr>
        <w:t>参照《招标代理服务收费管理暂行办法》(国家发展计划委员会“计价格【2002】1980号”)代理工程招标收费基准费率标准收取采购代理服务费。</w:t>
      </w:r>
    </w:p>
    <w:p w14:paraId="0E22D27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rPr>
        <w:t>代理费用收款信息：</w:t>
      </w:r>
    </w:p>
    <w:p w14:paraId="672391C6">
      <w:pPr>
        <w:spacing w:line="360" w:lineRule="auto"/>
        <w:ind w:firstLine="480"/>
        <w:rPr>
          <w:rFonts w:hint="default" w:ascii="楷体" w:hAnsi="楷体" w:eastAsia="楷体" w:cs="楷体"/>
          <w:color w:val="auto"/>
          <w:sz w:val="24"/>
          <w:lang w:val="en-US" w:eastAsia="zh-CN"/>
        </w:rPr>
      </w:pPr>
      <w:r>
        <w:rPr>
          <w:rFonts w:hint="eastAsia" w:ascii="楷体" w:hAnsi="楷体" w:eastAsia="楷体" w:cs="楷体"/>
          <w:color w:val="auto"/>
          <w:sz w:val="24"/>
        </w:rPr>
        <w:t>收款单位：</w:t>
      </w:r>
      <w:r>
        <w:rPr>
          <w:rFonts w:hint="eastAsia" w:ascii="楷体" w:hAnsi="楷体" w:eastAsia="楷体" w:cs="楷体"/>
          <w:color w:val="auto"/>
          <w:sz w:val="24"/>
          <w:lang w:eastAsia="zh-CN"/>
        </w:rPr>
        <w:t>江苏智汇锡建工程项目管理有限公司</w:t>
      </w:r>
      <w:r>
        <w:rPr>
          <w:rFonts w:hint="eastAsia" w:ascii="楷体" w:hAnsi="楷体" w:eastAsia="楷体" w:cs="楷体"/>
          <w:color w:val="auto"/>
          <w:sz w:val="24"/>
          <w:lang w:val="en-US" w:eastAsia="zh-CN"/>
        </w:rPr>
        <w:t>镇江分公司</w:t>
      </w:r>
    </w:p>
    <w:p w14:paraId="780F3CE4">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rPr>
        <w:t>收款账号：3211040281010000255437</w:t>
      </w:r>
    </w:p>
    <w:p w14:paraId="3755D502">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rPr>
        <w:t>开户银行：</w:t>
      </w:r>
      <w:bookmarkEnd w:id="42"/>
      <w:r>
        <w:rPr>
          <w:rFonts w:hint="eastAsia" w:ascii="楷体" w:hAnsi="楷体" w:eastAsia="楷体" w:cs="楷体"/>
          <w:color w:val="auto"/>
          <w:sz w:val="24"/>
        </w:rPr>
        <w:t>江苏句容农村商业银行华盛支行</w:t>
      </w:r>
    </w:p>
    <w:p w14:paraId="0738BB8B">
      <w:pPr>
        <w:pStyle w:val="44"/>
        <w:numPr>
          <w:ilvl w:val="0"/>
          <w:numId w:val="4"/>
        </w:numPr>
        <w:ind w:left="425" w:leftChars="0" w:hanging="425" w:firstLineChars="0"/>
        <w:rPr>
          <w:rFonts w:hint="eastAsia" w:ascii="楷体" w:hAnsi="楷体" w:eastAsia="楷体" w:cs="楷体"/>
          <w:color w:val="auto"/>
        </w:rPr>
      </w:pPr>
      <w:bookmarkStart w:id="43" w:name="_Toc19527"/>
      <w:r>
        <w:rPr>
          <w:rFonts w:hint="eastAsia" w:ascii="楷体" w:hAnsi="楷体" w:eastAsia="楷体" w:cs="楷体"/>
          <w:color w:val="auto"/>
          <w:highlight w:val="white"/>
        </w:rPr>
        <w:t>适用法律及约束力</w:t>
      </w:r>
      <w:bookmarkEnd w:id="43"/>
    </w:p>
    <w:p w14:paraId="5CC8D6A1">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楷体" w:hAnsi="楷体" w:eastAsia="楷体"/>
          <w:color w:val="auto"/>
          <w:sz w:val="24"/>
        </w:rPr>
      </w:pPr>
      <w:bookmarkStart w:id="44" w:name="_Toc256000016"/>
      <w:bookmarkStart w:id="45" w:name="_Toc73965866"/>
      <w:r>
        <w:rPr>
          <w:rFonts w:hint="eastAsia" w:ascii="楷体" w:hAnsi="楷体" w:eastAsia="楷体" w:cs="楷体"/>
          <w:color w:val="auto"/>
          <w:sz w:val="24"/>
          <w:highlight w:val="white"/>
        </w:rPr>
        <w:t>5.1</w:t>
      </w:r>
      <w:r>
        <w:rPr>
          <w:rFonts w:hint="eastAsia" w:ascii="楷体" w:hAnsi="楷体" w:eastAsia="楷体"/>
          <w:color w:val="auto"/>
          <w:sz w:val="24"/>
        </w:rPr>
        <w:t>本次</w:t>
      </w:r>
      <w:r>
        <w:rPr>
          <w:rFonts w:hint="eastAsia" w:ascii="楷体" w:hAnsi="楷体" w:eastAsia="楷体"/>
          <w:color w:val="auto"/>
          <w:spacing w:val="0"/>
          <w:w w:val="100"/>
          <w:sz w:val="24"/>
          <w:lang w:val="en-US" w:eastAsia="zh-CN"/>
        </w:rPr>
        <w:t>采购</w:t>
      </w:r>
      <w:r>
        <w:rPr>
          <w:rFonts w:hint="eastAsia" w:ascii="楷体" w:hAnsi="楷体" w:eastAsia="楷体"/>
          <w:color w:val="auto"/>
          <w:sz w:val="24"/>
        </w:rPr>
        <w:t>及由此产生的合同受中华人民共和国有关的法律法规制约和保护。</w:t>
      </w:r>
    </w:p>
    <w:p w14:paraId="00C54445">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楷体" w:hAnsi="楷体" w:eastAsia="楷体"/>
          <w:color w:val="auto"/>
          <w:sz w:val="24"/>
        </w:rPr>
      </w:pPr>
      <w:r>
        <w:rPr>
          <w:rFonts w:hint="eastAsia" w:ascii="楷体" w:hAnsi="楷体" w:eastAsia="楷体" w:cs="楷体"/>
          <w:color w:val="auto"/>
          <w:spacing w:val="0"/>
          <w:w w:val="100"/>
          <w:sz w:val="24"/>
          <w:szCs w:val="28"/>
          <w:lang w:val="en-US" w:eastAsia="zh-CN" w:bidi="ar-SA"/>
        </w:rPr>
        <w:t>5</w:t>
      </w:r>
      <w:r>
        <w:rPr>
          <w:rFonts w:hint="default" w:ascii="楷体" w:hAnsi="楷体" w:eastAsia="楷体" w:cs="楷体"/>
          <w:color w:val="auto"/>
          <w:spacing w:val="0"/>
          <w:w w:val="100"/>
          <w:sz w:val="24"/>
          <w:szCs w:val="28"/>
          <w:lang w:val="en-US" w:eastAsia="zh-CN" w:bidi="ar-SA"/>
        </w:rPr>
        <w:t>.2</w:t>
      </w:r>
      <w:r>
        <w:rPr>
          <w:rFonts w:hint="eastAsia" w:ascii="楷体" w:hAnsi="楷体" w:eastAsia="楷体"/>
          <w:color w:val="auto"/>
          <w:sz w:val="24"/>
        </w:rPr>
        <w:t>本项目不属于依法必须招标的项目，仅以采购人的规章制度或项目采购文件为依据。</w:t>
      </w:r>
      <w:r>
        <w:rPr>
          <w:rFonts w:hint="eastAsia" w:ascii="楷体" w:hAnsi="楷体" w:eastAsia="楷体"/>
          <w:color w:val="auto"/>
          <w:sz w:val="24"/>
          <w:lang w:val="en-US" w:eastAsia="zh-CN"/>
        </w:rPr>
        <w:t>采购</w:t>
      </w:r>
      <w:r>
        <w:rPr>
          <w:rFonts w:hint="eastAsia" w:ascii="楷体" w:hAnsi="楷体" w:eastAsia="楷体"/>
          <w:color w:val="auto"/>
          <w:sz w:val="24"/>
        </w:rPr>
        <w:t>文件中有关内容如与现行</w:t>
      </w:r>
      <w:r>
        <w:rPr>
          <w:rFonts w:hint="eastAsia" w:ascii="楷体" w:hAnsi="楷体" w:eastAsia="楷体"/>
          <w:color w:val="auto"/>
          <w:spacing w:val="0"/>
          <w:w w:val="100"/>
          <w:sz w:val="24"/>
          <w:lang w:val="en-US" w:eastAsia="zh-CN"/>
        </w:rPr>
        <w:t>法律</w:t>
      </w:r>
      <w:r>
        <w:rPr>
          <w:rFonts w:hint="eastAsia" w:ascii="楷体" w:hAnsi="楷体" w:eastAsia="楷体"/>
          <w:color w:val="auto"/>
          <w:sz w:val="24"/>
        </w:rPr>
        <w:t>、行政法规和部门规章有不一致的以现行法律、行政法规和部门规章为准。本次采购项目组织实施流程参照《中华人民共和国政府采购法》。通过</w:t>
      </w:r>
      <w:r>
        <w:rPr>
          <w:rFonts w:hint="eastAsia" w:ascii="楷体" w:hAnsi="楷体" w:eastAsia="楷体"/>
          <w:color w:val="auto"/>
          <w:sz w:val="24"/>
          <w:lang w:val="en-US" w:eastAsia="zh-CN"/>
        </w:rPr>
        <w:t>竞争性磋商</w:t>
      </w:r>
      <w:r>
        <w:rPr>
          <w:rFonts w:hint="eastAsia" w:ascii="楷体" w:hAnsi="楷体" w:eastAsia="楷体"/>
          <w:color w:val="auto"/>
          <w:sz w:val="24"/>
        </w:rPr>
        <w:t>方式择优选定供应商。</w:t>
      </w:r>
    </w:p>
    <w:p w14:paraId="453BEB35">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bookmarkStart w:id="46" w:name="OLE_LINK3"/>
      <w:r>
        <w:rPr>
          <w:rFonts w:hint="eastAsia" w:ascii="楷体" w:hAnsi="楷体" w:eastAsia="楷体"/>
          <w:b/>
          <w:bCs/>
          <w:color w:val="auto"/>
          <w:sz w:val="24"/>
          <w:lang w:val="en-US" w:eastAsia="zh-CN"/>
        </w:rPr>
        <w:t>5.3强化政府采购异常低价审查</w:t>
      </w:r>
    </w:p>
    <w:bookmarkEnd w:id="46"/>
    <w:p w14:paraId="2FEB98E4">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5.3.1评审过程中出现下列情形之一的，磋商小组应当启动异常低价投标（响应）审查程序：</w:t>
      </w:r>
    </w:p>
    <w:p w14:paraId="299F8341">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（1）投标（响应）报价低于全部通过符合性审查供应商投标（响应）报价平均值50%的，即投标（响应）报价&lt;全部通过符合性审查供应商投标（响应）报价平均值×50%;</w:t>
      </w:r>
    </w:p>
    <w:p w14:paraId="60AF166A">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（2）投标（响应）报价低于通过符合性审查的次低报价供应商投标（响应）报价50%的，即投标（响应）报价&lt;通过符合性审查的次低报价供应商投标（响应）报价×50%;</w:t>
      </w:r>
    </w:p>
    <w:p w14:paraId="7E5C9592">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（3）投标（响应）报价低于采购项目最高限价45%的，即投标（响应）报价＜采购项目最高限价×45%；</w:t>
      </w:r>
    </w:p>
    <w:p w14:paraId="0ABDD675">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（4）磋商小组基于专业判断，认为供应商报价过低，有可能影响产品（服务）质量或者不能诚信履约的其他情形。</w:t>
      </w:r>
    </w:p>
    <w:p w14:paraId="43B76DA7">
      <w:pPr>
        <w:pStyle w:val="56"/>
        <w:keepNext w:val="0"/>
        <w:keepLines w:val="0"/>
        <w:pageBreakBefore w:val="0"/>
        <w:widowControl w:val="0"/>
        <w:numPr>
          <w:ilvl w:val="2"/>
          <w:numId w:val="0"/>
        </w:numPr>
        <w:tabs>
          <w:tab w:val="left" w:pos="1209"/>
        </w:tabs>
        <w:kinsoku/>
        <w:wordWrap w:val="0"/>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楷体" w:hAnsi="楷体" w:eastAsia="楷体"/>
          <w:b/>
          <w:bCs/>
          <w:color w:val="auto"/>
          <w:sz w:val="24"/>
          <w:lang w:val="en-US" w:eastAsia="zh-CN"/>
        </w:rPr>
      </w:pPr>
      <w:r>
        <w:rPr>
          <w:rFonts w:hint="eastAsia" w:ascii="楷体" w:hAnsi="楷体" w:eastAsia="楷体"/>
          <w:b/>
          <w:bCs/>
          <w:color w:val="auto"/>
          <w:sz w:val="24"/>
          <w:lang w:val="en-US" w:eastAsia="zh-CN"/>
        </w:rPr>
        <w:t>5.3.2启动异常低价投标（响应）审查后，磋商小组应当要求相关供应商在评审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72A17E43">
      <w:pPr>
        <w:spacing w:line="360" w:lineRule="auto"/>
        <w:ind w:left="210" w:leftChars="100" w:firstLine="240" w:firstLineChars="100"/>
        <w:rPr>
          <w:rFonts w:hint="eastAsia" w:ascii="楷体" w:hAnsi="楷体" w:eastAsia="楷体" w:cs="Times New Roman"/>
          <w:color w:val="auto"/>
          <w:sz w:val="24"/>
          <w:highlight w:val="none"/>
          <w:lang w:val="en-US" w:eastAsia="zh-CN"/>
        </w:rPr>
      </w:pPr>
      <w:r>
        <w:rPr>
          <w:rFonts w:hint="eastAsia" w:ascii="楷体" w:hAnsi="楷体" w:eastAsia="楷体" w:cs="Times New Roman"/>
          <w:color w:val="auto"/>
          <w:sz w:val="24"/>
          <w:highlight w:val="none"/>
          <w:lang w:val="en-US" w:eastAsia="zh-CN"/>
        </w:rPr>
        <w:t>5.4供应商一旦领取了本磋商文件并参加磋商，即被认为接受了本磋商文件的规定和约束。</w:t>
      </w:r>
    </w:p>
    <w:p w14:paraId="0C416F18">
      <w:pPr>
        <w:pStyle w:val="196"/>
        <w:rPr>
          <w:rFonts w:hint="eastAsia" w:ascii="楷体" w:hAnsi="楷体" w:eastAsia="楷体" w:cs="楷体"/>
          <w:color w:val="auto"/>
          <w:sz w:val="32"/>
        </w:rPr>
      </w:pPr>
      <w:bookmarkStart w:id="47" w:name="_Toc2633"/>
      <w:r>
        <w:rPr>
          <w:rFonts w:hint="eastAsia" w:ascii="楷体" w:hAnsi="楷体" w:eastAsia="楷体" w:cs="楷体"/>
          <w:color w:val="auto"/>
          <w:sz w:val="32"/>
          <w:highlight w:val="white"/>
        </w:rPr>
        <w:t>二、</w:t>
      </w:r>
      <w:r>
        <w:rPr>
          <w:rFonts w:hint="eastAsia" w:ascii="楷体" w:hAnsi="楷体" w:eastAsia="楷体" w:cs="楷体"/>
          <w:color w:val="auto"/>
          <w:sz w:val="32"/>
          <w:highlight w:val="white"/>
          <w:lang w:eastAsia="zh-CN"/>
        </w:rPr>
        <w:t>磋商</w:t>
      </w:r>
      <w:r>
        <w:rPr>
          <w:rFonts w:hint="eastAsia" w:ascii="楷体" w:hAnsi="楷体" w:eastAsia="楷体" w:cs="楷体"/>
          <w:color w:val="auto"/>
          <w:sz w:val="32"/>
          <w:highlight w:val="white"/>
        </w:rPr>
        <w:t>文件</w:t>
      </w:r>
      <w:bookmarkEnd w:id="44"/>
      <w:bookmarkEnd w:id="45"/>
      <w:bookmarkEnd w:id="47"/>
    </w:p>
    <w:p w14:paraId="65A7504E">
      <w:pPr>
        <w:pStyle w:val="44"/>
        <w:numPr>
          <w:ilvl w:val="0"/>
          <w:numId w:val="4"/>
        </w:numPr>
        <w:ind w:left="425" w:leftChars="0" w:hanging="425" w:firstLineChars="0"/>
        <w:rPr>
          <w:rFonts w:hint="eastAsia" w:ascii="楷体" w:hAnsi="楷体" w:eastAsia="楷体" w:cs="楷体"/>
          <w:color w:val="auto"/>
        </w:rPr>
      </w:pPr>
      <w:bookmarkStart w:id="48" w:name="_Toc73965867"/>
      <w:bookmarkStart w:id="49" w:name="_Toc256000017"/>
      <w:bookmarkStart w:id="50" w:name="_Toc1478"/>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文件组成</w:t>
      </w:r>
      <w:bookmarkEnd w:id="48"/>
      <w:bookmarkEnd w:id="49"/>
      <w:bookmarkEnd w:id="50"/>
    </w:p>
    <w:p w14:paraId="0504520B">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6.1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文件包括：</w:t>
      </w:r>
    </w:p>
    <w:p w14:paraId="6FC5016E">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邀请</w:t>
      </w:r>
    </w:p>
    <w:p w14:paraId="744D1687">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（2）供应商须知</w:t>
      </w:r>
    </w:p>
    <w:p w14:paraId="1D9AE038">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（3）拟签订的合同</w:t>
      </w:r>
    </w:p>
    <w:p w14:paraId="4D8CE83F">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（4）采购需求</w:t>
      </w:r>
    </w:p>
    <w:p w14:paraId="6576234C">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（5）评审办法和标准</w:t>
      </w:r>
    </w:p>
    <w:p w14:paraId="48AA84EE">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（6）</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响应文件（格式）</w:t>
      </w:r>
    </w:p>
    <w:p w14:paraId="28B128C6">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6.2 供应商获取本文件后，应认真阅读本文件中所有的事项、格式条款和规范等要求。</w:t>
      </w:r>
    </w:p>
    <w:p w14:paraId="5EEEA94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 xml:space="preserve">6.3 </w:t>
      </w:r>
      <w:r>
        <w:rPr>
          <w:rFonts w:hint="eastAsia" w:ascii="楷体" w:hAnsi="楷体" w:eastAsia="楷体" w:cs="楷体"/>
          <w:b/>
          <w:color w:val="auto"/>
          <w:sz w:val="24"/>
          <w:highlight w:val="white"/>
          <w:u w:val="single"/>
        </w:rPr>
        <w:t>除非有特殊要求，</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文件不单独提供标的所在地自然环境、气象条件、公用设施等情况，供应商被视为熟悉上述与签订和履行合同有关的一切情况</w:t>
      </w:r>
      <w:r>
        <w:rPr>
          <w:rFonts w:hint="eastAsia" w:ascii="楷体" w:hAnsi="楷体" w:eastAsia="楷体" w:cs="楷体"/>
          <w:b/>
          <w:color w:val="auto"/>
          <w:sz w:val="24"/>
          <w:highlight w:val="white"/>
        </w:rPr>
        <w:t>。</w:t>
      </w:r>
    </w:p>
    <w:p w14:paraId="408C7CCB">
      <w:pPr>
        <w:pStyle w:val="44"/>
        <w:numPr>
          <w:ilvl w:val="0"/>
          <w:numId w:val="4"/>
        </w:numPr>
        <w:ind w:left="425" w:leftChars="0" w:hanging="425" w:firstLineChars="0"/>
        <w:rPr>
          <w:rFonts w:hint="eastAsia" w:ascii="楷体" w:hAnsi="楷体" w:eastAsia="楷体" w:cs="楷体"/>
          <w:color w:val="auto"/>
        </w:rPr>
      </w:pPr>
      <w:bookmarkStart w:id="51" w:name="_Toc256000018"/>
      <w:bookmarkStart w:id="52" w:name="_Toc20784"/>
      <w:bookmarkStart w:id="53" w:name="_Toc73965868"/>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文件的澄清和修改</w:t>
      </w:r>
      <w:bookmarkEnd w:id="51"/>
      <w:bookmarkEnd w:id="52"/>
      <w:bookmarkEnd w:id="53"/>
    </w:p>
    <w:p w14:paraId="313B0D3B">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7.1任何要求对</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文件进行澄清的供应商，</w:t>
      </w:r>
      <w:r>
        <w:rPr>
          <w:rFonts w:hint="eastAsia" w:ascii="楷体" w:hAnsi="楷体" w:eastAsia="楷体" w:cs="Times New Roman"/>
          <w:color w:val="auto"/>
          <w:sz w:val="24"/>
          <w:highlight w:val="none"/>
        </w:rPr>
        <w:t>均应按</w:t>
      </w:r>
      <w:r>
        <w:rPr>
          <w:rFonts w:hint="eastAsia" w:ascii="楷体" w:hAnsi="楷体" w:eastAsia="楷体" w:cs="Times New Roman"/>
          <w:color w:val="auto"/>
          <w:sz w:val="24"/>
          <w:highlight w:val="none"/>
          <w:lang w:eastAsia="zh-CN"/>
        </w:rPr>
        <w:t>磋商</w:t>
      </w:r>
      <w:r>
        <w:rPr>
          <w:rFonts w:hint="eastAsia" w:ascii="楷体" w:hAnsi="楷体" w:eastAsia="楷体" w:cs="Times New Roman"/>
          <w:color w:val="auto"/>
          <w:sz w:val="24"/>
          <w:highlight w:val="none"/>
        </w:rPr>
        <w:t>文件中的通讯地址，以书面形式（如信件、传真、电报等）通知</w:t>
      </w:r>
      <w:r>
        <w:rPr>
          <w:rFonts w:hint="eastAsia" w:ascii="楷体" w:hAnsi="楷体" w:eastAsia="楷体" w:cs="Times New Roman"/>
          <w:color w:val="auto"/>
          <w:sz w:val="24"/>
          <w:highlight w:val="none"/>
          <w:lang w:eastAsia="zh-CN"/>
        </w:rPr>
        <w:t>磋商</w:t>
      </w:r>
      <w:r>
        <w:rPr>
          <w:rFonts w:hint="eastAsia" w:ascii="楷体" w:hAnsi="楷体" w:eastAsia="楷体" w:cs="Times New Roman"/>
          <w:color w:val="auto"/>
          <w:sz w:val="24"/>
          <w:highlight w:val="none"/>
        </w:rPr>
        <w:t>组织方</w:t>
      </w:r>
      <w:r>
        <w:rPr>
          <w:rFonts w:hint="eastAsia" w:ascii="楷体" w:hAnsi="楷体" w:eastAsia="楷体" w:cs="楷体"/>
          <w:color w:val="auto"/>
          <w:sz w:val="24"/>
          <w:highlight w:val="white"/>
        </w:rPr>
        <w:t>。</w:t>
      </w:r>
    </w:p>
    <w:p w14:paraId="4812084F">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 xml:space="preserve">7.2 </w:t>
      </w:r>
      <w:r>
        <w:rPr>
          <w:rFonts w:hint="eastAsia" w:ascii="楷体" w:hAnsi="楷体" w:eastAsia="楷体" w:cs="楷体"/>
          <w:b/>
          <w:color w:val="auto"/>
          <w:sz w:val="24"/>
          <w:highlight w:val="white"/>
        </w:rPr>
        <w:t>按照权责相一致原则，供应商提出的对于</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文件主要商务、技术指标的相关澄清、修改要求，由采购人负责答复并视情况作出澄清或修改的决定。</w:t>
      </w:r>
    </w:p>
    <w:p w14:paraId="5131419C">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7.3</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组织方可以对已发出的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文件进行必要的澄清或者修改。澄清或者修改将在</w:t>
      </w:r>
      <w:r>
        <w:rPr>
          <w:rFonts w:hint="eastAsia" w:ascii="楷体" w:hAnsi="楷体" w:eastAsia="楷体" w:cs="楷体"/>
          <w:b/>
          <w:color w:val="auto"/>
          <w:sz w:val="24"/>
          <w:highlight w:val="white"/>
        </w:rPr>
        <w:t>原公告媒体</w:t>
      </w:r>
      <w:r>
        <w:rPr>
          <w:rFonts w:hint="eastAsia" w:ascii="楷体" w:hAnsi="楷体" w:eastAsia="楷体" w:cs="楷体"/>
          <w:color w:val="auto"/>
          <w:sz w:val="24"/>
          <w:highlight w:val="white"/>
        </w:rPr>
        <w:t>上发布澄清公告。澄清或者修改的内容为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文件的组成部分。</w:t>
      </w:r>
    </w:p>
    <w:p w14:paraId="50765216">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7.4澄清或者修改的内容可能影响</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响应文件编制的，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组织方将在提交响应文件截止之日</w:t>
      </w:r>
      <w:r>
        <w:rPr>
          <w:rFonts w:hint="eastAsia" w:ascii="楷体" w:hAnsi="楷体" w:eastAsia="楷体" w:cs="楷体"/>
          <w:color w:val="auto"/>
          <w:sz w:val="24"/>
          <w:highlight w:val="white"/>
          <w:lang w:val="en-US" w:eastAsia="zh-CN"/>
        </w:rPr>
        <w:t>至少5</w:t>
      </w:r>
      <w:r>
        <w:rPr>
          <w:rFonts w:hint="eastAsia" w:ascii="楷体" w:hAnsi="楷体" w:eastAsia="楷体" w:cs="楷体"/>
          <w:color w:val="auto"/>
          <w:sz w:val="24"/>
          <w:highlight w:val="white"/>
        </w:rPr>
        <w:t>日前，以书面形式通知所有已获取</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文件的潜在供应商, 供应商请登录系统查看相应内容；不足</w:t>
      </w:r>
      <w:r>
        <w:rPr>
          <w:rFonts w:hint="eastAsia" w:ascii="楷体" w:hAnsi="楷体" w:eastAsia="楷体" w:cs="楷体"/>
          <w:color w:val="auto"/>
          <w:sz w:val="24"/>
          <w:highlight w:val="white"/>
          <w:lang w:val="en-US" w:eastAsia="zh-CN"/>
        </w:rPr>
        <w:t>5</w:t>
      </w:r>
      <w:r>
        <w:rPr>
          <w:rFonts w:hint="eastAsia" w:ascii="楷体" w:hAnsi="楷体" w:eastAsia="楷体" w:cs="楷体"/>
          <w:color w:val="auto"/>
          <w:sz w:val="24"/>
          <w:highlight w:val="white"/>
        </w:rPr>
        <w:t>日的，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组织方将顺延提交</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响应文件的截止时间。</w:t>
      </w:r>
    </w:p>
    <w:p w14:paraId="329FE459">
      <w:pPr>
        <w:spacing w:line="360" w:lineRule="auto"/>
        <w:ind w:firstLine="482"/>
        <w:rPr>
          <w:rFonts w:hint="eastAsia" w:ascii="楷体" w:hAnsi="楷体" w:eastAsia="楷体" w:cs="楷体"/>
          <w:b/>
          <w:color w:val="auto"/>
          <w:sz w:val="24"/>
        </w:rPr>
      </w:pPr>
      <w:r>
        <w:rPr>
          <w:rFonts w:hint="eastAsia" w:ascii="楷体" w:hAnsi="楷体" w:eastAsia="楷体" w:cs="楷体"/>
          <w:b/>
          <w:color w:val="auto"/>
          <w:sz w:val="24"/>
          <w:highlight w:val="white"/>
        </w:rPr>
        <w:t>7.5如澄清或修改公告有重新发布</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文件的，供应商应</w:t>
      </w:r>
      <w:r>
        <w:rPr>
          <w:rFonts w:hint="eastAsia" w:ascii="楷体" w:hAnsi="楷体" w:eastAsia="楷体" w:cs="楷体"/>
          <w:b/>
          <w:color w:val="auto"/>
          <w:sz w:val="24"/>
          <w:highlight w:val="white"/>
          <w:lang w:val="en-US" w:eastAsia="zh-CN"/>
        </w:rPr>
        <w:t>根据</w:t>
      </w:r>
      <w:r>
        <w:rPr>
          <w:rFonts w:hint="eastAsia" w:ascii="楷体" w:hAnsi="楷体" w:eastAsia="楷体" w:cs="楷体"/>
          <w:b/>
          <w:color w:val="auto"/>
          <w:sz w:val="24"/>
          <w:highlight w:val="white"/>
        </w:rPr>
        <w:t>最新</w:t>
      </w:r>
      <w:r>
        <w:rPr>
          <w:rFonts w:hint="eastAsia" w:ascii="楷体" w:hAnsi="楷体" w:eastAsia="楷体" w:cs="楷体"/>
          <w:b/>
          <w:color w:val="auto"/>
          <w:sz w:val="24"/>
          <w:highlight w:val="white"/>
          <w:lang w:eastAsia="zh-CN"/>
        </w:rPr>
        <w:t>的磋商</w:t>
      </w:r>
      <w:r>
        <w:rPr>
          <w:rFonts w:hint="eastAsia" w:ascii="楷体" w:hAnsi="楷体" w:eastAsia="楷体" w:cs="楷体"/>
          <w:b/>
          <w:color w:val="auto"/>
          <w:sz w:val="24"/>
          <w:highlight w:val="white"/>
        </w:rPr>
        <w:t>文件制作响应文件。因供应商自身原因未能及时获取的，一切后果由供应商自行承担。</w:t>
      </w:r>
    </w:p>
    <w:p w14:paraId="3775868A">
      <w:pPr>
        <w:pStyle w:val="196"/>
        <w:rPr>
          <w:rFonts w:hint="eastAsia" w:ascii="楷体" w:hAnsi="楷体" w:eastAsia="楷体" w:cs="楷体"/>
          <w:color w:val="auto"/>
          <w:sz w:val="32"/>
        </w:rPr>
      </w:pPr>
      <w:bookmarkStart w:id="54" w:name="_Toc73965869"/>
      <w:bookmarkStart w:id="55" w:name="_Toc23039"/>
      <w:bookmarkStart w:id="56" w:name="_Toc256000019"/>
      <w:r>
        <w:rPr>
          <w:rFonts w:hint="eastAsia" w:ascii="楷体" w:hAnsi="楷体" w:eastAsia="楷体" w:cs="楷体"/>
          <w:color w:val="auto"/>
          <w:sz w:val="32"/>
          <w:highlight w:val="white"/>
        </w:rPr>
        <w:t>三、响应文件</w:t>
      </w:r>
      <w:bookmarkEnd w:id="54"/>
      <w:bookmarkEnd w:id="55"/>
      <w:bookmarkEnd w:id="56"/>
    </w:p>
    <w:p w14:paraId="67F9E1F3">
      <w:pPr>
        <w:pStyle w:val="44"/>
        <w:numPr>
          <w:ilvl w:val="0"/>
          <w:numId w:val="4"/>
        </w:numPr>
        <w:ind w:left="425" w:leftChars="0" w:hanging="425" w:firstLineChars="0"/>
        <w:rPr>
          <w:rFonts w:hint="eastAsia" w:ascii="楷体" w:hAnsi="楷体" w:eastAsia="楷体" w:cs="楷体"/>
          <w:color w:val="auto"/>
        </w:rPr>
      </w:pPr>
      <w:bookmarkStart w:id="57" w:name="_Toc256000020"/>
      <w:bookmarkStart w:id="58" w:name="_Toc73965870"/>
      <w:bookmarkStart w:id="59" w:name="_Toc20574"/>
      <w:r>
        <w:rPr>
          <w:rFonts w:hint="eastAsia" w:ascii="楷体" w:hAnsi="楷体" w:eastAsia="楷体" w:cs="楷体"/>
          <w:color w:val="auto"/>
          <w:highlight w:val="white"/>
        </w:rPr>
        <w:t>响应文件的</w:t>
      </w:r>
      <w:bookmarkEnd w:id="57"/>
      <w:bookmarkEnd w:id="58"/>
      <w:r>
        <w:rPr>
          <w:rFonts w:hint="eastAsia" w:ascii="楷体" w:hAnsi="楷体" w:eastAsia="楷体" w:cs="楷体"/>
          <w:color w:val="auto"/>
          <w:highlight w:val="white"/>
        </w:rPr>
        <w:t>编制</w:t>
      </w:r>
      <w:bookmarkEnd w:id="59"/>
    </w:p>
    <w:p w14:paraId="4D7872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Times New Roman"/>
          <w:color w:val="auto"/>
          <w:sz w:val="24"/>
          <w:highlight w:val="none"/>
        </w:rPr>
      </w:pPr>
      <w:r>
        <w:rPr>
          <w:rFonts w:hint="eastAsia" w:ascii="楷体" w:hAnsi="楷体" w:eastAsia="楷体" w:cs="Times New Roman"/>
          <w:color w:val="auto"/>
          <w:sz w:val="24"/>
          <w:highlight w:val="none"/>
        </w:rPr>
        <w:t>8.1供应商应仔细阅读</w:t>
      </w:r>
      <w:r>
        <w:rPr>
          <w:rFonts w:hint="eastAsia" w:ascii="楷体" w:hAnsi="楷体" w:eastAsia="楷体" w:cs="Times New Roman"/>
          <w:color w:val="auto"/>
          <w:sz w:val="24"/>
          <w:highlight w:val="none"/>
          <w:lang w:eastAsia="zh-CN"/>
        </w:rPr>
        <w:t>磋商文件</w:t>
      </w:r>
      <w:r>
        <w:rPr>
          <w:rFonts w:hint="eastAsia" w:ascii="楷体" w:hAnsi="楷体" w:eastAsia="楷体" w:cs="Times New Roman"/>
          <w:color w:val="auto"/>
          <w:sz w:val="24"/>
          <w:highlight w:val="none"/>
        </w:rPr>
        <w:t>，了解</w:t>
      </w:r>
      <w:r>
        <w:rPr>
          <w:rFonts w:hint="eastAsia" w:ascii="楷体" w:hAnsi="楷体" w:eastAsia="楷体" w:cs="Times New Roman"/>
          <w:color w:val="auto"/>
          <w:sz w:val="24"/>
          <w:highlight w:val="none"/>
          <w:lang w:eastAsia="zh-CN"/>
        </w:rPr>
        <w:t>磋商文件</w:t>
      </w:r>
      <w:r>
        <w:rPr>
          <w:rFonts w:hint="eastAsia" w:ascii="楷体" w:hAnsi="楷体" w:eastAsia="楷体" w:cs="Times New Roman"/>
          <w:color w:val="auto"/>
          <w:sz w:val="24"/>
          <w:highlight w:val="none"/>
        </w:rPr>
        <w:t>的要求。在完全了解提供服务的技术规范和要求以及商务条件后，编制</w:t>
      </w:r>
      <w:r>
        <w:rPr>
          <w:rFonts w:hint="eastAsia" w:ascii="楷体" w:hAnsi="楷体" w:eastAsia="楷体" w:cs="Times New Roman"/>
          <w:color w:val="auto"/>
          <w:sz w:val="24"/>
          <w:highlight w:val="none"/>
          <w:lang w:eastAsia="zh-CN"/>
        </w:rPr>
        <w:t>磋商响应文件</w:t>
      </w:r>
      <w:r>
        <w:rPr>
          <w:rFonts w:hint="eastAsia" w:ascii="楷体" w:hAnsi="楷体" w:eastAsia="楷体" w:cs="Times New Roman"/>
          <w:color w:val="auto"/>
          <w:sz w:val="24"/>
          <w:highlight w:val="none"/>
        </w:rPr>
        <w:t>。</w:t>
      </w:r>
    </w:p>
    <w:p w14:paraId="7213A1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Times New Roman"/>
          <w:color w:val="auto"/>
          <w:sz w:val="24"/>
          <w:highlight w:val="none"/>
        </w:rPr>
      </w:pPr>
      <w:r>
        <w:rPr>
          <w:rFonts w:hint="eastAsia" w:ascii="楷体" w:hAnsi="楷体" w:eastAsia="楷体" w:cs="Times New Roman"/>
          <w:color w:val="auto"/>
          <w:sz w:val="24"/>
          <w:highlight w:val="none"/>
        </w:rPr>
        <w:t xml:space="preserve">8.2 </w:t>
      </w:r>
      <w:r>
        <w:rPr>
          <w:rFonts w:hint="eastAsia" w:ascii="楷体" w:hAnsi="楷体" w:eastAsia="楷体" w:cs="Times New Roman"/>
          <w:color w:val="auto"/>
          <w:sz w:val="24"/>
          <w:highlight w:val="none"/>
          <w:lang w:eastAsia="zh-CN"/>
        </w:rPr>
        <w:t>磋商响应文件</w:t>
      </w:r>
      <w:r>
        <w:rPr>
          <w:rFonts w:hint="eastAsia" w:ascii="楷体" w:hAnsi="楷体" w:eastAsia="楷体" w:cs="Times New Roman"/>
          <w:color w:val="auto"/>
          <w:sz w:val="24"/>
          <w:highlight w:val="none"/>
        </w:rPr>
        <w:t>的正本和所有的副本均装订成册。凡修改处（书写应清楚工整）必须加盖供应商公章。</w:t>
      </w:r>
    </w:p>
    <w:p w14:paraId="471360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Times New Roman"/>
          <w:color w:val="auto"/>
          <w:sz w:val="24"/>
          <w:highlight w:val="none"/>
        </w:rPr>
      </w:pPr>
      <w:r>
        <w:rPr>
          <w:rFonts w:hint="eastAsia" w:ascii="楷体" w:hAnsi="楷体" w:eastAsia="楷体" w:cs="Times New Roman"/>
          <w:color w:val="auto"/>
          <w:sz w:val="24"/>
          <w:highlight w:val="none"/>
        </w:rPr>
        <w:t xml:space="preserve">8.3 </w:t>
      </w:r>
      <w:r>
        <w:rPr>
          <w:rFonts w:hint="eastAsia" w:ascii="楷体" w:hAnsi="楷体" w:eastAsia="楷体" w:cs="Times New Roman"/>
          <w:color w:val="auto"/>
          <w:sz w:val="24"/>
          <w:highlight w:val="none"/>
          <w:lang w:eastAsia="zh-CN"/>
        </w:rPr>
        <w:t>磋商响应文件</w:t>
      </w:r>
      <w:r>
        <w:rPr>
          <w:rFonts w:hint="eastAsia" w:ascii="楷体" w:hAnsi="楷体" w:eastAsia="楷体" w:cs="Times New Roman"/>
          <w:color w:val="auto"/>
          <w:sz w:val="24"/>
          <w:highlight w:val="none"/>
        </w:rPr>
        <w:t>应有供应商法定代表人或其授权委托代理人在规定签章处逐一签署及加盖供应商的公章。</w:t>
      </w:r>
    </w:p>
    <w:p w14:paraId="040FF9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Times New Roman"/>
          <w:color w:val="auto"/>
          <w:sz w:val="24"/>
          <w:highlight w:val="none"/>
        </w:rPr>
      </w:pPr>
      <w:r>
        <w:rPr>
          <w:rFonts w:hint="eastAsia" w:ascii="楷体" w:hAnsi="楷体" w:eastAsia="楷体" w:cs="Times New Roman"/>
          <w:color w:val="auto"/>
          <w:sz w:val="24"/>
          <w:highlight w:val="none"/>
        </w:rPr>
        <w:t xml:space="preserve">8.4 </w:t>
      </w:r>
      <w:r>
        <w:rPr>
          <w:rFonts w:hint="eastAsia" w:ascii="楷体" w:hAnsi="楷体" w:eastAsia="楷体" w:cs="Times New Roman"/>
          <w:color w:val="auto"/>
          <w:sz w:val="24"/>
          <w:highlight w:val="none"/>
          <w:lang w:eastAsia="zh-CN"/>
        </w:rPr>
        <w:t>磋商响应文件</w:t>
      </w:r>
      <w:r>
        <w:rPr>
          <w:rFonts w:hint="eastAsia" w:ascii="楷体" w:hAnsi="楷体" w:eastAsia="楷体" w:cs="Times New Roman"/>
          <w:color w:val="auto"/>
          <w:sz w:val="24"/>
          <w:highlight w:val="none"/>
        </w:rPr>
        <w:t>的份数：正本壹份，副本</w:t>
      </w:r>
      <w:r>
        <w:rPr>
          <w:rFonts w:hint="eastAsia" w:ascii="楷体" w:hAnsi="楷体" w:eastAsia="楷体" w:cs="Times New Roman"/>
          <w:color w:val="auto"/>
          <w:sz w:val="24"/>
          <w:highlight w:val="none"/>
          <w:lang w:val="en-US" w:eastAsia="zh-CN"/>
        </w:rPr>
        <w:t>贰</w:t>
      </w:r>
      <w:r>
        <w:rPr>
          <w:rFonts w:hint="eastAsia" w:ascii="楷体" w:hAnsi="楷体" w:eastAsia="楷体" w:cs="Times New Roman"/>
          <w:color w:val="auto"/>
          <w:sz w:val="24"/>
          <w:highlight w:val="none"/>
        </w:rPr>
        <w:t>份</w:t>
      </w:r>
      <w:r>
        <w:rPr>
          <w:rFonts w:hint="eastAsia" w:ascii="楷体" w:hAnsi="楷体" w:eastAsia="楷体" w:cs="Times New Roman"/>
          <w:color w:val="auto"/>
          <w:sz w:val="24"/>
          <w:highlight w:val="none"/>
          <w:lang w:eastAsia="zh-CN"/>
        </w:rPr>
        <w:t>，</w:t>
      </w:r>
      <w:r>
        <w:rPr>
          <w:rFonts w:hint="eastAsia" w:ascii="楷体" w:hAnsi="楷体" w:eastAsia="楷体" w:cs="Times New Roman"/>
          <w:color w:val="auto"/>
          <w:sz w:val="24"/>
          <w:highlight w:val="none"/>
          <w:lang w:val="en-US" w:eastAsia="zh-CN"/>
        </w:rPr>
        <w:t>扫描加盖公章的PDF电子档（U盘）壹份</w:t>
      </w:r>
      <w:r>
        <w:rPr>
          <w:rFonts w:hint="eastAsia" w:ascii="楷体" w:hAnsi="楷体" w:eastAsia="楷体" w:cs="Times New Roman"/>
          <w:color w:val="auto"/>
          <w:sz w:val="24"/>
          <w:highlight w:val="none"/>
          <w:lang w:eastAsia="zh-CN"/>
        </w:rPr>
        <w:t>，</w:t>
      </w:r>
      <w:r>
        <w:rPr>
          <w:rFonts w:hint="eastAsia" w:ascii="楷体" w:hAnsi="楷体" w:eastAsia="楷体" w:cs="Times New Roman"/>
          <w:color w:val="auto"/>
          <w:sz w:val="24"/>
          <w:highlight w:val="none"/>
        </w:rPr>
        <w:t>正、副本</w:t>
      </w:r>
      <w:r>
        <w:rPr>
          <w:rFonts w:hint="eastAsia" w:ascii="楷体" w:hAnsi="楷体" w:eastAsia="楷体" w:cs="Times New Roman"/>
          <w:color w:val="auto"/>
          <w:sz w:val="24"/>
          <w:highlight w:val="none"/>
          <w:lang w:val="en-US" w:eastAsia="zh-CN"/>
        </w:rPr>
        <w:t>及电子档</w:t>
      </w:r>
      <w:r>
        <w:rPr>
          <w:rFonts w:hint="eastAsia" w:ascii="楷体" w:hAnsi="楷体" w:eastAsia="楷体" w:cs="Times New Roman"/>
          <w:color w:val="auto"/>
          <w:sz w:val="24"/>
          <w:highlight w:val="none"/>
        </w:rPr>
        <w:t>的内容和资料应一致，并在文件左上角注明"正本"、"副本"字样，一旦正本和副本不符，以正本为准。</w:t>
      </w:r>
    </w:p>
    <w:p w14:paraId="5CD4F738">
      <w:pPr>
        <w:spacing w:line="360" w:lineRule="auto"/>
        <w:ind w:left="1" w:firstLine="480"/>
        <w:rPr>
          <w:rFonts w:hint="eastAsia" w:ascii="楷体" w:hAnsi="楷体" w:eastAsia="楷体" w:cs="楷体"/>
          <w:b/>
          <w:color w:val="auto"/>
          <w:sz w:val="24"/>
        </w:rPr>
      </w:pPr>
      <w:r>
        <w:rPr>
          <w:rFonts w:hint="eastAsia" w:ascii="楷体" w:hAnsi="楷体" w:eastAsia="楷体" w:cs="楷体"/>
          <w:color w:val="auto"/>
          <w:sz w:val="24"/>
          <w:highlight w:val="white"/>
          <w:lang w:val="en-US" w:eastAsia="zh-CN"/>
        </w:rPr>
        <w:t>8.5</w:t>
      </w:r>
      <w:r>
        <w:rPr>
          <w:rFonts w:hint="eastAsia" w:ascii="楷体" w:hAnsi="楷体" w:eastAsia="楷体" w:cs="楷体"/>
          <w:color w:val="auto"/>
          <w:sz w:val="24"/>
          <w:highlight w:val="white"/>
        </w:rPr>
        <w:t xml:space="preserve"> 供应商应仔细阅读</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文件，按照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w:t>
      </w:r>
      <w:r>
        <w:rPr>
          <w:rFonts w:hint="eastAsia" w:ascii="楷体" w:hAnsi="楷体" w:eastAsia="楷体" w:cs="楷体"/>
          <w:color w:val="auto"/>
          <w:sz w:val="24"/>
          <w:highlight w:val="white"/>
          <w:lang w:val="en-US" w:eastAsia="zh-CN"/>
        </w:rPr>
        <w:t>第六部分（格式）</w:t>
      </w:r>
      <w:r>
        <w:rPr>
          <w:rFonts w:hint="eastAsia" w:ascii="楷体" w:hAnsi="楷体" w:eastAsia="楷体" w:cs="楷体"/>
          <w:color w:val="auto"/>
          <w:sz w:val="24"/>
          <w:highlight w:val="white"/>
        </w:rPr>
        <w:t>的要求编制响应文件。响应文件应当对</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文件提出的要求和条件作出明确响应。</w:t>
      </w:r>
    </w:p>
    <w:p w14:paraId="44279003">
      <w:pPr>
        <w:spacing w:line="360" w:lineRule="auto"/>
        <w:ind w:left="1"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val="en-US" w:eastAsia="zh-CN"/>
        </w:rPr>
        <w:t>8.6</w:t>
      </w:r>
      <w:r>
        <w:rPr>
          <w:rFonts w:hint="eastAsia" w:ascii="楷体" w:hAnsi="楷体" w:eastAsia="楷体" w:cs="楷体"/>
          <w:color w:val="auto"/>
          <w:sz w:val="24"/>
          <w:highlight w:val="white"/>
        </w:rPr>
        <w:t xml:space="preserve"> 如没有按照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文件要求和规定编制响应文件及提交相关资料，其风险应由供应商自行承担；响应文件编排混乱、文字表达不清或资料内容模糊所引起的不利后果，由供应商自行承担。</w:t>
      </w:r>
    </w:p>
    <w:p w14:paraId="5E99B2A0">
      <w:pPr>
        <w:spacing w:line="360" w:lineRule="auto"/>
        <w:ind w:left="1"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8.7</w:t>
      </w:r>
      <w:r>
        <w:rPr>
          <w:rFonts w:hint="eastAsia" w:ascii="楷体" w:hAnsi="楷体" w:eastAsia="楷体" w:cs="楷体"/>
          <w:color w:val="auto"/>
          <w:sz w:val="24"/>
          <w:highlight w:val="white"/>
        </w:rPr>
        <w:t xml:space="preserve"> </w:t>
      </w:r>
      <w:r>
        <w:rPr>
          <w:rFonts w:hint="eastAsia" w:ascii="楷体" w:hAnsi="楷体" w:eastAsia="楷体" w:cs="楷体"/>
          <w:b/>
          <w:color w:val="auto"/>
          <w:sz w:val="24"/>
          <w:highlight w:val="white"/>
        </w:rPr>
        <w:t>供应商必须保证响应文件所提供的全部资料合法、真实、可靠。</w:t>
      </w:r>
    </w:p>
    <w:p w14:paraId="6F4019F5">
      <w:pPr>
        <w:pStyle w:val="44"/>
        <w:numPr>
          <w:ilvl w:val="0"/>
          <w:numId w:val="4"/>
        </w:numPr>
        <w:ind w:left="425" w:leftChars="0" w:hanging="425" w:firstLineChars="0"/>
        <w:rPr>
          <w:rFonts w:hint="eastAsia" w:ascii="楷体" w:hAnsi="楷体" w:eastAsia="楷体" w:cs="楷体"/>
          <w:color w:val="auto"/>
        </w:rPr>
      </w:pPr>
      <w:bookmarkStart w:id="60" w:name="_Toc256000021"/>
      <w:bookmarkStart w:id="61" w:name="_Toc1291"/>
      <w:bookmarkStart w:id="62" w:name="_Toc73965871"/>
      <w:r>
        <w:rPr>
          <w:rFonts w:hint="eastAsia" w:ascii="楷体" w:hAnsi="楷体" w:eastAsia="楷体" w:cs="楷体"/>
          <w:color w:val="auto"/>
          <w:highlight w:val="white"/>
        </w:rPr>
        <w:t>响应文件语言及度量衡单位</w:t>
      </w:r>
      <w:bookmarkEnd w:id="60"/>
      <w:bookmarkEnd w:id="61"/>
      <w:bookmarkEnd w:id="62"/>
    </w:p>
    <w:p w14:paraId="74451E29">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9.1 供应商的响应文件以及供应商就有关</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的所有来往通知、函件和文件均应使用简体中文。供应商提交的支持性文件可以使用另一种语言，但相应内容应翻译成中文，在解释响应文件时以中文文本为准。</w:t>
      </w:r>
    </w:p>
    <w:p w14:paraId="37A832EE">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9.2 响应文件中所使用的计量单位除</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文件中另有特殊规定外，一律使用法定计量单位。</w:t>
      </w:r>
    </w:p>
    <w:p w14:paraId="163C6BC3">
      <w:pPr>
        <w:pStyle w:val="44"/>
        <w:numPr>
          <w:ilvl w:val="0"/>
          <w:numId w:val="4"/>
        </w:numPr>
        <w:ind w:left="425" w:leftChars="0" w:hanging="425" w:firstLineChars="0"/>
        <w:rPr>
          <w:rFonts w:hint="eastAsia" w:ascii="楷体" w:hAnsi="楷体" w:eastAsia="楷体" w:cs="楷体"/>
          <w:color w:val="auto"/>
        </w:rPr>
      </w:pPr>
      <w:bookmarkStart w:id="63" w:name="_Toc279"/>
      <w:bookmarkStart w:id="64" w:name="_Toc256000022"/>
      <w:bookmarkStart w:id="65" w:name="_Toc73965872"/>
      <w:r>
        <w:rPr>
          <w:rFonts w:hint="eastAsia" w:ascii="楷体" w:hAnsi="楷体" w:eastAsia="楷体" w:cs="楷体"/>
          <w:color w:val="auto"/>
          <w:highlight w:val="white"/>
        </w:rPr>
        <w:t>响应文件的构成</w:t>
      </w:r>
      <w:bookmarkEnd w:id="63"/>
      <w:bookmarkEnd w:id="64"/>
      <w:bookmarkEnd w:id="65"/>
    </w:p>
    <w:p w14:paraId="53E19685">
      <w:pPr>
        <w:pStyle w:val="237"/>
        <w:widowControl/>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10.1 响应文件分为资格部分、商务部分</w:t>
      </w:r>
      <w:r>
        <w:rPr>
          <w:rFonts w:hint="eastAsia" w:ascii="楷体" w:hAnsi="楷体" w:eastAsia="楷体" w:cs="楷体"/>
          <w:color w:val="auto"/>
          <w:sz w:val="24"/>
          <w:highlight w:val="white"/>
          <w:lang w:eastAsia="zh-CN"/>
        </w:rPr>
        <w:t>、</w:t>
      </w:r>
      <w:r>
        <w:rPr>
          <w:rFonts w:hint="eastAsia" w:ascii="楷体" w:hAnsi="楷体" w:eastAsia="楷体" w:cs="楷体"/>
          <w:color w:val="auto"/>
          <w:sz w:val="24"/>
          <w:highlight w:val="white"/>
          <w:lang w:val="en-US" w:eastAsia="zh-CN"/>
        </w:rPr>
        <w:t>价格部分</w:t>
      </w:r>
      <w:r>
        <w:rPr>
          <w:rFonts w:hint="eastAsia" w:ascii="楷体" w:hAnsi="楷体" w:eastAsia="楷体" w:cs="楷体"/>
          <w:color w:val="auto"/>
          <w:sz w:val="24"/>
          <w:highlight w:val="white"/>
        </w:rPr>
        <w:t>和技术部分。</w:t>
      </w:r>
    </w:p>
    <w:p w14:paraId="1D9F569D">
      <w:pPr>
        <w:pStyle w:val="237"/>
        <w:widowControl/>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10.2 资格部分系指供应商提交的证明其有资格参加</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的文件。</w:t>
      </w:r>
    </w:p>
    <w:p w14:paraId="114E4858">
      <w:pPr>
        <w:pStyle w:val="237"/>
        <w:widowControl/>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10.3 商务部分系指供应商提交的证明其成交后有能力履行合同的文件。</w:t>
      </w:r>
    </w:p>
    <w:p w14:paraId="028B41FE">
      <w:pPr>
        <w:pStyle w:val="237"/>
        <w:widowControl/>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10.4 技术部分系指供应商提交的能够证明其提供的</w:t>
      </w:r>
      <w:r>
        <w:rPr>
          <w:rFonts w:hint="eastAsia" w:ascii="楷体" w:hAnsi="楷体" w:eastAsia="楷体" w:cs="楷体"/>
          <w:color w:val="auto"/>
          <w:sz w:val="24"/>
          <w:highlight w:val="white"/>
          <w:lang w:val="en-US" w:eastAsia="zh-CN"/>
        </w:rPr>
        <w:t>工程</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货物或</w:t>
      </w:r>
      <w:r>
        <w:rPr>
          <w:rFonts w:hint="eastAsia" w:ascii="楷体" w:hAnsi="楷体" w:eastAsia="楷体" w:cs="楷体"/>
          <w:color w:val="auto"/>
          <w:sz w:val="24"/>
          <w:highlight w:val="white"/>
        </w:rPr>
        <w:t>服务）符合</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文件规定的文件。</w:t>
      </w:r>
    </w:p>
    <w:p w14:paraId="0B9314D8">
      <w:pPr>
        <w:pStyle w:val="237"/>
        <w:widowControl/>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10.5 具体填写格式详见</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文件第六部分。</w:t>
      </w:r>
    </w:p>
    <w:p w14:paraId="2EC6020A">
      <w:pPr>
        <w:pStyle w:val="44"/>
        <w:numPr>
          <w:ilvl w:val="0"/>
          <w:numId w:val="4"/>
        </w:numPr>
        <w:ind w:left="425" w:leftChars="0" w:hanging="425" w:firstLineChars="0"/>
        <w:rPr>
          <w:rFonts w:hint="eastAsia" w:ascii="楷体" w:hAnsi="楷体" w:eastAsia="楷体" w:cs="楷体"/>
          <w:color w:val="auto"/>
        </w:rPr>
      </w:pPr>
      <w:bookmarkStart w:id="66" w:name="_Toc256000024"/>
      <w:bookmarkStart w:id="67" w:name="_Toc73965874"/>
      <w:bookmarkStart w:id="68" w:name="_Toc23146"/>
      <w:r>
        <w:rPr>
          <w:rFonts w:hint="eastAsia" w:ascii="楷体" w:hAnsi="楷体" w:eastAsia="楷体" w:cs="楷体"/>
          <w:color w:val="auto"/>
          <w:highlight w:val="white"/>
        </w:rPr>
        <w:t>响应报价</w:t>
      </w:r>
      <w:bookmarkEnd w:id="66"/>
      <w:bookmarkEnd w:id="67"/>
      <w:bookmarkEnd w:id="68"/>
    </w:p>
    <w:p w14:paraId="2CB3F1A5">
      <w:pPr>
        <w:spacing w:line="360" w:lineRule="auto"/>
        <w:ind w:left="2" w:firstLine="480"/>
        <w:rPr>
          <w:rFonts w:hint="eastAsia" w:ascii="楷体" w:hAnsi="楷体" w:eastAsia="楷体" w:cs="楷体"/>
          <w:color w:val="auto"/>
          <w:sz w:val="24"/>
          <w:highlight w:val="green"/>
        </w:rPr>
      </w:pPr>
      <w:bookmarkStart w:id="69" w:name="EB768e0059feea4c7794a4869009c859f1"/>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 xml:space="preserve">.1 </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应以人民币报价（保留至小数点后2位，四舍五入）。</w:t>
      </w:r>
    </w:p>
    <w:p w14:paraId="425C8F69">
      <w:pPr>
        <w:spacing w:line="360" w:lineRule="auto"/>
        <w:ind w:left="2"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.2 供应商应按</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文件所提供的各报价表格式报价。</w:t>
      </w:r>
    </w:p>
    <w:p w14:paraId="2442828A">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.3 供应商对本项目</w:t>
      </w:r>
      <w:r>
        <w:rPr>
          <w:rFonts w:hint="eastAsia" w:ascii="楷体" w:hAnsi="楷体" w:eastAsia="楷体" w:cs="楷体"/>
          <w:color w:val="auto"/>
          <w:sz w:val="24"/>
          <w:highlight w:val="white"/>
          <w:lang w:val="en-US" w:eastAsia="zh-CN"/>
        </w:rPr>
        <w:t>所涉及的工程</w:t>
      </w:r>
      <w:r>
        <w:rPr>
          <w:rFonts w:hint="eastAsia" w:ascii="楷体" w:hAnsi="楷体" w:eastAsia="楷体" w:cs="楷体"/>
          <w:color w:val="auto"/>
          <w:sz w:val="24"/>
          <w:highlight w:val="white"/>
        </w:rPr>
        <w:t>应报出最具有竞争力的价格</w:t>
      </w:r>
      <w:r>
        <w:rPr>
          <w:rFonts w:hint="eastAsia" w:ascii="楷体" w:hAnsi="楷体" w:eastAsia="楷体" w:cs="楷体"/>
          <w:color w:val="auto"/>
          <w:sz w:val="24"/>
          <w:highlight w:val="white"/>
          <w:lang w:eastAsia="zh-CN"/>
        </w:rPr>
        <w:t>。</w:t>
      </w:r>
      <w:r>
        <w:rPr>
          <w:rFonts w:hint="eastAsia" w:ascii="楷体" w:hAnsi="楷体" w:eastAsia="楷体" w:cs="楷体"/>
          <w:color w:val="auto"/>
          <w:sz w:val="24"/>
          <w:highlight w:val="white"/>
        </w:rPr>
        <w:t>项目相关所有费用需单独列明（应包括施工设备、劳务、管理、材料、安装、维护、清理、利润、税金及政策性文件规定的各项应有费用等）。本工程项目采用工程量清单报价方式，供应商应根据</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文件所提供的工程量清单并充分考虑施工现场状况、施工期间各种建材的市场风险和国家政策性调整风险系数等，计算综合单价，综合单价成交后不作调整。合同价款调整方法在合同中约定。</w:t>
      </w:r>
    </w:p>
    <w:p w14:paraId="5336954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4</w:t>
      </w:r>
      <w:r>
        <w:rPr>
          <w:rFonts w:hint="eastAsia" w:ascii="楷体" w:hAnsi="楷体" w:eastAsia="楷体" w:cs="楷体"/>
          <w:color w:val="auto"/>
          <w:sz w:val="24"/>
          <w:highlight w:val="white"/>
        </w:rPr>
        <w:t xml:space="preserve"> 每种工程量只允许有一种报价，任何有选择报价将不予接受。供应商必须对</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文件中所采购的所有工程量进行报价，只报其中部分工程量的</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 xml:space="preserve">响应文件无效。 </w:t>
      </w:r>
    </w:p>
    <w:p w14:paraId="41E991D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 xml:space="preserve">.5 供应商不得将以下不可竞争费用降低标准计取： </w:t>
      </w:r>
    </w:p>
    <w:p w14:paraId="4BA68D8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rPr>
        <w:t xml:space="preserve">（1）财政、税收、物价等部门批准的税金和行政性规费； </w:t>
      </w:r>
    </w:p>
    <w:p w14:paraId="63AF6EE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 xml:space="preserve">文件明确的有关费用比例； </w:t>
      </w:r>
    </w:p>
    <w:p w14:paraId="06F57DB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文件中已经明确固定价格的材料、采购人供应的材料及暂定暂估的费用。</w:t>
      </w:r>
    </w:p>
    <w:p w14:paraId="03122B5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 xml:space="preserve"> 供应商应按</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文件的要求在响应文件里提供</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首轮报价，并根据首轮报价在所附的首轮明细报价表上列明所提供</w:t>
      </w:r>
      <w:r>
        <w:rPr>
          <w:rFonts w:hint="eastAsia" w:ascii="楷体" w:hAnsi="楷体" w:eastAsia="楷体" w:cs="楷体"/>
          <w:color w:val="auto"/>
          <w:sz w:val="24"/>
          <w:highlight w:val="white"/>
          <w:lang w:val="en-US" w:eastAsia="zh-CN"/>
        </w:rPr>
        <w:t>工程</w:t>
      </w:r>
      <w:r>
        <w:rPr>
          <w:rFonts w:hint="eastAsia" w:ascii="楷体" w:hAnsi="楷体" w:eastAsia="楷体" w:cs="楷体"/>
          <w:color w:val="auto"/>
          <w:sz w:val="24"/>
          <w:highlight w:val="white"/>
        </w:rPr>
        <w:t>的明细报价。</w:t>
      </w:r>
    </w:p>
    <w:p w14:paraId="276F21E2">
      <w:pPr>
        <w:spacing w:line="360" w:lineRule="auto"/>
        <w:ind w:left="2"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7</w:t>
      </w:r>
      <w:r>
        <w:rPr>
          <w:rFonts w:hint="eastAsia" w:ascii="楷体" w:hAnsi="楷体" w:eastAsia="楷体" w:cs="楷体"/>
          <w:color w:val="auto"/>
          <w:sz w:val="24"/>
          <w:highlight w:val="white"/>
        </w:rPr>
        <w:t xml:space="preserve"> 在</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过程中未对</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内容作出实质性变更、修改的情况下，如最后报价超过首轮报价，则最后报价无效，以其首轮报价作为最终报价。</w:t>
      </w:r>
    </w:p>
    <w:p w14:paraId="3CA71F8E">
      <w:pPr>
        <w:spacing w:line="360" w:lineRule="auto"/>
        <w:ind w:left="2" w:firstLine="480"/>
        <w:rPr>
          <w:rFonts w:hint="eastAsia" w:ascii="楷体" w:hAnsi="楷体" w:eastAsia="楷体" w:cs="楷体"/>
          <w:b/>
          <w:bCs/>
          <w:color w:val="auto"/>
          <w:sz w:val="24"/>
          <w:highlight w:val="white"/>
          <w:lang w:val="en-US" w:eastAsia="zh-CN"/>
        </w:rPr>
      </w:pPr>
      <w:r>
        <w:rPr>
          <w:rFonts w:hint="eastAsia" w:ascii="楷体" w:hAnsi="楷体" w:eastAsia="楷体" w:cs="楷体"/>
          <w:b/>
          <w:bCs/>
          <w:color w:val="auto"/>
          <w:sz w:val="24"/>
          <w:highlight w:val="white"/>
          <w:lang w:eastAsia="zh-CN"/>
        </w:rPr>
        <w:t>11</w:t>
      </w:r>
      <w:r>
        <w:rPr>
          <w:rFonts w:hint="eastAsia" w:ascii="楷体" w:hAnsi="楷体" w:eastAsia="楷体" w:cs="楷体"/>
          <w:b/>
          <w:bCs/>
          <w:color w:val="auto"/>
          <w:sz w:val="24"/>
          <w:highlight w:val="white"/>
        </w:rPr>
        <w:t>.</w:t>
      </w:r>
      <w:r>
        <w:rPr>
          <w:rFonts w:hint="eastAsia" w:ascii="楷体" w:hAnsi="楷体" w:eastAsia="楷体" w:cs="楷体"/>
          <w:b/>
          <w:bCs/>
          <w:color w:val="auto"/>
          <w:sz w:val="24"/>
          <w:highlight w:val="white"/>
          <w:lang w:val="en-US" w:eastAsia="zh-CN"/>
        </w:rPr>
        <w:t>8 响应文件开启流程完成，供应商若未在磋商小组规定的时间内提交最后报价，视为放弃报价，自动退出此次磋商，其响应按无效相应处理，不参与后续的项目流程，最后报价应加盖公章。</w:t>
      </w:r>
    </w:p>
    <w:p w14:paraId="4B25D217">
      <w:pPr>
        <w:spacing w:line="360" w:lineRule="auto"/>
        <w:ind w:left="2"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val="en-US" w:eastAsia="zh-CN"/>
        </w:rPr>
        <w:t>11.9</w:t>
      </w:r>
      <w:r>
        <w:rPr>
          <w:rFonts w:hint="eastAsia" w:ascii="楷体" w:hAnsi="楷体" w:eastAsia="楷体" w:cs="楷体"/>
          <w:color w:val="auto"/>
          <w:sz w:val="24"/>
          <w:highlight w:val="white"/>
        </w:rPr>
        <w:t>最低</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报价不能作为成交的唯一保证。</w:t>
      </w:r>
    </w:p>
    <w:p w14:paraId="1F327234">
      <w:pPr>
        <w:spacing w:line="360" w:lineRule="auto"/>
        <w:ind w:left="2"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11</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 xml:space="preserve">10 </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最后报价即为合同签约价。</w:t>
      </w:r>
      <w:bookmarkEnd w:id="69"/>
    </w:p>
    <w:p w14:paraId="2D88BE15">
      <w:pPr>
        <w:pStyle w:val="44"/>
        <w:numPr>
          <w:ilvl w:val="0"/>
          <w:numId w:val="4"/>
        </w:numPr>
        <w:ind w:left="425" w:leftChars="0" w:hanging="425" w:firstLineChars="0"/>
        <w:rPr>
          <w:rFonts w:hint="eastAsia" w:ascii="楷体" w:hAnsi="楷体" w:eastAsia="楷体" w:cs="楷体"/>
          <w:color w:val="auto"/>
          <w:highlight w:val="white"/>
        </w:rPr>
      </w:pPr>
      <w:bookmarkStart w:id="70" w:name="_Toc21244"/>
      <w:bookmarkStart w:id="71" w:name="_Toc73364869"/>
      <w:bookmarkStart w:id="72" w:name="_Toc73365482"/>
      <w:bookmarkStart w:id="73" w:name="_Toc73965875"/>
      <w:bookmarkStart w:id="74" w:name="_Toc256000025"/>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保证金</w:t>
      </w:r>
      <w:bookmarkEnd w:id="70"/>
      <w:bookmarkEnd w:id="71"/>
      <w:bookmarkEnd w:id="72"/>
    </w:p>
    <w:p w14:paraId="3FDA009E">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default" w:ascii="楷体" w:hAnsi="楷体" w:eastAsia="楷体" w:cs="楷体"/>
          <w:color w:val="auto"/>
          <w:sz w:val="24"/>
          <w:highlight w:val="white"/>
          <w:lang w:val="en-US" w:eastAsia="zh-CN"/>
        </w:rPr>
      </w:pPr>
      <w:bookmarkStart w:id="75" w:name="EBffce9a1083124a32b81da965a376b38b"/>
      <w:r>
        <w:rPr>
          <w:rFonts w:hint="eastAsia" w:ascii="楷体" w:hAnsi="楷体" w:eastAsia="楷体" w:cs="楷体"/>
          <w:color w:val="auto"/>
          <w:sz w:val="24"/>
          <w:highlight w:val="white"/>
          <w:lang w:val="en-US" w:eastAsia="zh-CN"/>
        </w:rPr>
        <w:t>12.1☑本项目不收取磋商保证金。</w:t>
      </w:r>
    </w:p>
    <w:bookmarkEnd w:id="75"/>
    <w:p w14:paraId="17F435DE">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楷体" w:hAnsi="楷体" w:eastAsia="楷体" w:cs="楷体"/>
          <w:color w:val="auto"/>
          <w:spacing w:val="0"/>
          <w:w w:val="100"/>
          <w:sz w:val="24"/>
        </w:rPr>
      </w:pPr>
      <w:r>
        <w:rPr>
          <w:rFonts w:hint="eastAsia" w:ascii="楷体" w:hAnsi="楷体" w:eastAsia="楷体" w:cs="楷体"/>
          <w:color w:val="auto"/>
          <w:sz w:val="24"/>
          <w:highlight w:val="white"/>
          <w:lang w:val="en-US" w:eastAsia="zh-CN"/>
        </w:rPr>
        <w:t xml:space="preserve">    □本项目收取磋商保证金。</w:t>
      </w:r>
      <w:r>
        <w:rPr>
          <w:rFonts w:hint="eastAsia" w:ascii="楷体" w:hAnsi="楷体" w:eastAsia="楷体"/>
          <w:color w:val="auto"/>
          <w:sz w:val="24"/>
          <w:lang w:val="en-US" w:eastAsia="zh-CN"/>
        </w:rPr>
        <w:t>供应商</w:t>
      </w:r>
      <w:r>
        <w:rPr>
          <w:rFonts w:hint="eastAsia" w:ascii="楷体" w:hAnsi="楷体" w:eastAsia="楷体"/>
          <w:color w:val="auto"/>
          <w:sz w:val="24"/>
        </w:rPr>
        <w:t>应以人民币提交符合</w:t>
      </w:r>
      <w:r>
        <w:rPr>
          <w:rFonts w:hint="eastAsia" w:ascii="楷体" w:hAnsi="楷体" w:eastAsia="楷体"/>
          <w:color w:val="auto"/>
          <w:sz w:val="24"/>
          <w:lang w:val="en-US" w:eastAsia="zh-CN"/>
        </w:rPr>
        <w:t>磋商</w:t>
      </w:r>
      <w:r>
        <w:rPr>
          <w:rFonts w:hint="eastAsia" w:ascii="楷体" w:hAnsi="楷体" w:eastAsia="楷体"/>
          <w:color w:val="auto"/>
          <w:sz w:val="24"/>
        </w:rPr>
        <w:t>文件规定的</w:t>
      </w:r>
      <w:bookmarkStart w:id="76" w:name="OLE_LINK1"/>
      <w:r>
        <w:rPr>
          <w:rFonts w:hint="eastAsia" w:ascii="楷体" w:hAnsi="楷体" w:eastAsia="楷体"/>
          <w:color w:val="auto"/>
          <w:sz w:val="24"/>
          <w:lang w:val="en-US" w:eastAsia="zh-CN"/>
        </w:rPr>
        <w:t>磋商</w:t>
      </w:r>
      <w:r>
        <w:rPr>
          <w:rFonts w:hint="eastAsia" w:ascii="楷体" w:hAnsi="楷体" w:eastAsia="楷体"/>
          <w:color w:val="auto"/>
          <w:sz w:val="24"/>
        </w:rPr>
        <w:t>保证金</w:t>
      </w:r>
      <w:bookmarkEnd w:id="76"/>
      <w:r>
        <w:rPr>
          <w:rFonts w:hint="eastAsia" w:ascii="楷体" w:hAnsi="楷体" w:eastAsia="楷体"/>
          <w:color w:val="auto"/>
          <w:sz w:val="24"/>
        </w:rPr>
        <w:t>。</w:t>
      </w:r>
      <w:r>
        <w:rPr>
          <w:rFonts w:hint="eastAsia" w:ascii="楷体" w:hAnsi="楷体" w:eastAsia="楷体"/>
          <w:color w:val="auto"/>
          <w:sz w:val="24"/>
          <w:lang w:val="en-US" w:eastAsia="zh-CN"/>
        </w:rPr>
        <w:t>磋商</w:t>
      </w:r>
      <w:r>
        <w:rPr>
          <w:rFonts w:hint="eastAsia" w:ascii="楷体" w:hAnsi="楷体" w:eastAsia="楷体"/>
          <w:color w:val="auto"/>
          <w:sz w:val="24"/>
        </w:rPr>
        <w:t>保证金接受电汇、网上银行支付等非现金形式</w:t>
      </w:r>
      <w:r>
        <w:rPr>
          <w:rFonts w:hint="eastAsia" w:ascii="楷体" w:hAnsi="楷体" w:eastAsia="楷体"/>
          <w:color w:val="auto"/>
          <w:sz w:val="24"/>
          <w:lang w:eastAsia="zh-CN"/>
        </w:rPr>
        <w:t>，</w:t>
      </w:r>
      <w:r>
        <w:rPr>
          <w:rFonts w:hint="eastAsia" w:ascii="楷体" w:hAnsi="楷体" w:eastAsia="楷体"/>
          <w:color w:val="auto"/>
          <w:sz w:val="24"/>
          <w:lang w:val="en-US" w:eastAsia="zh-CN"/>
        </w:rPr>
        <w:t>由供应商基本存款账户缴纳至指定账户</w:t>
      </w:r>
      <w:r>
        <w:rPr>
          <w:rFonts w:hint="eastAsia" w:ascii="楷体" w:hAnsi="楷体" w:eastAsia="楷体"/>
          <w:color w:val="auto"/>
          <w:sz w:val="24"/>
        </w:rPr>
        <w:t>。</w:t>
      </w:r>
    </w:p>
    <w:p w14:paraId="5B0D6769">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default" w:ascii="楷体" w:hAnsi="楷体" w:eastAsia="楷体" w:cs="楷体"/>
          <w:color w:val="auto"/>
          <w:spacing w:val="0"/>
          <w:w w:val="100"/>
          <w:sz w:val="24"/>
          <w:lang w:val="en-US" w:eastAsia="zh-CN"/>
        </w:rPr>
      </w:pPr>
      <w:r>
        <w:rPr>
          <w:rFonts w:hint="eastAsia" w:ascii="楷体" w:hAnsi="楷体" w:eastAsia="楷体"/>
          <w:color w:val="auto"/>
          <w:sz w:val="24"/>
          <w:lang w:val="en-US" w:eastAsia="zh-CN"/>
        </w:rPr>
        <w:t>磋商</w:t>
      </w:r>
      <w:r>
        <w:rPr>
          <w:rFonts w:hint="eastAsia" w:ascii="楷体" w:hAnsi="楷体" w:eastAsia="楷体"/>
          <w:color w:val="auto"/>
          <w:sz w:val="24"/>
        </w:rPr>
        <w:t>保证金</w:t>
      </w:r>
      <w:r>
        <w:rPr>
          <w:rFonts w:hint="eastAsia" w:ascii="楷体" w:hAnsi="楷体" w:eastAsia="楷体" w:cs="楷体"/>
          <w:color w:val="auto"/>
          <w:spacing w:val="0"/>
          <w:w w:val="100"/>
          <w:sz w:val="24"/>
          <w:lang w:val="en-US" w:eastAsia="zh-CN"/>
        </w:rPr>
        <w:t>金额：人民币</w:t>
      </w:r>
      <w:r>
        <w:rPr>
          <w:rFonts w:hint="eastAsia" w:ascii="楷体" w:hAnsi="楷体" w:eastAsia="楷体" w:cs="楷体"/>
          <w:color w:val="auto"/>
          <w:spacing w:val="0"/>
          <w:w w:val="100"/>
          <w:sz w:val="24"/>
          <w:u w:val="single"/>
          <w:lang w:val="en-US" w:eastAsia="zh-CN"/>
        </w:rPr>
        <w:t xml:space="preserve"> / </w:t>
      </w:r>
      <w:r>
        <w:rPr>
          <w:rFonts w:hint="eastAsia" w:ascii="楷体" w:hAnsi="楷体" w:eastAsia="楷体" w:cs="楷体"/>
          <w:color w:val="auto"/>
          <w:spacing w:val="0"/>
          <w:w w:val="100"/>
          <w:sz w:val="24"/>
          <w:lang w:val="en-US" w:eastAsia="zh-CN"/>
        </w:rPr>
        <w:t>元（不超过采购预算2%）</w:t>
      </w:r>
    </w:p>
    <w:p w14:paraId="7149987E">
      <w:pPr>
        <w:spacing w:line="360" w:lineRule="auto"/>
        <w:ind w:firstLine="480"/>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户名</w:t>
      </w:r>
      <w:r>
        <w:rPr>
          <w:rFonts w:hint="eastAsia" w:ascii="楷体" w:hAnsi="楷体" w:eastAsia="楷体" w:cs="楷体"/>
          <w:color w:val="auto"/>
          <w:sz w:val="24"/>
        </w:rPr>
        <w:t>：</w:t>
      </w:r>
      <w:r>
        <w:rPr>
          <w:rFonts w:hint="eastAsia" w:ascii="楷体" w:hAnsi="楷体" w:eastAsia="楷体" w:cs="楷体"/>
          <w:color w:val="auto"/>
          <w:sz w:val="24"/>
          <w:lang w:val="en-US" w:eastAsia="zh-CN"/>
        </w:rPr>
        <w:t>/</w:t>
      </w:r>
    </w:p>
    <w:p w14:paraId="71E1511E">
      <w:pPr>
        <w:spacing w:line="360" w:lineRule="auto"/>
        <w:ind w:firstLine="480"/>
        <w:rPr>
          <w:rFonts w:hint="eastAsia" w:ascii="楷体" w:hAnsi="楷体" w:eastAsia="楷体" w:cs="楷体"/>
          <w:color w:val="auto"/>
          <w:sz w:val="24"/>
          <w:lang w:eastAsia="zh-CN"/>
        </w:rPr>
      </w:pPr>
      <w:r>
        <w:rPr>
          <w:rFonts w:hint="eastAsia" w:ascii="楷体" w:hAnsi="楷体" w:eastAsia="楷体" w:cs="楷体"/>
          <w:color w:val="auto"/>
          <w:sz w:val="24"/>
        </w:rPr>
        <w:t>账号：</w:t>
      </w:r>
      <w:r>
        <w:rPr>
          <w:rFonts w:hint="eastAsia" w:ascii="楷体" w:hAnsi="楷体" w:eastAsia="楷体" w:cs="楷体"/>
          <w:color w:val="auto"/>
          <w:sz w:val="24"/>
          <w:lang w:val="en-US" w:eastAsia="zh-CN"/>
        </w:rPr>
        <w:t>/</w:t>
      </w:r>
    </w:p>
    <w:p w14:paraId="186B9FE2">
      <w:pPr>
        <w:spacing w:line="360" w:lineRule="auto"/>
        <w:ind w:firstLine="480"/>
        <w:rPr>
          <w:rFonts w:hint="eastAsia" w:ascii="楷体" w:hAnsi="楷体" w:eastAsia="楷体" w:cs="楷体"/>
          <w:color w:val="auto"/>
          <w:spacing w:val="0"/>
          <w:w w:val="100"/>
          <w:sz w:val="24"/>
          <w:lang w:val="en-US" w:eastAsia="zh-CN"/>
        </w:rPr>
      </w:pPr>
      <w:r>
        <w:rPr>
          <w:rFonts w:hint="eastAsia" w:ascii="楷体" w:hAnsi="楷体" w:eastAsia="楷体" w:cs="楷体"/>
          <w:color w:val="auto"/>
          <w:sz w:val="24"/>
        </w:rPr>
        <w:t>开户银行：</w:t>
      </w:r>
      <w:r>
        <w:rPr>
          <w:rFonts w:hint="eastAsia" w:ascii="楷体" w:hAnsi="楷体" w:eastAsia="楷体" w:cs="楷体"/>
          <w:color w:val="auto"/>
          <w:sz w:val="24"/>
          <w:lang w:val="en-US" w:eastAsia="zh-CN"/>
        </w:rPr>
        <w:t>/</w:t>
      </w:r>
    </w:p>
    <w:p w14:paraId="6DA91C55">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楷体" w:hAnsi="楷体" w:eastAsia="楷体" w:cs="楷体"/>
          <w:color w:val="auto"/>
          <w:spacing w:val="0"/>
          <w:w w:val="100"/>
          <w:sz w:val="24"/>
        </w:rPr>
      </w:pPr>
      <w:r>
        <w:rPr>
          <w:rFonts w:hint="eastAsia" w:ascii="楷体" w:hAnsi="楷体" w:eastAsia="楷体"/>
          <w:color w:val="auto"/>
          <w:sz w:val="24"/>
          <w:lang w:val="en-US" w:eastAsia="zh-CN"/>
        </w:rPr>
        <w:t xml:space="preserve">12.2 </w:t>
      </w:r>
      <w:r>
        <w:rPr>
          <w:rFonts w:hint="eastAsia" w:ascii="楷体" w:hAnsi="楷体" w:eastAsia="楷体"/>
          <w:color w:val="auto"/>
          <w:sz w:val="24"/>
        </w:rPr>
        <w:t>在</w:t>
      </w:r>
      <w:r>
        <w:rPr>
          <w:rFonts w:hint="eastAsia" w:ascii="楷体" w:hAnsi="楷体" w:eastAsia="楷体"/>
          <w:color w:val="auto"/>
          <w:sz w:val="24"/>
          <w:lang w:eastAsia="zh-CN"/>
        </w:rPr>
        <w:t>磋商响应文件</w:t>
      </w:r>
      <w:r>
        <w:rPr>
          <w:rFonts w:hint="eastAsia" w:ascii="楷体" w:hAnsi="楷体" w:eastAsia="楷体"/>
          <w:color w:val="auto"/>
          <w:sz w:val="24"/>
        </w:rPr>
        <w:t>递交截止时间前，</w:t>
      </w:r>
      <w:r>
        <w:rPr>
          <w:rFonts w:hint="eastAsia" w:ascii="楷体" w:hAnsi="楷体" w:eastAsia="楷体"/>
          <w:color w:val="auto"/>
          <w:sz w:val="24"/>
          <w:lang w:eastAsia="zh-CN"/>
        </w:rPr>
        <w:t>供应商</w:t>
      </w:r>
      <w:r>
        <w:rPr>
          <w:rFonts w:hint="eastAsia" w:ascii="楷体" w:hAnsi="楷体" w:eastAsia="楷体"/>
          <w:color w:val="auto"/>
          <w:sz w:val="24"/>
        </w:rPr>
        <w:t>应按要求提交</w:t>
      </w:r>
      <w:r>
        <w:rPr>
          <w:rFonts w:hint="eastAsia" w:ascii="楷体" w:hAnsi="楷体" w:eastAsia="楷体"/>
          <w:color w:val="auto"/>
          <w:sz w:val="24"/>
          <w:lang w:eastAsia="zh-CN"/>
        </w:rPr>
        <w:t>磋商保证金</w:t>
      </w:r>
      <w:r>
        <w:rPr>
          <w:rFonts w:hint="eastAsia" w:ascii="楷体" w:hAnsi="楷体" w:eastAsia="楷体"/>
          <w:color w:val="auto"/>
          <w:sz w:val="24"/>
        </w:rPr>
        <w:t>，否则</w:t>
      </w:r>
      <w:r>
        <w:rPr>
          <w:rFonts w:hint="eastAsia" w:ascii="楷体" w:hAnsi="楷体" w:eastAsia="楷体"/>
          <w:color w:val="auto"/>
          <w:sz w:val="24"/>
          <w:lang w:val="en-US" w:eastAsia="zh-CN"/>
        </w:rPr>
        <w:t>其响应</w:t>
      </w:r>
      <w:r>
        <w:rPr>
          <w:rFonts w:hint="eastAsia" w:ascii="楷体" w:hAnsi="楷体" w:eastAsia="楷体"/>
          <w:color w:val="auto"/>
          <w:sz w:val="24"/>
        </w:rPr>
        <w:t>无效。</w:t>
      </w:r>
    </w:p>
    <w:p w14:paraId="15F5824F">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楷体" w:hAnsi="楷体" w:eastAsia="楷体"/>
          <w:color w:val="auto"/>
          <w:sz w:val="24"/>
          <w:lang w:val="en-US" w:eastAsia="zh-CN"/>
        </w:rPr>
      </w:pPr>
      <w:r>
        <w:rPr>
          <w:rFonts w:hint="eastAsia" w:ascii="楷体" w:hAnsi="楷体" w:eastAsia="楷体"/>
          <w:color w:val="auto"/>
          <w:sz w:val="24"/>
          <w:lang w:val="en-US" w:eastAsia="zh-CN"/>
        </w:rPr>
        <w:t>12.3 未成交供应商的磋商保证金，将在采购结束发出成交通知书后五个工作日内予以退还，不计利息。</w:t>
      </w:r>
    </w:p>
    <w:p w14:paraId="7EC97E71">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ascii="楷体" w:hAnsi="楷体" w:eastAsia="楷体"/>
          <w:color w:val="auto"/>
          <w:sz w:val="24"/>
          <w:lang w:val="en-US" w:eastAsia="zh-CN"/>
        </w:rPr>
      </w:pPr>
      <w:r>
        <w:rPr>
          <w:rFonts w:hint="eastAsia" w:ascii="楷体" w:hAnsi="楷体" w:eastAsia="楷体"/>
          <w:color w:val="auto"/>
          <w:sz w:val="24"/>
          <w:lang w:val="en-US" w:eastAsia="zh-CN"/>
        </w:rPr>
        <w:t>12.4 成交供应商的磋商保证金，在按规定签订合同并按照规定交纳了履约保证金后，五个工作日内予以退还（转为履约保证金的除外）不计利息。</w:t>
      </w:r>
    </w:p>
    <w:p w14:paraId="0FCEF155">
      <w:pPr>
        <w:pStyle w:val="56"/>
        <w:keepNext w:val="0"/>
        <w:keepLines w:val="0"/>
        <w:pageBreakBefore w:val="0"/>
        <w:widowControl w:val="0"/>
        <w:numPr>
          <w:ilvl w:val="0"/>
          <w:numId w:val="0"/>
        </w:numPr>
        <w:tabs>
          <w:tab w:val="left" w:pos="1331"/>
        </w:tabs>
        <w:kinsoku/>
        <w:wordWrap w:val="0"/>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ascii="楷体" w:hAnsi="楷体" w:eastAsia="楷体"/>
          <w:color w:val="auto"/>
          <w:sz w:val="24"/>
        </w:rPr>
      </w:pPr>
      <w:r>
        <w:rPr>
          <w:rFonts w:hint="eastAsia" w:ascii="楷体" w:hAnsi="楷体" w:eastAsia="楷体"/>
          <w:color w:val="auto"/>
          <w:sz w:val="24"/>
          <w:lang w:val="en-US" w:eastAsia="zh-CN"/>
        </w:rPr>
        <w:t xml:space="preserve">12.5 </w:t>
      </w:r>
      <w:r>
        <w:rPr>
          <w:rFonts w:hint="eastAsia" w:ascii="楷体" w:hAnsi="楷体" w:eastAsia="楷体"/>
          <w:color w:val="auto"/>
          <w:sz w:val="24"/>
        </w:rPr>
        <w:t>下列任何情况发生时，</w:t>
      </w:r>
      <w:r>
        <w:rPr>
          <w:rFonts w:hint="eastAsia" w:ascii="楷体" w:hAnsi="楷体" w:eastAsia="楷体"/>
          <w:color w:val="auto"/>
          <w:sz w:val="24"/>
          <w:lang w:eastAsia="zh-CN"/>
        </w:rPr>
        <w:t>磋商保证金</w:t>
      </w:r>
      <w:r>
        <w:rPr>
          <w:rFonts w:hint="eastAsia" w:ascii="楷体" w:hAnsi="楷体" w:eastAsia="楷体"/>
          <w:color w:val="auto"/>
          <w:sz w:val="24"/>
        </w:rPr>
        <w:t>不予退还，情节严重的，由</w:t>
      </w:r>
      <w:r>
        <w:rPr>
          <w:rFonts w:hint="eastAsia" w:ascii="楷体" w:hAnsi="楷体" w:eastAsia="楷体"/>
          <w:color w:val="auto"/>
          <w:sz w:val="24"/>
          <w:lang w:val="en-US" w:eastAsia="zh-CN"/>
        </w:rPr>
        <w:t>财政部门</w:t>
      </w:r>
      <w:r>
        <w:rPr>
          <w:rFonts w:hint="eastAsia" w:ascii="楷体" w:hAnsi="楷体" w:eastAsia="楷体"/>
          <w:color w:val="auto"/>
          <w:sz w:val="24"/>
        </w:rPr>
        <w:t>将其列入不良行为记录名单，在一至三年内禁止参加</w:t>
      </w:r>
      <w:r>
        <w:rPr>
          <w:rFonts w:hint="eastAsia" w:ascii="楷体" w:hAnsi="楷体" w:eastAsia="楷体"/>
          <w:color w:val="auto"/>
          <w:sz w:val="24"/>
          <w:lang w:val="en-US" w:eastAsia="zh-CN"/>
        </w:rPr>
        <w:t>集团</w:t>
      </w:r>
      <w:r>
        <w:rPr>
          <w:rFonts w:hint="eastAsia" w:ascii="楷体" w:hAnsi="楷体" w:eastAsia="楷体"/>
          <w:color w:val="auto"/>
          <w:sz w:val="24"/>
        </w:rPr>
        <w:t>采购活动，并予以通报：</w:t>
      </w:r>
    </w:p>
    <w:p w14:paraId="10A831C7">
      <w:pPr>
        <w:spacing w:line="360" w:lineRule="auto"/>
        <w:ind w:left="1" w:firstLine="477" w:firstLineChars="199"/>
        <w:rPr>
          <w:rFonts w:ascii="楷体" w:hAnsi="楷体" w:eastAsia="楷体"/>
          <w:color w:val="auto"/>
          <w:sz w:val="24"/>
        </w:rPr>
      </w:pPr>
      <w:r>
        <w:rPr>
          <w:rFonts w:hint="eastAsia" w:ascii="楷体" w:hAnsi="楷体" w:eastAsia="楷体"/>
          <w:color w:val="auto"/>
          <w:sz w:val="24"/>
        </w:rPr>
        <w:t>（1）</w:t>
      </w:r>
      <w:r>
        <w:rPr>
          <w:rFonts w:hint="eastAsia" w:ascii="楷体" w:hAnsi="楷体" w:eastAsia="楷体"/>
          <w:color w:val="auto"/>
          <w:sz w:val="24"/>
          <w:lang w:eastAsia="zh-CN"/>
        </w:rPr>
        <w:t>供应商</w:t>
      </w:r>
      <w:r>
        <w:rPr>
          <w:rFonts w:hint="eastAsia" w:ascii="楷体" w:hAnsi="楷体" w:eastAsia="楷体"/>
          <w:color w:val="auto"/>
          <w:sz w:val="24"/>
        </w:rPr>
        <w:t>在</w:t>
      </w:r>
      <w:r>
        <w:rPr>
          <w:rFonts w:hint="eastAsia" w:ascii="楷体" w:hAnsi="楷体" w:eastAsia="楷体"/>
          <w:color w:val="auto"/>
          <w:sz w:val="24"/>
          <w:lang w:val="en-US" w:eastAsia="zh-CN"/>
        </w:rPr>
        <w:t>磋商响应文件提交截止时间</w:t>
      </w:r>
      <w:r>
        <w:rPr>
          <w:rFonts w:hint="eastAsia" w:ascii="楷体" w:hAnsi="楷体" w:eastAsia="楷体"/>
          <w:color w:val="auto"/>
          <w:sz w:val="24"/>
        </w:rPr>
        <w:t>后至</w:t>
      </w:r>
      <w:r>
        <w:rPr>
          <w:rFonts w:hint="eastAsia" w:ascii="楷体" w:hAnsi="楷体" w:eastAsia="楷体"/>
          <w:color w:val="auto"/>
          <w:sz w:val="24"/>
          <w:lang w:val="en-US" w:eastAsia="zh-CN"/>
        </w:rPr>
        <w:t>磋商响应</w:t>
      </w:r>
      <w:r>
        <w:rPr>
          <w:rFonts w:hint="eastAsia" w:ascii="楷体" w:hAnsi="楷体" w:eastAsia="楷体"/>
          <w:color w:val="auto"/>
          <w:sz w:val="24"/>
        </w:rPr>
        <w:t>有效期内撤回</w:t>
      </w:r>
      <w:r>
        <w:rPr>
          <w:rFonts w:hint="eastAsia" w:ascii="楷体" w:hAnsi="楷体" w:eastAsia="楷体"/>
          <w:color w:val="auto"/>
          <w:sz w:val="24"/>
          <w:lang w:val="en-US" w:eastAsia="zh-CN"/>
        </w:rPr>
        <w:t>响应的</w:t>
      </w:r>
      <w:r>
        <w:rPr>
          <w:rFonts w:hint="eastAsia" w:ascii="楷体" w:hAnsi="楷体" w:eastAsia="楷体"/>
          <w:color w:val="auto"/>
          <w:sz w:val="24"/>
        </w:rPr>
        <w:t>；</w:t>
      </w:r>
    </w:p>
    <w:p w14:paraId="78B3936D">
      <w:pPr>
        <w:spacing w:line="360" w:lineRule="auto"/>
        <w:ind w:left="1" w:firstLine="477" w:firstLineChars="199"/>
        <w:rPr>
          <w:rFonts w:ascii="楷体" w:hAnsi="楷体" w:eastAsia="楷体"/>
          <w:color w:val="auto"/>
          <w:sz w:val="24"/>
        </w:rPr>
      </w:pPr>
      <w:r>
        <w:rPr>
          <w:rFonts w:hint="eastAsia" w:ascii="楷体" w:hAnsi="楷体" w:eastAsia="楷体"/>
          <w:color w:val="auto"/>
          <w:sz w:val="24"/>
        </w:rPr>
        <w:t>（2）</w:t>
      </w:r>
      <w:r>
        <w:rPr>
          <w:rFonts w:hint="eastAsia" w:ascii="楷体" w:hAnsi="楷体" w:eastAsia="楷体"/>
          <w:color w:val="auto"/>
          <w:sz w:val="24"/>
          <w:lang w:val="en-US" w:eastAsia="zh-CN"/>
        </w:rPr>
        <w:t>成交</w:t>
      </w:r>
      <w:r>
        <w:rPr>
          <w:rFonts w:hint="eastAsia" w:ascii="楷体" w:hAnsi="楷体" w:eastAsia="楷体"/>
          <w:color w:val="auto"/>
          <w:sz w:val="24"/>
        </w:rPr>
        <w:t>后无正当理由不与采购人或者采购代理机构签订合同的；</w:t>
      </w:r>
    </w:p>
    <w:p w14:paraId="73D948DB">
      <w:pPr>
        <w:spacing w:line="360" w:lineRule="auto"/>
        <w:ind w:left="1" w:firstLine="477" w:firstLineChars="199"/>
        <w:rPr>
          <w:rFonts w:ascii="楷体" w:hAnsi="楷体" w:eastAsia="楷体"/>
          <w:color w:val="auto"/>
          <w:sz w:val="24"/>
        </w:rPr>
      </w:pPr>
      <w:r>
        <w:rPr>
          <w:rFonts w:hint="eastAsia" w:ascii="楷体" w:hAnsi="楷体" w:eastAsia="楷体"/>
          <w:color w:val="auto"/>
          <w:sz w:val="24"/>
        </w:rPr>
        <w:t>（3）将</w:t>
      </w:r>
      <w:r>
        <w:rPr>
          <w:rFonts w:hint="eastAsia" w:ascii="楷体" w:hAnsi="楷体" w:eastAsia="楷体"/>
          <w:color w:val="auto"/>
          <w:sz w:val="24"/>
          <w:lang w:val="en-US" w:eastAsia="zh-CN"/>
        </w:rPr>
        <w:t>成交</w:t>
      </w:r>
      <w:r>
        <w:rPr>
          <w:rFonts w:hint="eastAsia" w:ascii="楷体" w:hAnsi="楷体" w:eastAsia="楷体"/>
          <w:color w:val="auto"/>
          <w:sz w:val="24"/>
        </w:rPr>
        <w:t>项目转让给他人，或者未在</w:t>
      </w:r>
      <w:r>
        <w:rPr>
          <w:rFonts w:hint="eastAsia" w:ascii="楷体" w:hAnsi="楷体" w:eastAsia="楷体"/>
          <w:color w:val="auto"/>
          <w:sz w:val="24"/>
          <w:lang w:eastAsia="zh-CN"/>
        </w:rPr>
        <w:t>磋商响应文件</w:t>
      </w:r>
      <w:r>
        <w:rPr>
          <w:rFonts w:hint="eastAsia" w:ascii="楷体" w:hAnsi="楷体" w:eastAsia="楷体"/>
          <w:color w:val="auto"/>
          <w:sz w:val="24"/>
        </w:rPr>
        <w:t>中说明，且未经采购人同意，将</w:t>
      </w:r>
      <w:r>
        <w:rPr>
          <w:rFonts w:hint="eastAsia" w:ascii="楷体" w:hAnsi="楷体" w:eastAsia="楷体"/>
          <w:color w:val="auto"/>
          <w:sz w:val="24"/>
          <w:lang w:val="en-US" w:eastAsia="zh-CN"/>
        </w:rPr>
        <w:t>成交</w:t>
      </w:r>
      <w:r>
        <w:rPr>
          <w:rFonts w:hint="eastAsia" w:ascii="楷体" w:hAnsi="楷体" w:eastAsia="楷体"/>
          <w:color w:val="auto"/>
          <w:sz w:val="24"/>
        </w:rPr>
        <w:t>项目分包给他人的；</w:t>
      </w:r>
    </w:p>
    <w:p w14:paraId="20BB55D5">
      <w:pPr>
        <w:spacing w:line="360" w:lineRule="auto"/>
        <w:ind w:left="1" w:firstLine="477" w:firstLineChars="199"/>
        <w:rPr>
          <w:rFonts w:hint="eastAsia" w:ascii="楷体" w:hAnsi="楷体" w:eastAsia="楷体" w:cs="楷体"/>
          <w:color w:val="auto"/>
          <w:sz w:val="24"/>
          <w:highlight w:val="green"/>
        </w:rPr>
      </w:pPr>
      <w:r>
        <w:rPr>
          <w:rFonts w:hint="eastAsia" w:ascii="楷体" w:hAnsi="楷体" w:eastAsia="楷体"/>
          <w:color w:val="auto"/>
          <w:sz w:val="24"/>
        </w:rPr>
        <w:t>（4）拒绝履行合同义务的。</w:t>
      </w:r>
    </w:p>
    <w:p w14:paraId="2C99C46E">
      <w:pPr>
        <w:pStyle w:val="44"/>
        <w:numPr>
          <w:ilvl w:val="0"/>
          <w:numId w:val="4"/>
        </w:numPr>
        <w:ind w:left="425" w:leftChars="0" w:hanging="425" w:firstLineChars="0"/>
        <w:rPr>
          <w:rFonts w:hint="eastAsia" w:ascii="楷体" w:hAnsi="楷体" w:eastAsia="楷体" w:cs="楷体"/>
          <w:color w:val="auto"/>
        </w:rPr>
      </w:pPr>
      <w:bookmarkStart w:id="77" w:name="_Toc21714"/>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响应有效期</w:t>
      </w:r>
      <w:bookmarkEnd w:id="73"/>
      <w:bookmarkEnd w:id="74"/>
      <w:bookmarkEnd w:id="77"/>
    </w:p>
    <w:p w14:paraId="1657136B">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3</w:t>
      </w: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有效期为：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响应文件自</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之日起</w:t>
      </w:r>
      <w:bookmarkStart w:id="78" w:name="EB8af702cf603a47b69ca570d0bdbf6dd1"/>
      <w:r>
        <w:rPr>
          <w:rFonts w:hint="eastAsia" w:ascii="楷体" w:hAnsi="楷体" w:eastAsia="楷体" w:cs="楷体"/>
          <w:color w:val="auto"/>
          <w:sz w:val="24"/>
          <w:highlight w:val="white"/>
        </w:rPr>
        <w:t>90天</w:t>
      </w:r>
      <w:bookmarkEnd w:id="78"/>
      <w:r>
        <w:rPr>
          <w:rFonts w:hint="eastAsia" w:ascii="楷体" w:hAnsi="楷体" w:eastAsia="楷体" w:cs="楷体"/>
          <w:color w:val="auto"/>
          <w:sz w:val="24"/>
          <w:highlight w:val="white"/>
        </w:rPr>
        <w:t>内有效。供应商一旦领取了本</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文件并参加</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，即被认为接受了</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有效期的约定。</w:t>
      </w:r>
    </w:p>
    <w:p w14:paraId="4A2D6B24">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3</w:t>
      </w:r>
      <w:r>
        <w:rPr>
          <w:rFonts w:hint="eastAsia" w:ascii="楷体" w:hAnsi="楷体" w:eastAsia="楷体" w:cs="楷体"/>
          <w:color w:val="auto"/>
          <w:sz w:val="24"/>
          <w:highlight w:val="white"/>
        </w:rPr>
        <w:t>.2在特殊情况下，采购人于原</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有效期满之前，可向供应商提出延长</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有效期的要求。这种要求与答复均应采用书面形式（如信件、传真或电报等）。供应商可以拒绝采购人的这一要求而放弃</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。同意延长的供应商既不能要求也不允许修改其</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w:t>
      </w:r>
    </w:p>
    <w:p w14:paraId="2A6010E0">
      <w:pPr>
        <w:pStyle w:val="5"/>
        <w:numPr>
          <w:ilvl w:val="0"/>
          <w:numId w:val="4"/>
        </w:numPr>
        <w:spacing w:before="200" w:after="200" w:line="360" w:lineRule="auto"/>
        <w:ind w:left="425" w:leftChars="0" w:hanging="425" w:firstLineChars="0"/>
        <w:rPr>
          <w:rFonts w:ascii="楷体" w:hAnsi="楷体" w:eastAsia="楷体"/>
          <w:b/>
          <w:bCs/>
          <w:color w:val="auto"/>
          <w:sz w:val="30"/>
          <w:highlight w:val="none"/>
        </w:rPr>
      </w:pPr>
      <w:bookmarkStart w:id="79" w:name="_Toc24864"/>
      <w:bookmarkStart w:id="80" w:name="_Toc16833"/>
      <w:bookmarkStart w:id="81" w:name="_Toc8839"/>
      <w:bookmarkStart w:id="82" w:name="_Toc73965878"/>
      <w:bookmarkStart w:id="83" w:name="_Toc256000028"/>
      <w:r>
        <w:rPr>
          <w:rFonts w:hint="eastAsia" w:ascii="楷体" w:hAnsi="楷体" w:eastAsia="楷体"/>
          <w:b/>
          <w:bCs/>
          <w:color w:val="auto"/>
          <w:sz w:val="30"/>
          <w:highlight w:val="none"/>
          <w:lang w:eastAsia="zh-CN"/>
        </w:rPr>
        <w:t>磋商</w:t>
      </w:r>
      <w:r>
        <w:rPr>
          <w:rFonts w:hint="eastAsia" w:ascii="楷体" w:hAnsi="楷体" w:eastAsia="楷体"/>
          <w:b/>
          <w:bCs/>
          <w:color w:val="auto"/>
          <w:sz w:val="30"/>
          <w:highlight w:val="none"/>
        </w:rPr>
        <w:t>响应文件的密封、标记和递交</w:t>
      </w:r>
      <w:bookmarkEnd w:id="79"/>
      <w:bookmarkEnd w:id="80"/>
      <w:bookmarkEnd w:id="81"/>
    </w:p>
    <w:p w14:paraId="58075F67">
      <w:pPr>
        <w:pStyle w:val="2"/>
        <w:spacing w:line="360" w:lineRule="auto"/>
        <w:ind w:left="2" w:leftChars="1" w:firstLine="480" w:firstLineChars="200"/>
        <w:rPr>
          <w:rFonts w:ascii="楷体" w:hAnsi="楷体" w:eastAsia="楷体"/>
          <w:color w:val="auto"/>
          <w:sz w:val="24"/>
          <w:highlight w:val="none"/>
        </w:rPr>
      </w:pPr>
      <w:r>
        <w:rPr>
          <w:rFonts w:hint="eastAsia" w:ascii="楷体" w:hAnsi="楷体" w:eastAsia="楷体"/>
          <w:color w:val="auto"/>
          <w:sz w:val="24"/>
          <w:highlight w:val="none"/>
          <w:lang w:eastAsia="zh-CN"/>
        </w:rPr>
        <w:t>1</w:t>
      </w:r>
      <w:r>
        <w:rPr>
          <w:rFonts w:hint="eastAsia" w:ascii="楷体" w:hAnsi="楷体" w:eastAsia="楷体"/>
          <w:color w:val="auto"/>
          <w:sz w:val="24"/>
          <w:highlight w:val="none"/>
          <w:lang w:val="en-US" w:eastAsia="zh-CN"/>
        </w:rPr>
        <w:t>4</w:t>
      </w:r>
      <w:r>
        <w:rPr>
          <w:rFonts w:hint="eastAsia" w:ascii="楷体" w:hAnsi="楷体" w:eastAsia="楷体"/>
          <w:color w:val="auto"/>
          <w:sz w:val="24"/>
          <w:highlight w:val="none"/>
        </w:rPr>
        <w:t>.1 供应商应将</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响应文件正本、副本</w:t>
      </w:r>
      <w:r>
        <w:rPr>
          <w:rFonts w:hint="eastAsia" w:ascii="楷体" w:hAnsi="楷体" w:eastAsia="楷体"/>
          <w:color w:val="auto"/>
          <w:sz w:val="24"/>
          <w:highlight w:val="none"/>
          <w:lang w:val="en-US" w:eastAsia="zh-CN"/>
        </w:rPr>
        <w:t>及扫描PDF电子档</w:t>
      </w:r>
      <w:r>
        <w:rPr>
          <w:rFonts w:hint="eastAsia" w:ascii="楷体" w:hAnsi="楷体" w:eastAsia="楷体"/>
          <w:color w:val="auto"/>
          <w:sz w:val="24"/>
          <w:highlight w:val="none"/>
        </w:rPr>
        <w:t>密封，包装物上需加盖供应商公章，并注明供应商名称、项目名称</w:t>
      </w:r>
      <w:r>
        <w:rPr>
          <w:rFonts w:hint="eastAsia" w:ascii="楷体" w:hAnsi="楷体" w:eastAsia="楷体"/>
          <w:color w:val="auto"/>
          <w:sz w:val="24"/>
          <w:highlight w:val="none"/>
          <w:lang w:eastAsia="zh-CN"/>
        </w:rPr>
        <w:t>、</w:t>
      </w:r>
      <w:r>
        <w:rPr>
          <w:rFonts w:hint="eastAsia" w:ascii="楷体" w:hAnsi="楷体" w:eastAsia="楷体"/>
          <w:color w:val="auto"/>
          <w:sz w:val="24"/>
          <w:highlight w:val="none"/>
          <w:lang w:val="en-US" w:eastAsia="zh-CN"/>
        </w:rPr>
        <w:t>项目编号、正副本或电子档标识</w:t>
      </w:r>
      <w:r>
        <w:rPr>
          <w:rFonts w:hint="eastAsia" w:ascii="楷体" w:hAnsi="楷体" w:eastAsia="楷体"/>
          <w:color w:val="auto"/>
          <w:sz w:val="24"/>
          <w:highlight w:val="none"/>
        </w:rPr>
        <w:t>。</w:t>
      </w:r>
    </w:p>
    <w:p w14:paraId="489616BB">
      <w:pPr>
        <w:pStyle w:val="2"/>
        <w:spacing w:line="360" w:lineRule="auto"/>
        <w:ind w:firstLine="482" w:firstLineChars="200"/>
        <w:rPr>
          <w:rFonts w:ascii="楷体" w:hAnsi="楷体" w:eastAsia="楷体"/>
          <w:b/>
          <w:color w:val="auto"/>
          <w:sz w:val="24"/>
          <w:highlight w:val="none"/>
          <w:shd w:val="clear" w:color="auto" w:fill="auto"/>
        </w:rPr>
      </w:pPr>
      <w:r>
        <w:rPr>
          <w:rFonts w:hint="eastAsia" w:ascii="楷体" w:hAnsi="楷体" w:eastAsia="楷体"/>
          <w:b/>
          <w:color w:val="auto"/>
          <w:sz w:val="24"/>
          <w:highlight w:val="none"/>
          <w:shd w:val="clear" w:color="auto" w:fill="auto"/>
          <w:lang w:eastAsia="zh-CN"/>
        </w:rPr>
        <w:t>1</w:t>
      </w:r>
      <w:r>
        <w:rPr>
          <w:rFonts w:hint="eastAsia" w:ascii="楷体" w:hAnsi="楷体" w:eastAsia="楷体"/>
          <w:b/>
          <w:color w:val="auto"/>
          <w:sz w:val="24"/>
          <w:highlight w:val="none"/>
          <w:shd w:val="clear" w:color="auto" w:fill="auto"/>
          <w:lang w:val="en-US" w:eastAsia="zh-CN"/>
        </w:rPr>
        <w:t>4</w:t>
      </w:r>
      <w:r>
        <w:rPr>
          <w:rFonts w:hint="eastAsia" w:ascii="楷体" w:hAnsi="楷体" w:eastAsia="楷体"/>
          <w:b/>
          <w:color w:val="auto"/>
          <w:sz w:val="24"/>
          <w:highlight w:val="none"/>
          <w:shd w:val="clear" w:color="auto" w:fill="auto"/>
        </w:rPr>
        <w:t>.2未密封的</w:t>
      </w:r>
      <w:r>
        <w:rPr>
          <w:rFonts w:hint="eastAsia" w:ascii="楷体" w:hAnsi="楷体" w:eastAsia="楷体"/>
          <w:b/>
          <w:color w:val="auto"/>
          <w:sz w:val="24"/>
          <w:highlight w:val="none"/>
          <w:shd w:val="clear" w:color="auto" w:fill="auto"/>
          <w:lang w:eastAsia="zh-CN"/>
        </w:rPr>
        <w:t>磋商</w:t>
      </w:r>
      <w:r>
        <w:rPr>
          <w:rFonts w:hint="eastAsia" w:ascii="楷体" w:hAnsi="楷体" w:eastAsia="楷体"/>
          <w:b/>
          <w:color w:val="auto"/>
          <w:sz w:val="24"/>
          <w:highlight w:val="none"/>
          <w:shd w:val="clear" w:color="auto" w:fill="auto"/>
        </w:rPr>
        <w:t>响应文件，</w:t>
      </w:r>
      <w:r>
        <w:rPr>
          <w:rFonts w:hint="eastAsia" w:ascii="楷体" w:hAnsi="楷体" w:eastAsia="楷体"/>
          <w:b/>
          <w:color w:val="auto"/>
          <w:sz w:val="24"/>
          <w:highlight w:val="none"/>
          <w:shd w:val="clear" w:color="auto" w:fill="auto"/>
          <w:lang w:eastAsia="zh-CN"/>
        </w:rPr>
        <w:t>磋商</w:t>
      </w:r>
      <w:r>
        <w:rPr>
          <w:rFonts w:hint="eastAsia" w:ascii="楷体" w:hAnsi="楷体" w:eastAsia="楷体"/>
          <w:b/>
          <w:color w:val="auto"/>
          <w:sz w:val="24"/>
          <w:highlight w:val="none"/>
          <w:shd w:val="clear" w:color="auto" w:fill="auto"/>
        </w:rPr>
        <w:t>组织方应当拒收。</w:t>
      </w:r>
    </w:p>
    <w:p w14:paraId="7C78C212">
      <w:pPr>
        <w:pStyle w:val="2"/>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lang w:eastAsia="zh-CN"/>
        </w:rPr>
        <w:t>1</w:t>
      </w:r>
      <w:r>
        <w:rPr>
          <w:rFonts w:hint="eastAsia" w:ascii="楷体" w:hAnsi="楷体" w:eastAsia="楷体"/>
          <w:color w:val="auto"/>
          <w:sz w:val="24"/>
          <w:highlight w:val="none"/>
          <w:lang w:val="en-US" w:eastAsia="zh-CN"/>
        </w:rPr>
        <w:t>4</w:t>
      </w:r>
      <w:r>
        <w:rPr>
          <w:rFonts w:hint="eastAsia" w:ascii="楷体" w:hAnsi="楷体" w:eastAsia="楷体"/>
          <w:color w:val="auto"/>
          <w:sz w:val="24"/>
          <w:highlight w:val="none"/>
        </w:rPr>
        <w:t>.3供应商在递交</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响应文件时须由法定代表人或其授权委托代理人出示居民身份证，并填写签到簿。</w:t>
      </w:r>
    </w:p>
    <w:p w14:paraId="2758CE99">
      <w:pPr>
        <w:pStyle w:val="5"/>
        <w:numPr>
          <w:ilvl w:val="0"/>
          <w:numId w:val="4"/>
        </w:numPr>
        <w:spacing w:before="200" w:after="200" w:line="360" w:lineRule="auto"/>
        <w:ind w:left="425" w:leftChars="0" w:hanging="425" w:firstLineChars="0"/>
        <w:rPr>
          <w:rFonts w:ascii="楷体" w:hAnsi="楷体" w:eastAsia="楷体"/>
          <w:b/>
          <w:bCs/>
          <w:color w:val="auto"/>
          <w:sz w:val="30"/>
          <w:highlight w:val="none"/>
        </w:rPr>
      </w:pPr>
      <w:bookmarkStart w:id="84" w:name="_Toc18805"/>
      <w:r>
        <w:rPr>
          <w:rFonts w:hint="eastAsia" w:ascii="楷体" w:hAnsi="楷体" w:eastAsia="楷体"/>
          <w:b/>
          <w:bCs/>
          <w:color w:val="auto"/>
          <w:sz w:val="30"/>
          <w:highlight w:val="none"/>
          <w:lang w:eastAsia="zh-CN"/>
        </w:rPr>
        <w:t>磋商响应文件提交截止时间</w:t>
      </w:r>
      <w:bookmarkEnd w:id="84"/>
    </w:p>
    <w:p w14:paraId="3E51C8F2">
      <w:pPr>
        <w:spacing w:line="360" w:lineRule="auto"/>
        <w:ind w:left="1" w:firstLine="480" w:firstLineChars="200"/>
        <w:rPr>
          <w:rFonts w:ascii="楷体" w:hAnsi="楷体" w:eastAsia="楷体"/>
          <w:color w:val="auto"/>
          <w:sz w:val="24"/>
          <w:highlight w:val="none"/>
        </w:rPr>
      </w:pPr>
      <w:r>
        <w:rPr>
          <w:rFonts w:hint="eastAsia" w:ascii="楷体" w:hAnsi="楷体" w:eastAsia="楷体"/>
          <w:color w:val="auto"/>
          <w:sz w:val="24"/>
          <w:highlight w:val="none"/>
        </w:rPr>
        <w:t>1</w:t>
      </w:r>
      <w:r>
        <w:rPr>
          <w:rFonts w:hint="eastAsia" w:ascii="楷体" w:hAnsi="楷体" w:eastAsia="楷体"/>
          <w:color w:val="auto"/>
          <w:sz w:val="24"/>
          <w:highlight w:val="none"/>
          <w:lang w:val="en-US" w:eastAsia="zh-CN"/>
        </w:rPr>
        <w:t>5</w:t>
      </w:r>
      <w:r>
        <w:rPr>
          <w:rFonts w:hint="eastAsia" w:ascii="楷体" w:hAnsi="楷体" w:eastAsia="楷体"/>
          <w:color w:val="auto"/>
          <w:sz w:val="24"/>
          <w:highlight w:val="none"/>
        </w:rPr>
        <w:t>.1 供应商需在</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文件规定的</w:t>
      </w:r>
      <w:r>
        <w:rPr>
          <w:rFonts w:hint="eastAsia" w:ascii="楷体" w:hAnsi="楷体" w:eastAsia="楷体"/>
          <w:color w:val="auto"/>
          <w:sz w:val="24"/>
          <w:highlight w:val="none"/>
          <w:lang w:eastAsia="zh-CN"/>
        </w:rPr>
        <w:t>磋商响应文件提交截止时间</w:t>
      </w:r>
      <w:r>
        <w:rPr>
          <w:rFonts w:hint="eastAsia" w:ascii="楷体" w:hAnsi="楷体" w:eastAsia="楷体"/>
          <w:color w:val="auto"/>
          <w:sz w:val="24"/>
          <w:highlight w:val="none"/>
        </w:rPr>
        <w:t>前，将</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响应文件送达</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邀请指定的</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地点。</w:t>
      </w:r>
    </w:p>
    <w:p w14:paraId="25B5B988">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en-US" w:eastAsia="zh-CN"/>
        </w:rPr>
        <w:t>15</w:t>
      </w:r>
      <w:r>
        <w:rPr>
          <w:rFonts w:hint="eastAsia" w:ascii="楷体" w:hAnsi="楷体" w:eastAsia="楷体"/>
          <w:color w:val="auto"/>
          <w:sz w:val="24"/>
          <w:highlight w:val="none"/>
        </w:rPr>
        <w:t>.2在</w:t>
      </w:r>
      <w:r>
        <w:rPr>
          <w:rFonts w:hint="eastAsia" w:ascii="楷体" w:hAnsi="楷体" w:eastAsia="楷体"/>
          <w:color w:val="auto"/>
          <w:sz w:val="24"/>
          <w:highlight w:val="none"/>
          <w:lang w:eastAsia="zh-CN"/>
        </w:rPr>
        <w:t>提交截止时间</w:t>
      </w:r>
      <w:r>
        <w:rPr>
          <w:rFonts w:hint="eastAsia" w:ascii="楷体" w:hAnsi="楷体" w:eastAsia="楷体"/>
          <w:color w:val="auto"/>
          <w:sz w:val="24"/>
          <w:highlight w:val="none"/>
        </w:rPr>
        <w:t>以后送达的</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组织方拒绝接收。</w:t>
      </w:r>
    </w:p>
    <w:p w14:paraId="6907F35A">
      <w:pPr>
        <w:spacing w:line="360" w:lineRule="auto"/>
        <w:ind w:left="1" w:firstLine="480" w:firstLineChars="200"/>
        <w:rPr>
          <w:rFonts w:ascii="楷体" w:hAnsi="楷体" w:eastAsia="楷体"/>
          <w:color w:val="auto"/>
          <w:sz w:val="24"/>
          <w:highlight w:val="none"/>
        </w:rPr>
      </w:pPr>
      <w:r>
        <w:rPr>
          <w:rFonts w:hint="eastAsia" w:ascii="楷体" w:hAnsi="楷体" w:eastAsia="楷体"/>
          <w:color w:val="auto"/>
          <w:sz w:val="24"/>
          <w:highlight w:val="none"/>
        </w:rPr>
        <w:t>1</w:t>
      </w:r>
      <w:r>
        <w:rPr>
          <w:rFonts w:hint="eastAsia" w:ascii="楷体" w:hAnsi="楷体" w:eastAsia="楷体"/>
          <w:color w:val="auto"/>
          <w:sz w:val="24"/>
          <w:highlight w:val="none"/>
          <w:lang w:val="en-US" w:eastAsia="zh-CN"/>
        </w:rPr>
        <w:t>5</w:t>
      </w:r>
      <w:r>
        <w:rPr>
          <w:rFonts w:hint="eastAsia" w:ascii="楷体" w:hAnsi="楷体" w:eastAsia="楷体"/>
          <w:color w:val="auto"/>
          <w:sz w:val="24"/>
          <w:highlight w:val="none"/>
        </w:rPr>
        <w:t xml:space="preserve">.3 </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组织方可以通过修改</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文件自行酌情延长</w:t>
      </w:r>
      <w:r>
        <w:rPr>
          <w:rFonts w:hint="eastAsia" w:ascii="楷体" w:hAnsi="楷体" w:eastAsia="楷体"/>
          <w:color w:val="auto"/>
          <w:sz w:val="24"/>
          <w:highlight w:val="none"/>
          <w:lang w:eastAsia="zh-CN"/>
        </w:rPr>
        <w:t>磋商响应文件提交截止时间</w:t>
      </w:r>
      <w:r>
        <w:rPr>
          <w:rFonts w:hint="eastAsia" w:ascii="楷体" w:hAnsi="楷体" w:eastAsia="楷体"/>
          <w:color w:val="auto"/>
          <w:sz w:val="24"/>
          <w:highlight w:val="none"/>
        </w:rPr>
        <w:t>，在此情况下，推迟</w:t>
      </w:r>
      <w:r>
        <w:rPr>
          <w:rFonts w:hint="eastAsia" w:ascii="楷体" w:hAnsi="楷体" w:eastAsia="楷体"/>
          <w:color w:val="auto"/>
          <w:sz w:val="24"/>
          <w:highlight w:val="none"/>
          <w:lang w:eastAsia="zh-CN"/>
        </w:rPr>
        <w:t>磋商响应文件提交截止时间</w:t>
      </w:r>
      <w:r>
        <w:rPr>
          <w:rFonts w:hint="eastAsia" w:ascii="楷体" w:hAnsi="楷体" w:eastAsia="楷体"/>
          <w:color w:val="auto"/>
          <w:sz w:val="24"/>
          <w:highlight w:val="none"/>
        </w:rPr>
        <w:t>将以书面形式告知所有领取</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文件的收受人。</w:t>
      </w:r>
    </w:p>
    <w:p w14:paraId="0BD35165">
      <w:pPr>
        <w:pStyle w:val="44"/>
        <w:numPr>
          <w:ilvl w:val="0"/>
          <w:numId w:val="4"/>
        </w:numPr>
        <w:ind w:left="425" w:leftChars="0" w:hanging="425" w:firstLineChars="0"/>
        <w:rPr>
          <w:rFonts w:hint="eastAsia" w:ascii="楷体" w:hAnsi="楷体" w:eastAsia="楷体" w:cs="楷体"/>
          <w:color w:val="auto"/>
        </w:rPr>
      </w:pPr>
      <w:bookmarkStart w:id="85" w:name="_Toc24749"/>
      <w:r>
        <w:rPr>
          <w:rFonts w:hint="eastAsia" w:ascii="楷体" w:hAnsi="楷体" w:eastAsia="楷体" w:cs="楷体"/>
          <w:color w:val="auto"/>
          <w:highlight w:val="white"/>
        </w:rPr>
        <w:t>响应文件的补充、修改或者撤回</w:t>
      </w:r>
      <w:bookmarkEnd w:id="82"/>
      <w:bookmarkEnd w:id="83"/>
      <w:bookmarkEnd w:id="85"/>
    </w:p>
    <w:p w14:paraId="167E6780">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.1 在提交截止时间前，供应商可以对所提交的响应文件进行撤回。</w:t>
      </w:r>
    </w:p>
    <w:p w14:paraId="5BC72FE2">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.2 在提交截止时间前，供应商可以对所提交的响应文件进行补充、修改或者撤回，并书面通知</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组织方。补充、修改的内容应当加盖公章，并注明“补充”、“修改”或“撤回”字样。补充、修改的内容作为响应文件的组成部分。</w:t>
      </w:r>
    </w:p>
    <w:p w14:paraId="3F4196AF">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.3 在提交截止时间之后，供应商不得对其响应文件作任何修改或撤回。</w:t>
      </w:r>
    </w:p>
    <w:p w14:paraId="779816F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.4在提交截止时间至</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文件中规定的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有效期满之间，供应商不得撤回其响应。</w:t>
      </w:r>
    </w:p>
    <w:p w14:paraId="3BC866ED">
      <w:pPr>
        <w:pStyle w:val="196"/>
        <w:keepNext/>
        <w:keepLines/>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32"/>
        </w:rPr>
      </w:pPr>
      <w:bookmarkStart w:id="86" w:name="_Toc256000029"/>
      <w:bookmarkStart w:id="87" w:name="_Toc651"/>
      <w:bookmarkStart w:id="88" w:name="_Toc73965879"/>
      <w:r>
        <w:rPr>
          <w:rFonts w:hint="eastAsia" w:ascii="楷体" w:hAnsi="楷体" w:eastAsia="楷体" w:cs="楷体"/>
          <w:color w:val="auto"/>
          <w:sz w:val="32"/>
          <w:highlight w:val="white"/>
        </w:rPr>
        <w:t>四、</w:t>
      </w:r>
      <w:r>
        <w:rPr>
          <w:rFonts w:hint="eastAsia" w:ascii="楷体" w:hAnsi="楷体" w:eastAsia="楷体" w:cs="楷体"/>
          <w:color w:val="auto"/>
          <w:sz w:val="32"/>
          <w:highlight w:val="white"/>
          <w:lang w:eastAsia="zh-CN"/>
        </w:rPr>
        <w:t>磋商</w:t>
      </w:r>
      <w:r>
        <w:rPr>
          <w:rFonts w:hint="eastAsia" w:ascii="楷体" w:hAnsi="楷体" w:eastAsia="楷体" w:cs="楷体"/>
          <w:color w:val="auto"/>
          <w:sz w:val="32"/>
          <w:highlight w:val="white"/>
        </w:rPr>
        <w:t>与评审</w:t>
      </w:r>
      <w:bookmarkEnd w:id="86"/>
      <w:bookmarkEnd w:id="87"/>
      <w:bookmarkEnd w:id="88"/>
    </w:p>
    <w:p w14:paraId="7658D28D">
      <w:pPr>
        <w:pStyle w:val="44"/>
        <w:numPr>
          <w:ilvl w:val="0"/>
          <w:numId w:val="4"/>
        </w:numPr>
        <w:ind w:left="425" w:leftChars="0" w:hanging="425" w:firstLineChars="0"/>
        <w:rPr>
          <w:rFonts w:hint="eastAsia" w:ascii="楷体" w:hAnsi="楷体" w:eastAsia="楷体" w:cs="楷体"/>
          <w:color w:val="auto"/>
        </w:rPr>
      </w:pPr>
      <w:bookmarkStart w:id="89" w:name="_Toc7630"/>
      <w:r>
        <w:rPr>
          <w:rFonts w:hint="eastAsia" w:ascii="楷体" w:hAnsi="楷体" w:eastAsia="楷体" w:cs="楷体"/>
          <w:color w:val="auto"/>
          <w:highlight w:val="white"/>
          <w:lang w:eastAsia="zh-CN"/>
        </w:rPr>
        <w:t>磋商</w:t>
      </w:r>
      <w:bookmarkEnd w:id="89"/>
    </w:p>
    <w:p w14:paraId="54675FC7">
      <w:pPr>
        <w:spacing w:line="360" w:lineRule="auto"/>
        <w:ind w:firstLine="480" w:firstLineChars="20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17</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1</w:t>
      </w:r>
      <w:r>
        <w:rPr>
          <w:rFonts w:hint="eastAsia" w:ascii="楷体" w:hAnsi="楷体" w:eastAsia="楷体" w:cs="楷体"/>
          <w:b/>
          <w:color w:val="auto"/>
          <w:sz w:val="24"/>
          <w:highlight w:val="white"/>
        </w:rPr>
        <w:t>供应商不足3家，不进入</w:t>
      </w:r>
      <w:r>
        <w:rPr>
          <w:rFonts w:hint="eastAsia" w:ascii="楷体" w:hAnsi="楷体" w:eastAsia="楷体" w:cs="楷体"/>
          <w:b/>
          <w:color w:val="auto"/>
          <w:sz w:val="24"/>
          <w:highlight w:val="white"/>
          <w:lang w:val="en-US" w:eastAsia="zh-CN"/>
        </w:rPr>
        <w:t>磋商</w:t>
      </w:r>
      <w:r>
        <w:rPr>
          <w:rFonts w:hint="eastAsia" w:ascii="楷体" w:hAnsi="楷体" w:eastAsia="楷体" w:cs="楷体"/>
          <w:b/>
          <w:color w:val="auto"/>
          <w:sz w:val="24"/>
          <w:highlight w:val="white"/>
        </w:rPr>
        <w:t>程序。</w:t>
      </w:r>
      <w:r>
        <w:rPr>
          <w:rFonts w:hint="eastAsia" w:ascii="楷体" w:hAnsi="楷体" w:eastAsia="楷体" w:cs="楷体"/>
          <w:color w:val="auto"/>
          <w:sz w:val="24"/>
          <w:highlight w:val="white"/>
        </w:rPr>
        <w:t>但《政府采购非招标采购方式管理办法》第二十七条第二款规定的情形除外。</w:t>
      </w:r>
    </w:p>
    <w:p w14:paraId="2B422E41">
      <w:pPr>
        <w:spacing w:line="360" w:lineRule="auto"/>
        <w:ind w:firstLine="480" w:firstLineChars="200"/>
        <w:rPr>
          <w:rFonts w:ascii="楷体" w:hAnsi="楷体" w:eastAsia="楷体"/>
          <w:bCs/>
          <w:color w:val="auto"/>
          <w:sz w:val="24"/>
          <w:highlight w:val="none"/>
        </w:rPr>
      </w:pPr>
      <w:r>
        <w:rPr>
          <w:rFonts w:hint="eastAsia" w:ascii="楷体" w:hAnsi="楷体" w:eastAsia="楷体"/>
          <w:color w:val="auto"/>
          <w:sz w:val="24"/>
          <w:highlight w:val="none"/>
          <w:lang w:val="en-US" w:eastAsia="zh-CN"/>
        </w:rPr>
        <w:t>17.2</w:t>
      </w:r>
      <w:r>
        <w:rPr>
          <w:rFonts w:hint="eastAsia" w:ascii="楷体" w:hAnsi="楷体" w:eastAsia="楷体"/>
          <w:bCs/>
          <w:color w:val="auto"/>
          <w:sz w:val="24"/>
          <w:highlight w:val="none"/>
          <w:lang w:eastAsia="zh-CN"/>
        </w:rPr>
        <w:t>磋商</w:t>
      </w:r>
      <w:r>
        <w:rPr>
          <w:rFonts w:hint="eastAsia" w:ascii="楷体" w:hAnsi="楷体" w:eastAsia="楷体"/>
          <w:bCs/>
          <w:color w:val="auto"/>
          <w:sz w:val="24"/>
          <w:highlight w:val="none"/>
        </w:rPr>
        <w:t>组织方将在“</w:t>
      </w:r>
      <w:r>
        <w:rPr>
          <w:rFonts w:hint="eastAsia" w:ascii="楷体" w:hAnsi="楷体" w:eastAsia="楷体"/>
          <w:bCs/>
          <w:color w:val="auto"/>
          <w:sz w:val="24"/>
          <w:highlight w:val="none"/>
          <w:lang w:eastAsia="zh-CN"/>
        </w:rPr>
        <w:t>磋商</w:t>
      </w:r>
      <w:r>
        <w:rPr>
          <w:rFonts w:hint="eastAsia" w:ascii="楷体" w:hAnsi="楷体" w:eastAsia="楷体"/>
          <w:bCs/>
          <w:color w:val="auto"/>
          <w:sz w:val="24"/>
          <w:highlight w:val="none"/>
        </w:rPr>
        <w:t>文件”中规定的时间和地点进行</w:t>
      </w:r>
      <w:r>
        <w:rPr>
          <w:rFonts w:hint="eastAsia" w:ascii="楷体" w:hAnsi="楷体" w:eastAsia="楷体"/>
          <w:bCs/>
          <w:color w:val="auto"/>
          <w:sz w:val="24"/>
          <w:highlight w:val="none"/>
          <w:lang w:eastAsia="zh-CN"/>
        </w:rPr>
        <w:t>磋商</w:t>
      </w:r>
      <w:r>
        <w:rPr>
          <w:rFonts w:hint="eastAsia" w:ascii="楷体" w:hAnsi="楷体" w:eastAsia="楷体"/>
          <w:bCs/>
          <w:color w:val="auto"/>
          <w:sz w:val="24"/>
          <w:highlight w:val="none"/>
        </w:rPr>
        <w:t>活动。供应商须由法定代表人或其授权委托代理人（</w:t>
      </w:r>
      <w:r>
        <w:rPr>
          <w:rFonts w:hint="eastAsia" w:ascii="楷体" w:hAnsi="楷体" w:eastAsia="楷体"/>
          <w:b/>
          <w:bCs/>
          <w:color w:val="auto"/>
          <w:sz w:val="24"/>
          <w:highlight w:val="none"/>
          <w:u w:val="single"/>
        </w:rPr>
        <w:t>具法人授权委托书</w:t>
      </w:r>
      <w:r>
        <w:rPr>
          <w:rFonts w:hint="eastAsia" w:ascii="楷体" w:hAnsi="楷体" w:eastAsia="楷体"/>
          <w:bCs/>
          <w:color w:val="auto"/>
          <w:sz w:val="24"/>
          <w:highlight w:val="none"/>
        </w:rPr>
        <w:t>）准时参加</w:t>
      </w:r>
      <w:r>
        <w:rPr>
          <w:rFonts w:hint="eastAsia" w:ascii="楷体" w:hAnsi="楷体" w:eastAsia="楷体"/>
          <w:bCs/>
          <w:color w:val="auto"/>
          <w:sz w:val="24"/>
          <w:highlight w:val="none"/>
          <w:lang w:eastAsia="zh-CN"/>
        </w:rPr>
        <w:t>磋商</w:t>
      </w:r>
      <w:r>
        <w:rPr>
          <w:rFonts w:hint="eastAsia" w:ascii="楷体" w:hAnsi="楷体" w:eastAsia="楷体"/>
          <w:bCs/>
          <w:color w:val="auto"/>
          <w:sz w:val="24"/>
          <w:highlight w:val="none"/>
        </w:rPr>
        <w:t>会议，并签字报到以证明其出席（</w:t>
      </w:r>
      <w:r>
        <w:rPr>
          <w:rFonts w:hint="eastAsia" w:ascii="楷体" w:hAnsi="楷体" w:eastAsia="楷体"/>
          <w:b/>
          <w:bCs/>
          <w:color w:val="auto"/>
          <w:sz w:val="24"/>
          <w:highlight w:val="none"/>
          <w:u w:val="single"/>
        </w:rPr>
        <w:t>须随身携带居民身份证，以确定其身份</w:t>
      </w:r>
      <w:r>
        <w:rPr>
          <w:rFonts w:hint="eastAsia" w:ascii="楷体" w:hAnsi="楷体" w:eastAsia="楷体"/>
          <w:bCs/>
          <w:color w:val="auto"/>
          <w:sz w:val="24"/>
          <w:highlight w:val="none"/>
        </w:rPr>
        <w:t>）。</w:t>
      </w:r>
    </w:p>
    <w:p w14:paraId="30D5B227">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en-US" w:eastAsia="zh-CN"/>
        </w:rPr>
        <w:t>17.3</w:t>
      </w:r>
      <w:r>
        <w:rPr>
          <w:rFonts w:hint="eastAsia" w:ascii="楷体" w:hAnsi="楷体" w:eastAsia="楷体"/>
          <w:color w:val="auto"/>
          <w:sz w:val="24"/>
          <w:highlight w:val="none"/>
        </w:rPr>
        <w:t xml:space="preserve"> 按照本项目须知条款第</w:t>
      </w:r>
      <w:r>
        <w:rPr>
          <w:rFonts w:hint="eastAsia" w:ascii="楷体" w:hAnsi="楷体" w:eastAsia="楷体"/>
          <w:color w:val="auto"/>
          <w:sz w:val="24"/>
          <w:highlight w:val="none"/>
          <w:lang w:val="en-US" w:eastAsia="zh-CN"/>
        </w:rPr>
        <w:t>16</w:t>
      </w:r>
      <w:r>
        <w:rPr>
          <w:rFonts w:hint="eastAsia" w:ascii="楷体" w:hAnsi="楷体" w:eastAsia="楷体"/>
          <w:color w:val="auto"/>
          <w:sz w:val="24"/>
          <w:highlight w:val="none"/>
        </w:rPr>
        <w:t>条规定，同意撤回的</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响应文件将不予开封。</w:t>
      </w:r>
    </w:p>
    <w:p w14:paraId="37B048EF">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en-US" w:eastAsia="zh-CN"/>
        </w:rPr>
        <w:t>17.4</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时，由供应商或者其推选的代表检查</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响应文件的密封情况，当众宣读供应商登记顺序号、及供应商名称。</w:t>
      </w:r>
    </w:p>
    <w:p w14:paraId="4B307A05">
      <w:pPr>
        <w:spacing w:line="360" w:lineRule="auto"/>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en-US" w:eastAsia="zh-CN"/>
        </w:rPr>
        <w:t>17</w:t>
      </w:r>
      <w:r>
        <w:rPr>
          <w:rFonts w:hint="eastAsia" w:ascii="楷体" w:hAnsi="楷体" w:eastAsia="楷体"/>
          <w:color w:val="auto"/>
          <w:sz w:val="24"/>
          <w:highlight w:val="none"/>
        </w:rPr>
        <w:t xml:space="preserve">.5 </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文件由</w:t>
      </w:r>
      <w:r>
        <w:rPr>
          <w:rFonts w:hint="eastAsia" w:ascii="楷体" w:hAnsi="楷体" w:eastAsia="楷体"/>
          <w:color w:val="auto"/>
          <w:sz w:val="24"/>
          <w:highlight w:val="none"/>
          <w:lang w:eastAsia="zh-CN"/>
        </w:rPr>
        <w:t>磋商</w:t>
      </w:r>
      <w:r>
        <w:rPr>
          <w:rFonts w:hint="eastAsia" w:ascii="楷体" w:hAnsi="楷体" w:eastAsia="楷体"/>
          <w:color w:val="auto"/>
          <w:sz w:val="24"/>
          <w:highlight w:val="none"/>
        </w:rPr>
        <w:t>小组确认并出具书面意见。</w:t>
      </w:r>
    </w:p>
    <w:p w14:paraId="719E7036">
      <w:pPr>
        <w:spacing w:line="360" w:lineRule="auto"/>
        <w:ind w:left="1" w:firstLine="480"/>
        <w:rPr>
          <w:rFonts w:hint="eastAsia" w:ascii="楷体" w:hAnsi="楷体" w:eastAsia="楷体" w:cs="楷体"/>
          <w:color w:val="auto"/>
          <w:sz w:val="24"/>
        </w:rPr>
      </w:pPr>
      <w:r>
        <w:rPr>
          <w:rFonts w:hint="eastAsia" w:ascii="楷体" w:hAnsi="楷体" w:eastAsia="楷体" w:cs="楷体"/>
          <w:color w:val="auto"/>
          <w:sz w:val="24"/>
          <w:highlight w:val="white"/>
          <w:lang w:eastAsia="zh-CN"/>
        </w:rPr>
        <w:t>17</w:t>
      </w:r>
      <w:r>
        <w:rPr>
          <w:rFonts w:hint="eastAsia" w:ascii="楷体" w:hAnsi="楷体" w:eastAsia="楷体" w:cs="楷体"/>
          <w:color w:val="auto"/>
          <w:sz w:val="24"/>
          <w:highlight w:val="white"/>
        </w:rPr>
        <w:t>.6 供应商须配合</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工作，否则自行承担后果。</w:t>
      </w:r>
    </w:p>
    <w:p w14:paraId="394B5FAE">
      <w:pPr>
        <w:pStyle w:val="44"/>
        <w:numPr>
          <w:ilvl w:val="0"/>
          <w:numId w:val="4"/>
        </w:numPr>
        <w:ind w:left="425" w:leftChars="0" w:hanging="425" w:firstLineChars="0"/>
        <w:rPr>
          <w:rFonts w:hint="eastAsia" w:ascii="楷体" w:hAnsi="楷体" w:eastAsia="楷体" w:cs="楷体"/>
          <w:color w:val="auto"/>
          <w:highlight w:val="white"/>
        </w:rPr>
      </w:pPr>
      <w:bookmarkStart w:id="90" w:name="_Toc73965881"/>
      <w:bookmarkStart w:id="91" w:name="_Toc25381"/>
      <w:bookmarkStart w:id="92" w:name="_Toc256000031"/>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小组组成</w:t>
      </w:r>
      <w:bookmarkEnd w:id="90"/>
      <w:bookmarkEnd w:id="91"/>
      <w:bookmarkEnd w:id="92"/>
    </w:p>
    <w:p w14:paraId="0EF48BE4">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val="en-US" w:eastAsia="zh-CN"/>
        </w:rPr>
        <w:t>8</w:t>
      </w: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小组将由采购人代表和评审专家组成，成员人数为3人或3人以上单数。</w:t>
      </w:r>
    </w:p>
    <w:p w14:paraId="02D03D15">
      <w:pPr>
        <w:pStyle w:val="44"/>
        <w:numPr>
          <w:ilvl w:val="0"/>
          <w:numId w:val="4"/>
        </w:numPr>
        <w:ind w:left="425" w:leftChars="0" w:hanging="425" w:firstLineChars="0"/>
        <w:rPr>
          <w:rFonts w:hint="eastAsia" w:ascii="楷体" w:hAnsi="楷体" w:eastAsia="楷体" w:cs="楷体"/>
          <w:color w:val="auto"/>
        </w:rPr>
      </w:pPr>
      <w:bookmarkStart w:id="93" w:name="_Toc16559"/>
      <w:bookmarkStart w:id="94" w:name="_Toc73965882"/>
      <w:bookmarkStart w:id="95" w:name="_Toc256000032"/>
      <w:r>
        <w:rPr>
          <w:rFonts w:hint="eastAsia" w:ascii="楷体" w:hAnsi="楷体" w:eastAsia="楷体" w:cs="楷体"/>
          <w:color w:val="auto"/>
          <w:highlight w:val="white"/>
        </w:rPr>
        <w:t>无效</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的情形</w:t>
      </w:r>
      <w:bookmarkEnd w:id="93"/>
      <w:bookmarkEnd w:id="94"/>
      <w:bookmarkEnd w:id="95"/>
    </w:p>
    <w:p w14:paraId="5C9AA52C">
      <w:pPr>
        <w:spacing w:line="360" w:lineRule="auto"/>
        <w:ind w:left="1" w:firstLine="480"/>
        <w:rPr>
          <w:rFonts w:hint="eastAsia" w:ascii="楷体" w:hAnsi="楷体" w:eastAsia="楷体" w:cs="楷体"/>
          <w:color w:val="auto"/>
          <w:sz w:val="24"/>
        </w:rPr>
      </w:pPr>
      <w:r>
        <w:rPr>
          <w:rFonts w:hint="eastAsia" w:ascii="楷体" w:hAnsi="楷体" w:eastAsia="楷体" w:cs="楷体"/>
          <w:color w:val="auto"/>
          <w:sz w:val="24"/>
          <w:highlight w:val="white"/>
        </w:rPr>
        <w:t>供应商存在下列情况之一的，其</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无效：</w:t>
      </w:r>
    </w:p>
    <w:p w14:paraId="419938AC">
      <w:pPr>
        <w:spacing w:line="360" w:lineRule="auto"/>
        <w:ind w:firstLine="482"/>
        <w:rPr>
          <w:rFonts w:hint="eastAsia" w:ascii="楷体" w:hAnsi="楷体" w:eastAsia="楷体" w:cs="楷体"/>
          <w:b/>
          <w:color w:val="auto"/>
          <w:sz w:val="24"/>
          <w:u w:val="single"/>
        </w:rPr>
      </w:pPr>
      <w:bookmarkStart w:id="96" w:name="_Toc73965883"/>
      <w:bookmarkStart w:id="97" w:name="_Toc256000033"/>
      <w:r>
        <w:rPr>
          <w:rFonts w:hint="eastAsia" w:ascii="楷体" w:hAnsi="楷体" w:eastAsia="楷体" w:cs="楷体"/>
          <w:b/>
          <w:color w:val="auto"/>
          <w:sz w:val="24"/>
          <w:highlight w:val="white"/>
          <w:u w:val="single"/>
        </w:rPr>
        <w:t>（1）响应文件未按</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文件要求签署、盖章的；</w:t>
      </w:r>
    </w:p>
    <w:p w14:paraId="2664A12D">
      <w:pPr>
        <w:spacing w:line="360" w:lineRule="auto"/>
        <w:ind w:firstLine="482"/>
        <w:rPr>
          <w:rFonts w:hint="eastAsia" w:ascii="楷体" w:hAnsi="楷体" w:eastAsia="楷体" w:cs="楷体"/>
          <w:b/>
          <w:color w:val="auto"/>
          <w:sz w:val="24"/>
          <w:u w:val="single"/>
        </w:rPr>
      </w:pPr>
      <w:r>
        <w:rPr>
          <w:rFonts w:hint="eastAsia" w:ascii="楷体" w:hAnsi="楷体" w:eastAsia="楷体" w:cs="楷体"/>
          <w:b/>
          <w:color w:val="auto"/>
          <w:sz w:val="24"/>
          <w:highlight w:val="white"/>
          <w:u w:val="single"/>
        </w:rPr>
        <w:t>（2）不具备</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文件中规定的资格要求的；</w:t>
      </w:r>
    </w:p>
    <w:p w14:paraId="16D932F0">
      <w:pPr>
        <w:spacing w:line="360" w:lineRule="auto"/>
        <w:ind w:left="1" w:firstLine="482"/>
        <w:rPr>
          <w:rFonts w:hint="eastAsia" w:ascii="楷体" w:hAnsi="楷体" w:eastAsia="楷体" w:cs="楷体"/>
          <w:b/>
          <w:color w:val="auto"/>
          <w:sz w:val="24"/>
          <w:u w:val="single"/>
        </w:rPr>
      </w:pPr>
      <w:r>
        <w:rPr>
          <w:rFonts w:hint="eastAsia" w:ascii="楷体" w:hAnsi="楷体" w:eastAsia="楷体" w:cs="楷体"/>
          <w:b/>
          <w:color w:val="auto"/>
          <w:sz w:val="24"/>
          <w:highlight w:val="white"/>
          <w:u w:val="single"/>
        </w:rPr>
        <w:t>（3）在</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过程中未对</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内容作出实质性变更、修改的情况下，首轮报价或最终报价超过</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文件中规定的预算金额或最高限价的；</w:t>
      </w:r>
    </w:p>
    <w:p w14:paraId="14F92E58">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（4）供应商未在</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小组规定的时间内完成最后报价的视为放弃报价，自动退出此次</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，其响应按无效响应处理，不参与后续的项目流程。</w:t>
      </w:r>
    </w:p>
    <w:p w14:paraId="6308B1E5">
      <w:pPr>
        <w:spacing w:line="360" w:lineRule="auto"/>
        <w:ind w:left="1" w:firstLine="482"/>
        <w:rPr>
          <w:rFonts w:hint="eastAsia" w:ascii="楷体" w:hAnsi="楷体" w:eastAsia="楷体" w:cs="楷体"/>
          <w:b/>
          <w:color w:val="auto"/>
          <w:sz w:val="24"/>
          <w:u w:val="single"/>
        </w:rPr>
      </w:pPr>
      <w:r>
        <w:rPr>
          <w:rFonts w:hint="eastAsia" w:ascii="楷体" w:hAnsi="楷体" w:eastAsia="楷体" w:cs="楷体"/>
          <w:b/>
          <w:color w:val="auto"/>
          <w:sz w:val="24"/>
          <w:highlight w:val="white"/>
          <w:u w:val="single"/>
        </w:rPr>
        <w:t>（5）响应文件含有采购人不能接受的附加条件的;</w:t>
      </w:r>
    </w:p>
    <w:p w14:paraId="5250FE35">
      <w:pPr>
        <w:spacing w:line="360" w:lineRule="auto"/>
        <w:ind w:firstLine="482"/>
        <w:rPr>
          <w:rFonts w:hint="eastAsia" w:ascii="楷体" w:hAnsi="楷体" w:eastAsia="楷体" w:cs="楷体"/>
          <w:b/>
          <w:color w:val="auto"/>
          <w:sz w:val="24"/>
          <w:u w:val="single"/>
        </w:rPr>
      </w:pPr>
      <w:r>
        <w:rPr>
          <w:rFonts w:hint="eastAsia" w:ascii="楷体" w:hAnsi="楷体" w:eastAsia="楷体" w:cs="楷体"/>
          <w:b/>
          <w:color w:val="auto"/>
          <w:sz w:val="24"/>
          <w:highlight w:val="white"/>
          <w:u w:val="single"/>
        </w:rPr>
        <w:t>（6）不符合法律、法规和</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文件规定的其它实质性条款（须经</w:t>
      </w:r>
      <w:r>
        <w:rPr>
          <w:rFonts w:hint="eastAsia" w:ascii="楷体" w:hAnsi="楷体" w:eastAsia="楷体" w:cs="楷体"/>
          <w:b/>
          <w:color w:val="auto"/>
          <w:sz w:val="24"/>
          <w:highlight w:val="white"/>
          <w:u w:val="single"/>
          <w:lang w:eastAsia="zh-CN"/>
        </w:rPr>
        <w:t>磋商</w:t>
      </w:r>
      <w:r>
        <w:rPr>
          <w:rFonts w:hint="eastAsia" w:ascii="楷体" w:hAnsi="楷体" w:eastAsia="楷体" w:cs="楷体"/>
          <w:b/>
          <w:color w:val="auto"/>
          <w:sz w:val="24"/>
          <w:highlight w:val="white"/>
          <w:u w:val="single"/>
        </w:rPr>
        <w:t>小组半数以上同意）；</w:t>
      </w:r>
    </w:p>
    <w:p w14:paraId="22A664B2">
      <w:pPr>
        <w:spacing w:line="360" w:lineRule="auto"/>
        <w:ind w:left="1" w:firstLine="482"/>
        <w:rPr>
          <w:rFonts w:hint="eastAsia" w:ascii="楷体" w:hAnsi="楷体" w:eastAsia="楷体" w:cs="楷体"/>
          <w:b/>
          <w:color w:val="auto"/>
          <w:sz w:val="24"/>
          <w:highlight w:val="white"/>
          <w:u w:val="single"/>
        </w:rPr>
      </w:pPr>
      <w:bookmarkStart w:id="98" w:name="EB1a6133a9061749489c10f63f90f17fb6"/>
      <w:r>
        <w:rPr>
          <w:rFonts w:hint="eastAsia" w:ascii="楷体" w:hAnsi="楷体" w:eastAsia="楷体" w:cs="楷体"/>
          <w:b/>
          <w:color w:val="auto"/>
          <w:sz w:val="24"/>
          <w:highlight w:val="white"/>
          <w:u w:val="single"/>
        </w:rPr>
        <w:t xml:space="preserve">（7）如有委托代理人，未提供供应商为其缴纳社保证明材料的； </w:t>
      </w:r>
    </w:p>
    <w:p w14:paraId="2A5B3A14">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 xml:space="preserve">（8）供应商未通过符合性审查的； </w:t>
      </w:r>
    </w:p>
    <w:p w14:paraId="383A1D8B">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 xml:space="preserve">（9）单位负责人为同一人或者存在直接控股、管理关系的不同供应商参加同一合同项下的政府采购活动的； </w:t>
      </w:r>
    </w:p>
    <w:p w14:paraId="6C325CA1">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（10）</w:t>
      </w:r>
      <w:r>
        <w:rPr>
          <w:rFonts w:hint="eastAsia" w:ascii="楷体" w:hAnsi="楷体" w:eastAsia="楷体" w:cs="楷体"/>
          <w:b/>
          <w:color w:val="auto"/>
          <w:sz w:val="24"/>
          <w:highlight w:val="white"/>
          <w:u w:val="single"/>
          <w:lang w:val="en-US" w:eastAsia="zh-CN"/>
        </w:rPr>
        <w:t>磋商小组</w:t>
      </w:r>
      <w:r>
        <w:rPr>
          <w:rFonts w:hint="eastAsia" w:ascii="楷体" w:hAnsi="楷体" w:eastAsia="楷体" w:cs="楷体"/>
          <w:b/>
          <w:color w:val="auto"/>
          <w:sz w:val="24"/>
          <w:highlight w:val="white"/>
          <w:u w:val="single"/>
        </w:rPr>
        <w:t>认为供应商的报价明显低于其他通过符合性审查供应商的报价，有可能影响</w:t>
      </w:r>
      <w:r>
        <w:rPr>
          <w:rFonts w:hint="eastAsia" w:ascii="楷体" w:hAnsi="楷体" w:eastAsia="楷体" w:cs="楷体"/>
          <w:b/>
          <w:color w:val="auto"/>
          <w:sz w:val="24"/>
          <w:highlight w:val="white"/>
          <w:u w:val="single"/>
          <w:lang w:val="en-US" w:eastAsia="zh-CN"/>
        </w:rPr>
        <w:t>工程</w:t>
      </w:r>
      <w:r>
        <w:rPr>
          <w:rFonts w:hint="eastAsia" w:ascii="楷体" w:hAnsi="楷体" w:eastAsia="楷体" w:cs="楷体"/>
          <w:b/>
          <w:color w:val="auto"/>
          <w:sz w:val="24"/>
          <w:highlight w:val="white"/>
          <w:u w:val="single"/>
        </w:rPr>
        <w:t>（</w:t>
      </w:r>
      <w:r>
        <w:rPr>
          <w:rFonts w:hint="eastAsia" w:ascii="楷体" w:hAnsi="楷体" w:eastAsia="楷体" w:cs="楷体"/>
          <w:b/>
          <w:color w:val="auto"/>
          <w:sz w:val="24"/>
          <w:highlight w:val="white"/>
          <w:u w:val="single"/>
          <w:lang w:val="en-US" w:eastAsia="zh-CN"/>
        </w:rPr>
        <w:t>货物或</w:t>
      </w:r>
      <w:r>
        <w:rPr>
          <w:rFonts w:hint="eastAsia" w:ascii="楷体" w:hAnsi="楷体" w:eastAsia="楷体" w:cs="楷体"/>
          <w:b/>
          <w:color w:val="auto"/>
          <w:sz w:val="24"/>
          <w:highlight w:val="white"/>
          <w:u w:val="single"/>
        </w:rPr>
        <w:t xml:space="preserve">服务）质量或者不能诚信履约，且不能提供相关材料证明其报价合理性的； </w:t>
      </w:r>
    </w:p>
    <w:p w14:paraId="188F699E">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 xml:space="preserve">（11）供应商被“信用中国”网站（www.creditchina.gov.cn）、中国政府采购网（www.ccgp.gov.cn）列入失信被执行人、重大税收违法案件当事人名单、政府采购严重违法失信行为记录名单的； </w:t>
      </w:r>
    </w:p>
    <w:p w14:paraId="19B63704">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（12）技术部分负偏离程度过大或过多，经</w:t>
      </w:r>
      <w:r>
        <w:rPr>
          <w:rFonts w:hint="eastAsia" w:ascii="楷体" w:hAnsi="楷体" w:eastAsia="楷体" w:cs="楷体"/>
          <w:b/>
          <w:color w:val="auto"/>
          <w:sz w:val="24"/>
          <w:highlight w:val="white"/>
          <w:u w:val="single"/>
          <w:lang w:val="en-US" w:eastAsia="zh-CN"/>
        </w:rPr>
        <w:t>磋商小组</w:t>
      </w:r>
      <w:r>
        <w:rPr>
          <w:rFonts w:hint="eastAsia" w:ascii="楷体" w:hAnsi="楷体" w:eastAsia="楷体" w:cs="楷体"/>
          <w:b/>
          <w:color w:val="auto"/>
          <w:sz w:val="24"/>
          <w:highlight w:val="white"/>
          <w:u w:val="single"/>
        </w:rPr>
        <w:t>认定影响采购人实际使用的；</w:t>
      </w:r>
    </w:p>
    <w:p w14:paraId="5F9B446C">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 xml:space="preserve">（13）供应商存在串通响应情形的； </w:t>
      </w:r>
    </w:p>
    <w:p w14:paraId="1B606DF6">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 xml:space="preserve">（14）供应商在报价时采用选择性报价的； </w:t>
      </w:r>
    </w:p>
    <w:p w14:paraId="3B18F75D">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（1</w:t>
      </w:r>
      <w:r>
        <w:rPr>
          <w:rFonts w:hint="eastAsia" w:ascii="楷体" w:hAnsi="楷体" w:eastAsia="楷体" w:cs="楷体"/>
          <w:b/>
          <w:color w:val="auto"/>
          <w:sz w:val="24"/>
          <w:highlight w:val="white"/>
          <w:u w:val="single"/>
          <w:lang w:val="en-US" w:eastAsia="zh-CN"/>
        </w:rPr>
        <w:t>5</w:t>
      </w:r>
      <w:r>
        <w:rPr>
          <w:rFonts w:hint="eastAsia" w:ascii="楷体" w:hAnsi="楷体" w:eastAsia="楷体" w:cs="楷体"/>
          <w:b/>
          <w:color w:val="auto"/>
          <w:sz w:val="24"/>
          <w:highlight w:val="white"/>
          <w:u w:val="single"/>
        </w:rPr>
        <w:t xml:space="preserve">）响应文件中提供了虚假或失实资料的； </w:t>
      </w:r>
    </w:p>
    <w:p w14:paraId="2C9FFCFA">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（1</w:t>
      </w:r>
      <w:r>
        <w:rPr>
          <w:rFonts w:hint="eastAsia" w:ascii="楷体" w:hAnsi="楷体" w:eastAsia="楷体" w:cs="楷体"/>
          <w:b/>
          <w:color w:val="auto"/>
          <w:sz w:val="24"/>
          <w:highlight w:val="white"/>
          <w:u w:val="single"/>
          <w:lang w:val="en-US" w:eastAsia="zh-CN"/>
        </w:rPr>
        <w:t>6</w:t>
      </w:r>
      <w:r>
        <w:rPr>
          <w:rFonts w:hint="eastAsia" w:ascii="楷体" w:hAnsi="楷体" w:eastAsia="楷体" w:cs="楷体"/>
          <w:b/>
          <w:color w:val="auto"/>
          <w:sz w:val="24"/>
          <w:highlight w:val="white"/>
          <w:u w:val="single"/>
        </w:rPr>
        <w:t>）《中小企业声明函》填写不实的</w:t>
      </w:r>
      <w:bookmarkEnd w:id="98"/>
      <w:r>
        <w:rPr>
          <w:rFonts w:hint="eastAsia" w:ascii="楷体" w:hAnsi="楷体" w:eastAsia="楷体" w:cs="楷体"/>
          <w:b/>
          <w:color w:val="auto"/>
          <w:sz w:val="24"/>
          <w:highlight w:val="white"/>
          <w:u w:val="single"/>
        </w:rPr>
        <w:t>。</w:t>
      </w:r>
    </w:p>
    <w:p w14:paraId="4DE62AC2">
      <w:pPr>
        <w:spacing w:line="360" w:lineRule="auto"/>
        <w:ind w:left="1" w:firstLine="482"/>
        <w:rPr>
          <w:rFonts w:hint="eastAsia" w:ascii="楷体" w:hAnsi="楷体" w:eastAsia="楷体" w:cs="楷体"/>
          <w:b/>
          <w:color w:val="auto"/>
          <w:sz w:val="24"/>
          <w:highlight w:val="white"/>
          <w:u w:val="single"/>
        </w:rPr>
      </w:pPr>
      <w:r>
        <w:rPr>
          <w:rFonts w:hint="eastAsia" w:ascii="楷体" w:hAnsi="楷体" w:eastAsia="楷体" w:cs="楷体"/>
          <w:b/>
          <w:color w:val="auto"/>
          <w:sz w:val="24"/>
          <w:highlight w:val="white"/>
          <w:u w:val="single"/>
        </w:rPr>
        <w:t>（1</w:t>
      </w:r>
      <w:r>
        <w:rPr>
          <w:rFonts w:hint="eastAsia" w:ascii="楷体" w:hAnsi="楷体" w:eastAsia="楷体" w:cs="楷体"/>
          <w:b/>
          <w:color w:val="auto"/>
          <w:sz w:val="24"/>
          <w:highlight w:val="white"/>
          <w:u w:val="single"/>
          <w:lang w:val="en-US" w:eastAsia="zh-CN"/>
        </w:rPr>
        <w:t>7</w:t>
      </w:r>
      <w:r>
        <w:rPr>
          <w:rFonts w:hint="eastAsia" w:ascii="楷体" w:hAnsi="楷体" w:eastAsia="楷体" w:cs="楷体"/>
          <w:b/>
          <w:color w:val="auto"/>
          <w:sz w:val="24"/>
          <w:highlight w:val="white"/>
          <w:u w:val="single"/>
        </w:rPr>
        <w:t>）法律、法规、规章（适用本市的）及省级以上规范性文件（适用本市的）规定的其他无效情形。</w:t>
      </w:r>
    </w:p>
    <w:p w14:paraId="5452FB43">
      <w:pPr>
        <w:pStyle w:val="44"/>
        <w:numPr>
          <w:ilvl w:val="0"/>
          <w:numId w:val="4"/>
        </w:numPr>
        <w:ind w:left="425" w:leftChars="0" w:hanging="425" w:firstLineChars="0"/>
        <w:rPr>
          <w:rFonts w:hint="eastAsia" w:ascii="楷体" w:hAnsi="楷体" w:eastAsia="楷体" w:cs="楷体"/>
          <w:color w:val="auto"/>
        </w:rPr>
      </w:pPr>
      <w:bookmarkStart w:id="99" w:name="_Toc1680"/>
      <w:r>
        <w:rPr>
          <w:rFonts w:hint="eastAsia" w:ascii="楷体" w:hAnsi="楷体" w:eastAsia="楷体" w:cs="楷体"/>
          <w:color w:val="auto"/>
          <w:highlight w:val="white"/>
        </w:rPr>
        <w:t>串通</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的情形</w:t>
      </w:r>
      <w:bookmarkEnd w:id="96"/>
      <w:bookmarkEnd w:id="97"/>
      <w:bookmarkEnd w:id="99"/>
    </w:p>
    <w:p w14:paraId="513CBA91">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有下列情形之一的，视为供应商串通</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无效：</w:t>
      </w:r>
    </w:p>
    <w:p w14:paraId="72667503">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（1）不同供应商的响应文件由同一单位或者个人编制；</w:t>
      </w:r>
    </w:p>
    <w:p w14:paraId="056118A6">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（2）不同供应商委托同一单位或者个人办理</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事宜；</w:t>
      </w:r>
    </w:p>
    <w:p w14:paraId="53148C87">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（3）不同供应商的响应文件载明的项目管理成员或者联系人员为同一人；</w:t>
      </w:r>
    </w:p>
    <w:p w14:paraId="1162735C">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（4）不同供应商的响应文件异常一致或者</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报价呈规律性差异；</w:t>
      </w:r>
    </w:p>
    <w:p w14:paraId="5692825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（5）不同供应商的响应文件相互混装。</w:t>
      </w:r>
    </w:p>
    <w:p w14:paraId="5F1EF8BB">
      <w:pPr>
        <w:pStyle w:val="44"/>
        <w:numPr>
          <w:ilvl w:val="0"/>
          <w:numId w:val="4"/>
        </w:numPr>
        <w:ind w:left="425" w:leftChars="0" w:hanging="425" w:firstLineChars="0"/>
        <w:rPr>
          <w:rFonts w:hint="eastAsia" w:ascii="楷体" w:hAnsi="楷体" w:eastAsia="楷体" w:cs="楷体"/>
          <w:color w:val="auto"/>
        </w:rPr>
      </w:pPr>
      <w:bookmarkStart w:id="100" w:name="_Toc9183"/>
      <w:bookmarkStart w:id="101" w:name="_Toc73965884"/>
      <w:bookmarkStart w:id="102" w:name="_Toc256000034"/>
      <w:r>
        <w:rPr>
          <w:rFonts w:hint="eastAsia" w:ascii="楷体" w:hAnsi="楷体" w:eastAsia="楷体" w:cs="楷体"/>
          <w:color w:val="auto"/>
          <w:highlight w:val="white"/>
        </w:rPr>
        <w:t>响应文件的澄清</w:t>
      </w:r>
      <w:bookmarkEnd w:id="100"/>
      <w:bookmarkEnd w:id="101"/>
      <w:bookmarkEnd w:id="102"/>
    </w:p>
    <w:p w14:paraId="50CA9691">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.1供应商应根据</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小组要求对相关问题进行澄清、说明或者补正，并加盖公章。供应商的澄清、说明或者补正不得超出响应文件的范围或者改变响应文件的实质性内容。</w:t>
      </w:r>
      <w:bookmarkStart w:id="103" w:name="EBc417025c9aca45c5a1513c0af21ff85e"/>
      <w:r>
        <w:rPr>
          <w:rFonts w:hint="eastAsia" w:ascii="楷体" w:hAnsi="楷体" w:eastAsia="楷体" w:cs="楷体"/>
          <w:color w:val="auto"/>
          <w:sz w:val="20"/>
          <w:highlight w:val="white"/>
        </w:rPr>
        <w:t xml:space="preserve"> </w:t>
      </w:r>
      <w:bookmarkEnd w:id="103"/>
    </w:p>
    <w:p w14:paraId="27D437D7">
      <w:pPr>
        <w:pStyle w:val="44"/>
        <w:numPr>
          <w:ilvl w:val="0"/>
          <w:numId w:val="4"/>
        </w:numPr>
        <w:ind w:left="425" w:leftChars="0" w:hanging="425" w:firstLineChars="0"/>
        <w:rPr>
          <w:rFonts w:hint="eastAsia" w:ascii="楷体" w:hAnsi="楷体" w:eastAsia="楷体" w:cs="楷体"/>
          <w:color w:val="auto"/>
        </w:rPr>
      </w:pPr>
      <w:bookmarkStart w:id="104" w:name="_Toc256000035"/>
      <w:bookmarkStart w:id="105" w:name="_Toc8143"/>
      <w:bookmarkStart w:id="106" w:name="_Toc73965885"/>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内容</w:t>
      </w:r>
      <w:bookmarkEnd w:id="104"/>
      <w:bookmarkEnd w:id="105"/>
      <w:bookmarkEnd w:id="106"/>
    </w:p>
    <w:p w14:paraId="602406D0">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22</w:t>
      </w: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小组与符合条件的供应商就</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文件中的技术、服务要求及合同草案条款等进行</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w:t>
      </w:r>
    </w:p>
    <w:p w14:paraId="7F0F26E7">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22</w:t>
      </w:r>
      <w:r>
        <w:rPr>
          <w:rFonts w:hint="eastAsia" w:ascii="楷体" w:hAnsi="楷体" w:eastAsia="楷体" w:cs="楷体"/>
          <w:color w:val="auto"/>
          <w:sz w:val="24"/>
          <w:highlight w:val="white"/>
        </w:rPr>
        <w:t>.2在</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过程中，</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小组可以根据</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文件和</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情况实质性变动采购需求中的技术、服务要求以及合同草案条款，但不得变动</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文件中的其他内容。实质性变动的内容，须经采购人代表书面确认后进行。</w:t>
      </w:r>
    </w:p>
    <w:p w14:paraId="0AC3C005">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根据</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文件和</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情况作出的实质性变动是</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文件的有效组成部分，</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小组将及时以书面形式同时通知所有参加</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的供应商。</w:t>
      </w:r>
    </w:p>
    <w:p w14:paraId="6FAD015F">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供应商应当按照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文件的变动情况和</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小组的要求重新提交响应文件，并由其法定代表人或授权委托代理人签字或者加盖公章。由授权委托代理人签字的，应当附法定代表人授权书。</w:t>
      </w:r>
    </w:p>
    <w:p w14:paraId="485339FE">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22</w:t>
      </w:r>
      <w:r>
        <w:rPr>
          <w:rFonts w:hint="eastAsia" w:ascii="楷体" w:hAnsi="楷体" w:eastAsia="楷体" w:cs="楷体"/>
          <w:color w:val="auto"/>
          <w:sz w:val="24"/>
          <w:highlight w:val="white"/>
        </w:rPr>
        <w:t>.3已提交响应文件的供应商，由于</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小组实质性变动采购需求中的技术、服务要求以及合同草案条款，在提交最后报价之前，可以根据</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情况退出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。若采购需求未发生实质性变动，供应商不得退出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w:t>
      </w:r>
    </w:p>
    <w:p w14:paraId="5ED7AC80">
      <w:pPr>
        <w:pStyle w:val="44"/>
        <w:numPr>
          <w:ilvl w:val="0"/>
          <w:numId w:val="4"/>
        </w:numPr>
        <w:ind w:left="425" w:leftChars="0" w:hanging="425" w:firstLineChars="0"/>
        <w:rPr>
          <w:rFonts w:hint="eastAsia" w:ascii="楷体" w:hAnsi="楷体" w:eastAsia="楷体" w:cs="楷体"/>
          <w:color w:val="auto"/>
        </w:rPr>
      </w:pPr>
      <w:bookmarkStart w:id="107" w:name="_Toc73965886"/>
      <w:bookmarkStart w:id="108" w:name="_Toc3667"/>
      <w:bookmarkStart w:id="109" w:name="_Toc256000036"/>
      <w:r>
        <w:rPr>
          <w:rFonts w:hint="eastAsia" w:ascii="楷体" w:hAnsi="楷体" w:eastAsia="楷体" w:cs="楷体"/>
          <w:color w:val="auto"/>
          <w:highlight w:val="white"/>
        </w:rPr>
        <w:t>最后报价的提交</w:t>
      </w:r>
      <w:bookmarkEnd w:id="107"/>
      <w:bookmarkEnd w:id="108"/>
      <w:bookmarkEnd w:id="109"/>
    </w:p>
    <w:p w14:paraId="2ADA1BA4">
      <w:pPr>
        <w:spacing w:line="360" w:lineRule="auto"/>
        <w:ind w:left="1" w:firstLine="480"/>
        <w:rPr>
          <w:rFonts w:hint="eastAsia" w:ascii="楷体" w:hAnsi="楷体" w:eastAsia="楷体" w:cs="楷体"/>
          <w:b w:val="0"/>
          <w:bCs/>
          <w:color w:val="auto"/>
          <w:sz w:val="24"/>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3</w:t>
      </w:r>
      <w:r>
        <w:rPr>
          <w:rFonts w:hint="eastAsia" w:ascii="楷体" w:hAnsi="楷体" w:eastAsia="楷体" w:cs="楷体"/>
          <w:color w:val="auto"/>
          <w:sz w:val="24"/>
          <w:highlight w:val="white"/>
        </w:rPr>
        <w:t>.1</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文件能够详细列明采购标的的技术、服务要求的，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结束后，</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小组应当要求所有实质性响应的供应商在规定时间内提交最后总报价和最后明细报价，</w:t>
      </w:r>
      <w:r>
        <w:rPr>
          <w:rFonts w:hint="eastAsia" w:ascii="楷体" w:hAnsi="楷体" w:eastAsia="楷体" w:cs="楷体"/>
          <w:b/>
          <w:color w:val="auto"/>
          <w:sz w:val="24"/>
          <w:highlight w:val="white"/>
        </w:rPr>
        <w:t>提交最后报价的供应商不得少于3家。</w:t>
      </w:r>
    </w:p>
    <w:p w14:paraId="3A3971BF">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文件不能详细列明采购标的的技术、服务要求，需经</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由供应商提供最终设计方案或解决方案的，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结束后，</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小组应当按照少数服从多数的原则投票推荐3家以上供应商的设计方案或者解决方案，并要求其在规定时间内提交最后报价。</w:t>
      </w:r>
    </w:p>
    <w:p w14:paraId="0D4C8977">
      <w:pPr>
        <w:spacing w:line="360" w:lineRule="auto"/>
        <w:ind w:left="1"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最后报价是供应商响应文件的有效组成部分。</w:t>
      </w:r>
      <w:r>
        <w:rPr>
          <w:rFonts w:hint="eastAsia" w:ascii="楷体" w:hAnsi="楷体" w:eastAsia="楷体" w:cs="楷体"/>
          <w:b w:val="0"/>
          <w:bCs/>
          <w:color w:val="auto"/>
          <w:sz w:val="24"/>
          <w:highlight w:val="white"/>
        </w:rPr>
        <w:t>符合《政府采购竞争性磋商采购方式管理暂行办法》第三条第四项及本须知第2</w:t>
      </w:r>
      <w:r>
        <w:rPr>
          <w:rFonts w:hint="eastAsia" w:ascii="楷体" w:hAnsi="楷体" w:eastAsia="楷体" w:cs="楷体"/>
          <w:b w:val="0"/>
          <w:bCs/>
          <w:color w:val="auto"/>
          <w:sz w:val="24"/>
          <w:highlight w:val="white"/>
          <w:lang w:val="en-US" w:eastAsia="zh-CN"/>
        </w:rPr>
        <w:t>4</w:t>
      </w:r>
      <w:r>
        <w:rPr>
          <w:rFonts w:hint="eastAsia" w:ascii="楷体" w:hAnsi="楷体" w:eastAsia="楷体" w:cs="楷体"/>
          <w:b w:val="0"/>
          <w:bCs/>
          <w:color w:val="auto"/>
          <w:sz w:val="24"/>
          <w:highlight w:val="white"/>
        </w:rPr>
        <w:t>.2项情形的，提交最后报价的供应商可以为2家。</w:t>
      </w:r>
    </w:p>
    <w:p w14:paraId="1E3948DC">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color w:val="auto"/>
          <w:sz w:val="24"/>
          <w:szCs w:val="22"/>
          <w:highlight w:val="white"/>
          <w:lang w:val="en-US" w:eastAsia="zh-CN" w:bidi="ar-SA"/>
        </w:rPr>
      </w:pPr>
      <w:r>
        <w:rPr>
          <w:rFonts w:hint="eastAsia" w:ascii="楷体" w:hAnsi="楷体" w:eastAsia="楷体" w:cs="楷体"/>
          <w:color w:val="auto"/>
          <w:sz w:val="24"/>
          <w:szCs w:val="22"/>
          <w:highlight w:val="white"/>
          <w:lang w:val="en-US" w:eastAsia="zh-CN" w:bidi="ar-SA"/>
        </w:rPr>
        <w:t>23.2最终的综合单价以最后报价与首轮报价的比例，同比例下浮后执行。不可竞争费用不做调整。</w:t>
      </w:r>
    </w:p>
    <w:p w14:paraId="7F31B39F">
      <w:pPr>
        <w:pStyle w:val="44"/>
        <w:numPr>
          <w:ilvl w:val="0"/>
          <w:numId w:val="4"/>
        </w:numPr>
        <w:ind w:left="425" w:leftChars="0" w:hanging="425" w:firstLineChars="0"/>
        <w:rPr>
          <w:rFonts w:hint="eastAsia" w:ascii="楷体" w:hAnsi="楷体" w:eastAsia="楷体" w:cs="楷体"/>
          <w:color w:val="auto"/>
        </w:rPr>
      </w:pPr>
      <w:bookmarkStart w:id="110" w:name="_Toc73965887"/>
      <w:bookmarkStart w:id="111" w:name="_Toc16893"/>
      <w:bookmarkStart w:id="112" w:name="_Toc256000037"/>
      <w:r>
        <w:rPr>
          <w:rFonts w:hint="eastAsia" w:ascii="楷体" w:hAnsi="楷体" w:eastAsia="楷体" w:cs="楷体"/>
          <w:color w:val="auto"/>
          <w:highlight w:val="white"/>
        </w:rPr>
        <w:t>竞争性</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特殊情况处理</w:t>
      </w:r>
      <w:bookmarkEnd w:id="110"/>
      <w:bookmarkEnd w:id="111"/>
      <w:bookmarkEnd w:id="112"/>
    </w:p>
    <w:p w14:paraId="1D906E55">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24</w:t>
      </w:r>
      <w:r>
        <w:rPr>
          <w:rFonts w:hint="eastAsia" w:ascii="楷体" w:hAnsi="楷体" w:eastAsia="楷体" w:cs="楷体"/>
          <w:color w:val="auto"/>
          <w:sz w:val="24"/>
          <w:highlight w:val="white"/>
        </w:rPr>
        <w:t>.1出现下列情形之一的，应当终止竞争性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采购活动，发布项目终止公告并说明原因，重新开展采购活动：</w:t>
      </w:r>
    </w:p>
    <w:p w14:paraId="726F581A">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（一）因情况变化，不再符合规定的竞争性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 xml:space="preserve">采购方式适用情形的； </w:t>
      </w:r>
    </w:p>
    <w:p w14:paraId="27240ACC">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 xml:space="preserve">（二）出现影响采购公正的违法、违规行为的； </w:t>
      </w:r>
    </w:p>
    <w:p w14:paraId="2E1095C8">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（三）在采购过程中符合竞争要求的供应商或者报价未超过采购预算的供应商不足3家的。</w:t>
      </w:r>
    </w:p>
    <w:p w14:paraId="2EA1D5F6">
      <w:pPr>
        <w:spacing w:line="360" w:lineRule="auto"/>
        <w:ind w:firstLine="480"/>
        <w:rPr>
          <w:rFonts w:hint="eastAsia" w:ascii="楷体" w:hAnsi="楷体" w:eastAsia="楷体" w:cs="楷体"/>
          <w:color w:val="auto"/>
          <w:sz w:val="24"/>
          <w:highlight w:val="white"/>
          <w:lang w:val="en-US" w:eastAsia="zh-CN"/>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4</w:t>
      </w:r>
      <w:r>
        <w:rPr>
          <w:rFonts w:hint="eastAsia" w:ascii="楷体" w:hAnsi="楷体" w:eastAsia="楷体" w:cs="楷体"/>
          <w:color w:val="auto"/>
          <w:sz w:val="24"/>
          <w:highlight w:val="white"/>
        </w:rPr>
        <w:t>.2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r>
        <w:rPr>
          <w:rFonts w:hint="eastAsia" w:ascii="楷体" w:hAnsi="楷体" w:eastAsia="楷体" w:cs="楷体"/>
          <w:color w:val="auto"/>
          <w:sz w:val="24"/>
          <w:highlight w:val="white"/>
          <w:lang w:eastAsia="zh-CN"/>
        </w:rPr>
        <w:t>。</w:t>
      </w:r>
    </w:p>
    <w:p w14:paraId="26B0DF66">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4</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3</w:t>
      </w:r>
      <w:r>
        <w:rPr>
          <w:rFonts w:hint="eastAsia" w:ascii="楷体" w:hAnsi="楷体" w:eastAsia="楷体" w:cs="楷体"/>
          <w:color w:val="auto"/>
          <w:sz w:val="24"/>
          <w:highlight w:val="white"/>
        </w:rPr>
        <w:t>因重大变故，采购任务取消的则该</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活动取消，采购人应当将取消理由通知所有供应商。</w:t>
      </w:r>
    </w:p>
    <w:p w14:paraId="6DD7BF45">
      <w:pPr>
        <w:pStyle w:val="196"/>
        <w:rPr>
          <w:rFonts w:hint="eastAsia" w:ascii="楷体" w:hAnsi="楷体" w:eastAsia="楷体" w:cs="楷体"/>
          <w:color w:val="auto"/>
          <w:sz w:val="32"/>
        </w:rPr>
      </w:pPr>
      <w:bookmarkStart w:id="113" w:name="_Toc256000038"/>
      <w:bookmarkStart w:id="114" w:name="_Toc30418"/>
      <w:bookmarkStart w:id="115" w:name="_Toc73965888"/>
      <w:r>
        <w:rPr>
          <w:rFonts w:hint="eastAsia" w:ascii="楷体" w:hAnsi="楷体" w:eastAsia="楷体" w:cs="楷体"/>
          <w:color w:val="auto"/>
          <w:sz w:val="32"/>
          <w:highlight w:val="white"/>
        </w:rPr>
        <w:t>五、确定成交结果</w:t>
      </w:r>
      <w:bookmarkEnd w:id="113"/>
      <w:bookmarkEnd w:id="114"/>
      <w:bookmarkEnd w:id="115"/>
    </w:p>
    <w:p w14:paraId="11BBB74F">
      <w:pPr>
        <w:pStyle w:val="44"/>
        <w:numPr>
          <w:ilvl w:val="0"/>
          <w:numId w:val="4"/>
        </w:numPr>
        <w:ind w:left="425" w:leftChars="0" w:hanging="425" w:firstLineChars="0"/>
        <w:rPr>
          <w:rFonts w:hint="eastAsia" w:ascii="楷体" w:hAnsi="楷体" w:eastAsia="楷体" w:cs="楷体"/>
          <w:color w:val="auto"/>
        </w:rPr>
      </w:pPr>
      <w:bookmarkStart w:id="116" w:name="_Toc256000039"/>
      <w:bookmarkStart w:id="117" w:name="_Toc16523"/>
      <w:bookmarkStart w:id="118" w:name="_Toc73965889"/>
      <w:r>
        <w:rPr>
          <w:rFonts w:hint="eastAsia" w:ascii="楷体" w:hAnsi="楷体" w:eastAsia="楷体" w:cs="楷体"/>
          <w:color w:val="auto"/>
          <w:highlight w:val="white"/>
        </w:rPr>
        <w:t>确定成交供应商</w:t>
      </w:r>
      <w:bookmarkEnd w:id="116"/>
      <w:bookmarkEnd w:id="117"/>
      <w:bookmarkEnd w:id="118"/>
    </w:p>
    <w:p w14:paraId="25EC3E10">
      <w:pPr>
        <w:spacing w:line="360" w:lineRule="auto"/>
        <w:ind w:firstLine="480"/>
        <w:rPr>
          <w:rFonts w:hint="eastAsia" w:ascii="楷体" w:hAnsi="楷体" w:eastAsia="楷体" w:cs="楷体"/>
          <w:color w:val="auto"/>
          <w:sz w:val="24"/>
          <w:highlight w:val="white"/>
        </w:rPr>
      </w:pPr>
      <w:bookmarkStart w:id="119" w:name="EB3fe0db93f0354614add263878fac6db4"/>
      <w:bookmarkStart w:id="120" w:name="EB33914fbe13df4f33bdfd7a54550f3306"/>
      <w:r>
        <w:rPr>
          <w:rFonts w:hint="eastAsia" w:ascii="楷体" w:hAnsi="楷体" w:eastAsia="楷体" w:cs="楷体"/>
          <w:color w:val="auto"/>
          <w:sz w:val="24"/>
          <w:highlight w:val="white"/>
          <w:lang w:eastAsia="zh-CN"/>
        </w:rPr>
        <w:t>25</w:t>
      </w:r>
      <w:r>
        <w:rPr>
          <w:rFonts w:hint="eastAsia" w:ascii="楷体" w:hAnsi="楷体" w:eastAsia="楷体" w:cs="楷体"/>
          <w:color w:val="auto"/>
          <w:sz w:val="24"/>
          <w:highlight w:val="white"/>
        </w:rPr>
        <w:t>.1采购代理机构在评审结束后2个工作日内将评审报告送采购人。</w:t>
      </w:r>
    </w:p>
    <w:p w14:paraId="47B81A16">
      <w:pPr>
        <w:spacing w:line="360" w:lineRule="auto"/>
        <w:ind w:firstLine="480"/>
        <w:rPr>
          <w:rFonts w:hint="eastAsia" w:ascii="楷体" w:hAnsi="楷体" w:eastAsia="楷体" w:cs="楷体"/>
          <w:color w:val="auto"/>
          <w:sz w:val="24"/>
          <w:highlight w:val="white"/>
        </w:rPr>
      </w:pPr>
      <w:bookmarkStart w:id="121" w:name="_Hlk132702541"/>
      <w:bookmarkStart w:id="122" w:name="_Hlk132702790"/>
      <w:r>
        <w:rPr>
          <w:rFonts w:hint="eastAsia" w:ascii="楷体" w:hAnsi="楷体" w:eastAsia="楷体" w:cs="楷体"/>
          <w:color w:val="auto"/>
          <w:sz w:val="24"/>
          <w:highlight w:val="white"/>
          <w:lang w:eastAsia="zh-CN"/>
        </w:rPr>
        <w:t>25</w:t>
      </w:r>
      <w:r>
        <w:rPr>
          <w:rFonts w:hint="eastAsia" w:ascii="楷体" w:hAnsi="楷体" w:eastAsia="楷体" w:cs="楷体"/>
          <w:color w:val="auto"/>
          <w:sz w:val="24"/>
          <w:highlight w:val="white"/>
        </w:rPr>
        <w:t>.</w:t>
      </w:r>
      <w:bookmarkEnd w:id="121"/>
      <w:r>
        <w:rPr>
          <w:rFonts w:hint="eastAsia" w:ascii="楷体" w:hAnsi="楷体" w:eastAsia="楷体" w:cs="楷体"/>
          <w:color w:val="auto"/>
          <w:sz w:val="24"/>
          <w:highlight w:val="white"/>
        </w:rPr>
        <w:t>2</w:t>
      </w:r>
      <w:bookmarkEnd w:id="122"/>
      <w:r>
        <w:rPr>
          <w:rFonts w:hint="eastAsia" w:ascii="楷体" w:hAnsi="楷体" w:eastAsia="楷体" w:cs="楷体"/>
          <w:color w:val="auto"/>
          <w:sz w:val="24"/>
          <w:highlight w:val="white"/>
        </w:rPr>
        <w:t>采购人自收到评审报告之日起5个工作日内，在评审报告确定的成交候选供应商名单中按顺序确定成交供应商。</w:t>
      </w:r>
      <w:bookmarkEnd w:id="119"/>
      <w:bookmarkEnd w:id="120"/>
    </w:p>
    <w:p w14:paraId="2766FFAA">
      <w:pPr>
        <w:pStyle w:val="196"/>
        <w:rPr>
          <w:rFonts w:hint="eastAsia" w:ascii="楷体" w:hAnsi="楷体" w:eastAsia="楷体" w:cs="楷体"/>
          <w:color w:val="auto"/>
          <w:sz w:val="32"/>
        </w:rPr>
      </w:pPr>
      <w:bookmarkStart w:id="123" w:name="_Toc73965890"/>
      <w:bookmarkStart w:id="124" w:name="_Toc25507"/>
      <w:bookmarkStart w:id="125" w:name="_Toc256000040"/>
      <w:r>
        <w:rPr>
          <w:rFonts w:hint="eastAsia" w:ascii="楷体" w:hAnsi="楷体" w:eastAsia="楷体" w:cs="楷体"/>
          <w:color w:val="auto"/>
          <w:sz w:val="32"/>
          <w:highlight w:val="white"/>
        </w:rPr>
        <w:t>六、授予合同</w:t>
      </w:r>
      <w:bookmarkEnd w:id="123"/>
      <w:bookmarkEnd w:id="124"/>
      <w:bookmarkEnd w:id="125"/>
    </w:p>
    <w:p w14:paraId="37588F6D">
      <w:pPr>
        <w:pStyle w:val="44"/>
        <w:numPr>
          <w:ilvl w:val="0"/>
          <w:numId w:val="4"/>
        </w:numPr>
        <w:ind w:left="425" w:leftChars="0" w:hanging="425" w:firstLineChars="0"/>
        <w:rPr>
          <w:rFonts w:hint="eastAsia" w:ascii="楷体" w:hAnsi="楷体" w:eastAsia="楷体" w:cs="楷体"/>
          <w:color w:val="auto"/>
        </w:rPr>
      </w:pPr>
      <w:bookmarkStart w:id="126" w:name="_Toc3777"/>
      <w:bookmarkStart w:id="127" w:name="_Toc256000042"/>
      <w:bookmarkStart w:id="128" w:name="_Toc73965892"/>
      <w:r>
        <w:rPr>
          <w:rFonts w:hint="eastAsia" w:ascii="楷体" w:hAnsi="楷体" w:eastAsia="楷体" w:cs="楷体"/>
          <w:color w:val="auto"/>
        </w:rPr>
        <w:t>磋商组织方接受和拒绝任何或所有响应的权利</w:t>
      </w:r>
      <w:bookmarkEnd w:id="126"/>
    </w:p>
    <w:p w14:paraId="68B9C531">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.1为维护国家和社会公共利益，磋商组织方保留在授标之前任何时候接受或拒绝任何供应商成交的权利，且对受影响的供应商不承担任何责任。</w:t>
      </w:r>
    </w:p>
    <w:p w14:paraId="7E5D0AC8">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6</w:t>
      </w:r>
      <w:r>
        <w:rPr>
          <w:rFonts w:hint="eastAsia" w:ascii="楷体" w:hAnsi="楷体" w:eastAsia="楷体" w:cs="楷体"/>
          <w:color w:val="auto"/>
          <w:sz w:val="24"/>
          <w:highlight w:val="white"/>
        </w:rPr>
        <w:t>.2因不可抗力或成交供应商不能履约等情形，磋商组织方保留与其他候选供应商签订合同的权利</w:t>
      </w:r>
    </w:p>
    <w:p w14:paraId="3D06F845">
      <w:pPr>
        <w:pStyle w:val="44"/>
        <w:numPr>
          <w:ilvl w:val="0"/>
          <w:numId w:val="4"/>
        </w:numPr>
        <w:ind w:left="425" w:leftChars="0" w:hanging="425" w:firstLineChars="0"/>
        <w:rPr>
          <w:rFonts w:hint="eastAsia" w:ascii="楷体" w:hAnsi="楷体" w:eastAsia="楷体" w:cs="楷体"/>
          <w:color w:val="auto"/>
        </w:rPr>
      </w:pPr>
      <w:bookmarkStart w:id="129" w:name="_Toc20647"/>
      <w:r>
        <w:rPr>
          <w:rFonts w:hint="eastAsia" w:ascii="楷体" w:hAnsi="楷体" w:eastAsia="楷体" w:cs="楷体"/>
          <w:color w:val="auto"/>
          <w:highlight w:val="white"/>
        </w:rPr>
        <w:t>成交通知书</w:t>
      </w:r>
      <w:bookmarkEnd w:id="127"/>
      <w:bookmarkEnd w:id="128"/>
      <w:bookmarkEnd w:id="129"/>
    </w:p>
    <w:p w14:paraId="2FF7EFBE">
      <w:pPr>
        <w:spacing w:line="360" w:lineRule="auto"/>
        <w:ind w:firstLine="480"/>
        <w:rPr>
          <w:rFonts w:hint="eastAsia" w:ascii="楷体" w:hAnsi="楷体" w:eastAsia="楷体" w:cs="楷体"/>
          <w:color w:val="auto"/>
          <w:sz w:val="24"/>
          <w:highlight w:val="white"/>
        </w:rPr>
      </w:pPr>
      <w:bookmarkStart w:id="130" w:name="_Toc73965893"/>
      <w:bookmarkStart w:id="131" w:name="_Toc256000043"/>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7</w:t>
      </w:r>
      <w:r>
        <w:rPr>
          <w:rFonts w:hint="eastAsia" w:ascii="楷体" w:hAnsi="楷体" w:eastAsia="楷体" w:cs="楷体"/>
          <w:color w:val="auto"/>
          <w:sz w:val="24"/>
          <w:highlight w:val="white"/>
        </w:rPr>
        <w:t>.1 自成交供应商确定之日起2个工作日内，采购代理机构向成交供应商发出成交通知书，同时编制发布采购结果公告。</w:t>
      </w:r>
    </w:p>
    <w:p w14:paraId="47DDE24B">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2</w:t>
      </w:r>
      <w:r>
        <w:rPr>
          <w:rFonts w:hint="eastAsia" w:ascii="楷体" w:hAnsi="楷体" w:eastAsia="楷体" w:cs="楷体"/>
          <w:color w:val="auto"/>
          <w:sz w:val="24"/>
          <w:highlight w:val="white"/>
          <w:lang w:val="en-US" w:eastAsia="zh-CN"/>
        </w:rPr>
        <w:t>7</w:t>
      </w:r>
      <w:r>
        <w:rPr>
          <w:rFonts w:hint="eastAsia" w:ascii="楷体" w:hAnsi="楷体" w:eastAsia="楷体" w:cs="楷体"/>
          <w:color w:val="auto"/>
          <w:sz w:val="24"/>
          <w:highlight w:val="white"/>
        </w:rPr>
        <w:t>.2 成交通知书发出后，采购人不得违法改变成交结果，成交供应商无正当理由不得放弃成交。</w:t>
      </w:r>
    </w:p>
    <w:p w14:paraId="6438AA3E">
      <w:pPr>
        <w:pStyle w:val="44"/>
        <w:numPr>
          <w:ilvl w:val="0"/>
          <w:numId w:val="4"/>
        </w:numPr>
        <w:ind w:left="425" w:leftChars="0" w:hanging="425" w:firstLineChars="0"/>
        <w:rPr>
          <w:rFonts w:hint="eastAsia" w:ascii="楷体" w:hAnsi="楷体" w:eastAsia="楷体" w:cs="楷体"/>
          <w:color w:val="auto"/>
        </w:rPr>
      </w:pPr>
      <w:bookmarkStart w:id="132" w:name="_Toc32742"/>
      <w:r>
        <w:rPr>
          <w:rFonts w:hint="eastAsia" w:ascii="楷体" w:hAnsi="楷体" w:eastAsia="楷体" w:cs="楷体"/>
          <w:color w:val="auto"/>
          <w:highlight w:val="white"/>
        </w:rPr>
        <w:t>签订合同</w:t>
      </w:r>
      <w:bookmarkEnd w:id="130"/>
      <w:bookmarkEnd w:id="131"/>
      <w:bookmarkEnd w:id="132"/>
    </w:p>
    <w:p w14:paraId="0EF21C63">
      <w:pPr>
        <w:spacing w:line="360" w:lineRule="auto"/>
        <w:ind w:firstLine="480"/>
        <w:rPr>
          <w:rFonts w:hint="eastAsia" w:ascii="楷体" w:hAnsi="楷体" w:eastAsia="楷体" w:cs="楷体"/>
          <w:b/>
          <w:color w:val="auto"/>
          <w:sz w:val="24"/>
          <w:szCs w:val="24"/>
          <w:highlight w:val="white"/>
        </w:rPr>
      </w:pPr>
      <w:r>
        <w:rPr>
          <w:rFonts w:hint="eastAsia" w:ascii="楷体" w:hAnsi="楷体" w:eastAsia="楷体" w:cs="楷体"/>
          <w:color w:val="auto"/>
          <w:sz w:val="24"/>
          <w:highlight w:val="white"/>
          <w:lang w:eastAsia="zh-CN"/>
        </w:rPr>
        <w:t>28</w:t>
      </w:r>
      <w:r>
        <w:rPr>
          <w:rFonts w:hint="eastAsia" w:ascii="楷体" w:hAnsi="楷体" w:eastAsia="楷体" w:cs="楷体"/>
          <w:color w:val="auto"/>
          <w:sz w:val="24"/>
          <w:highlight w:val="white"/>
        </w:rPr>
        <w:t>.1 采购人应当自成交通知书发出之日起</w:t>
      </w:r>
      <w:bookmarkStart w:id="133" w:name="EBe3445026a6084cd6a90356ca4ce412c8"/>
      <w:r>
        <w:rPr>
          <w:rFonts w:hint="eastAsia" w:ascii="楷体" w:hAnsi="楷体" w:eastAsia="楷体" w:cs="楷体"/>
          <w:b/>
          <w:color w:val="auto"/>
          <w:sz w:val="24"/>
          <w:highlight w:val="white"/>
        </w:rPr>
        <w:t>15日</w:t>
      </w:r>
      <w:bookmarkEnd w:id="133"/>
      <w:r>
        <w:rPr>
          <w:rFonts w:hint="eastAsia" w:ascii="楷体" w:hAnsi="楷体" w:eastAsia="楷体" w:cs="楷体"/>
          <w:color w:val="auto"/>
          <w:sz w:val="24"/>
          <w:highlight w:val="white"/>
        </w:rPr>
        <w:t>内，按照</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文件、成交供应商</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响应文件以及</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过程中确定的事项，与成交供应商签订采购合同。采购人不得向成交人提出任何不合理的要求作为签订合同的条件。</w:t>
      </w:r>
      <w:r>
        <w:rPr>
          <w:rFonts w:hint="eastAsia" w:ascii="楷体" w:hAnsi="楷体" w:eastAsia="楷体" w:cs="楷体"/>
          <w:b/>
          <w:color w:val="auto"/>
          <w:sz w:val="24"/>
          <w:szCs w:val="24"/>
          <w:highlight w:val="white"/>
          <w:lang w:eastAsia="zh-CN"/>
        </w:rPr>
        <w:t>磋商</w:t>
      </w:r>
      <w:r>
        <w:rPr>
          <w:rFonts w:hint="eastAsia" w:ascii="楷体" w:hAnsi="楷体" w:eastAsia="楷体" w:cs="楷体"/>
          <w:b/>
          <w:color w:val="auto"/>
          <w:sz w:val="24"/>
          <w:szCs w:val="24"/>
          <w:highlight w:val="white"/>
        </w:rPr>
        <w:t>文件、成交供应商的响应文件、澄清文件、成交通知书，均为签订合同的依据。</w:t>
      </w:r>
    </w:p>
    <w:p w14:paraId="658D29C1">
      <w:pPr>
        <w:spacing w:line="360" w:lineRule="auto"/>
        <w:ind w:firstLine="480"/>
        <w:rPr>
          <w:rFonts w:hint="eastAsia" w:ascii="楷体" w:hAnsi="楷体" w:eastAsia="楷体" w:cs="楷体"/>
          <w:color w:val="auto"/>
          <w:sz w:val="24"/>
          <w:highlight w:val="white"/>
        </w:rPr>
      </w:pPr>
      <w:bookmarkStart w:id="134" w:name="_Toc73965894"/>
      <w:bookmarkStart w:id="135" w:name="_Toc256000044"/>
      <w:r>
        <w:rPr>
          <w:rFonts w:hint="eastAsia" w:ascii="楷体" w:hAnsi="楷体" w:eastAsia="楷体" w:cs="楷体"/>
          <w:color w:val="auto"/>
          <w:sz w:val="24"/>
          <w:highlight w:val="white"/>
          <w:lang w:eastAsia="zh-CN"/>
        </w:rPr>
        <w:t>28</w:t>
      </w:r>
      <w:r>
        <w:rPr>
          <w:rFonts w:hint="eastAsia" w:ascii="楷体" w:hAnsi="楷体" w:eastAsia="楷体" w:cs="楷体"/>
          <w:color w:val="auto"/>
          <w:sz w:val="24"/>
          <w:highlight w:val="white"/>
        </w:rPr>
        <w:t>.2成交供应商拒绝与采购人签订合同的，采购人可以按照评审报告推荐的成交候选供应商名单排序，确定下一候选供应商为成交供应商，也可以重新开展采购活动。成交供应商无正当理由拒不与采购人签订合同的，报监管部门依法处理。</w:t>
      </w:r>
    </w:p>
    <w:p w14:paraId="59B84B9A">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28</w:t>
      </w:r>
      <w:r>
        <w:rPr>
          <w:rFonts w:hint="eastAsia" w:ascii="楷体" w:hAnsi="楷体" w:eastAsia="楷体" w:cs="楷体"/>
          <w:color w:val="auto"/>
          <w:sz w:val="24"/>
          <w:highlight w:val="white"/>
        </w:rPr>
        <w:t>.3 采购合同应当包括采购人与中标人的名称和住所、标的、数量、质量、价款或者报酬、履行期限及地点和方式、验收要求、违约责任、解决争议的方法等内容。</w:t>
      </w:r>
    </w:p>
    <w:p w14:paraId="193412E6">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28</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4</w:t>
      </w:r>
      <w:r>
        <w:rPr>
          <w:rFonts w:hint="eastAsia" w:ascii="楷体" w:hAnsi="楷体" w:eastAsia="楷体" w:cs="楷体"/>
          <w:color w:val="auto"/>
          <w:sz w:val="24"/>
          <w:highlight w:val="white"/>
        </w:rPr>
        <w:t>合同履行中，采购人需追加与合同标的相同的货物或者服务时，在不改变合同其他条款的前提下，可以与成交供应商协商签订补充合同，但所有补充合同的采购金额不得超过原合同采购金额的百分之十。</w:t>
      </w:r>
    </w:p>
    <w:p w14:paraId="3291F3EB">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lang w:eastAsia="zh-CN"/>
        </w:rPr>
        <w:t>28</w:t>
      </w:r>
      <w:r>
        <w:rPr>
          <w:rFonts w:hint="eastAsia" w:ascii="楷体" w:hAnsi="楷体" w:eastAsia="楷体" w:cs="楷体"/>
          <w:color w:val="auto"/>
          <w:sz w:val="24"/>
          <w:highlight w:val="white"/>
        </w:rPr>
        <w:t>.</w:t>
      </w:r>
      <w:r>
        <w:rPr>
          <w:rFonts w:hint="eastAsia" w:ascii="楷体" w:hAnsi="楷体" w:eastAsia="楷体" w:cs="楷体"/>
          <w:color w:val="auto"/>
          <w:sz w:val="24"/>
          <w:highlight w:val="white"/>
          <w:lang w:val="en-US" w:eastAsia="zh-CN"/>
        </w:rPr>
        <w:t>5</w:t>
      </w:r>
      <w:r>
        <w:rPr>
          <w:rFonts w:hint="eastAsia" w:ascii="楷体" w:hAnsi="楷体" w:eastAsia="楷体" w:cs="楷体"/>
          <w:color w:val="auto"/>
          <w:sz w:val="24"/>
          <w:highlight w:val="white"/>
        </w:rPr>
        <w:t xml:space="preserve"> 采购人与成交供应商应当根据合同的约定依法履行合同义务。采购合同的履行、违约责任和解决争议的方法等适用《中华人民共和国民法典》。</w:t>
      </w:r>
    </w:p>
    <w:p w14:paraId="43C5B5BE">
      <w:pPr>
        <w:pStyle w:val="44"/>
        <w:numPr>
          <w:ilvl w:val="0"/>
          <w:numId w:val="4"/>
        </w:numPr>
        <w:ind w:left="425" w:leftChars="0" w:hanging="425" w:firstLineChars="0"/>
        <w:rPr>
          <w:rFonts w:hint="eastAsia" w:ascii="楷体" w:hAnsi="楷体" w:eastAsia="楷体" w:cs="楷体"/>
          <w:color w:val="auto"/>
        </w:rPr>
      </w:pPr>
      <w:bookmarkStart w:id="136" w:name="_Toc5959"/>
      <w:r>
        <w:rPr>
          <w:rFonts w:hint="eastAsia" w:ascii="楷体" w:hAnsi="楷体" w:eastAsia="楷体" w:cs="楷体"/>
          <w:color w:val="auto"/>
          <w:highlight w:val="white"/>
        </w:rPr>
        <w:t>履约保证金</w:t>
      </w:r>
      <w:bookmarkEnd w:id="134"/>
      <w:bookmarkEnd w:id="135"/>
      <w:bookmarkEnd w:id="136"/>
    </w:p>
    <w:p w14:paraId="27AAAC47">
      <w:pPr>
        <w:pStyle w:val="210"/>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楷体" w:hAnsi="楷体" w:eastAsia="楷体" w:cs="楷体"/>
          <w:color w:val="auto"/>
          <w:sz w:val="24"/>
          <w:lang w:eastAsia="zh-CN"/>
        </w:rPr>
      </w:pPr>
      <w:r>
        <w:rPr>
          <w:rFonts w:hint="eastAsia" w:ascii="楷体" w:hAnsi="楷体" w:eastAsia="楷体" w:cs="楷体"/>
          <w:color w:val="auto"/>
          <w:sz w:val="24"/>
          <w:highlight w:val="white"/>
          <w:lang w:eastAsia="zh-CN"/>
        </w:rPr>
        <w:t>2</w:t>
      </w:r>
      <w:r>
        <w:rPr>
          <w:rFonts w:hint="eastAsia" w:ascii="楷体" w:hAnsi="楷体" w:eastAsia="楷体" w:cs="楷体"/>
          <w:color w:val="auto"/>
          <w:sz w:val="24"/>
          <w:highlight w:val="white"/>
          <w:lang w:val="en-US" w:eastAsia="zh-CN"/>
        </w:rPr>
        <w:t>9</w:t>
      </w:r>
      <w:r>
        <w:rPr>
          <w:rFonts w:hint="eastAsia" w:ascii="楷体" w:hAnsi="楷体" w:eastAsia="楷体" w:cs="楷体"/>
          <w:color w:val="auto"/>
          <w:sz w:val="24"/>
          <w:highlight w:val="white"/>
        </w:rPr>
        <w:t>.1本项目</w:t>
      </w:r>
      <w:r>
        <w:rPr>
          <w:rFonts w:hint="eastAsia" w:ascii="楷体" w:hAnsi="楷体" w:eastAsia="楷体" w:cs="楷体"/>
          <w:color w:val="auto"/>
          <w:sz w:val="24"/>
          <w:highlight w:val="white"/>
          <w:u w:val="single"/>
        </w:rPr>
        <w:t xml:space="preserve"> </w:t>
      </w:r>
      <w:r>
        <w:rPr>
          <w:rFonts w:hint="eastAsia" w:ascii="楷体" w:hAnsi="楷体" w:eastAsia="楷体" w:cs="楷体"/>
          <w:color w:val="auto"/>
          <w:sz w:val="24"/>
          <w:highlight w:val="white"/>
          <w:u w:val="single"/>
          <w:lang w:val="en-US" w:eastAsia="zh-CN"/>
        </w:rPr>
        <w:t>不</w:t>
      </w:r>
      <w:r>
        <w:rPr>
          <w:rFonts w:hint="eastAsia" w:ascii="楷体" w:hAnsi="楷体" w:eastAsia="楷体" w:cs="楷体"/>
          <w:color w:val="auto"/>
          <w:sz w:val="24"/>
          <w:highlight w:val="white"/>
          <w:u w:val="single"/>
        </w:rPr>
        <w:t xml:space="preserve">收取 </w:t>
      </w:r>
      <w:r>
        <w:rPr>
          <w:rFonts w:hint="eastAsia" w:ascii="楷体" w:hAnsi="楷体" w:eastAsia="楷体" w:cs="楷体"/>
          <w:color w:val="auto"/>
          <w:sz w:val="24"/>
          <w:highlight w:val="white"/>
        </w:rPr>
        <w:t>履约保证金。本项目</w:t>
      </w:r>
      <w:r>
        <w:rPr>
          <w:rFonts w:hint="eastAsia" w:ascii="楷体" w:hAnsi="楷体" w:eastAsia="楷体" w:cs="楷体"/>
          <w:color w:val="auto"/>
          <w:sz w:val="24"/>
          <w:highlight w:val="white"/>
          <w:lang w:val="en-US" w:eastAsia="zh-CN"/>
        </w:rPr>
        <w:t>成交</w:t>
      </w:r>
      <w:r>
        <w:rPr>
          <w:rFonts w:hint="eastAsia" w:ascii="楷体" w:hAnsi="楷体" w:eastAsia="楷体" w:cs="楷体"/>
          <w:color w:val="auto"/>
          <w:sz w:val="24"/>
          <w:highlight w:val="white"/>
        </w:rPr>
        <w:t>供应商应提交政府采购合同金额</w:t>
      </w:r>
      <w:r>
        <w:rPr>
          <w:rFonts w:hint="eastAsia" w:ascii="楷体" w:hAnsi="楷体" w:eastAsia="楷体" w:cs="楷体"/>
          <w:color w:val="auto"/>
          <w:sz w:val="24"/>
          <w:highlight w:val="white"/>
          <w:u w:val="single"/>
          <w:lang w:val="en-US" w:eastAsia="zh-CN"/>
        </w:rPr>
        <w:t xml:space="preserve"> / </w:t>
      </w:r>
      <w:r>
        <w:rPr>
          <w:rFonts w:hint="eastAsia" w:ascii="楷体" w:hAnsi="楷体" w:eastAsia="楷体" w:cs="楷体"/>
          <w:color w:val="auto"/>
          <w:sz w:val="24"/>
          <w:highlight w:val="white"/>
        </w:rPr>
        <w:t>%的履约保证金(不得超过政府采购合同金额10%)，履约保证金应以支票、汇票、本票、保函、保险保单等非现金形式缴纳或提交。</w:t>
      </w:r>
    </w:p>
    <w:p w14:paraId="0A6198FF">
      <w:pPr>
        <w:pStyle w:val="196"/>
        <w:rPr>
          <w:rFonts w:hint="eastAsia" w:ascii="楷体" w:hAnsi="楷体" w:eastAsia="楷体" w:cs="楷体"/>
          <w:color w:val="auto"/>
          <w:sz w:val="32"/>
        </w:rPr>
      </w:pPr>
      <w:bookmarkStart w:id="137" w:name="_Toc256000045"/>
      <w:bookmarkStart w:id="138" w:name="_Toc73965895"/>
      <w:bookmarkStart w:id="139" w:name="_Toc5621"/>
      <w:r>
        <w:rPr>
          <w:rFonts w:hint="eastAsia" w:ascii="楷体" w:hAnsi="楷体" w:eastAsia="楷体" w:cs="楷体"/>
          <w:color w:val="auto"/>
          <w:sz w:val="32"/>
          <w:highlight w:val="white"/>
        </w:rPr>
        <w:t>七、询问、质疑、投诉</w:t>
      </w:r>
      <w:bookmarkEnd w:id="137"/>
      <w:bookmarkEnd w:id="138"/>
      <w:bookmarkEnd w:id="139"/>
    </w:p>
    <w:p w14:paraId="365E4C1B">
      <w:pPr>
        <w:pStyle w:val="44"/>
        <w:numPr>
          <w:ilvl w:val="0"/>
          <w:numId w:val="4"/>
        </w:numPr>
        <w:ind w:left="425" w:leftChars="0" w:hanging="425" w:firstLineChars="0"/>
        <w:rPr>
          <w:rFonts w:hint="eastAsia" w:ascii="楷体" w:hAnsi="楷体" w:eastAsia="楷体" w:cs="楷体"/>
          <w:color w:val="auto"/>
        </w:rPr>
      </w:pPr>
      <w:bookmarkStart w:id="140" w:name="_Toc73965896"/>
      <w:bookmarkStart w:id="141" w:name="_Toc256000046"/>
      <w:bookmarkStart w:id="142" w:name="_Toc28390"/>
      <w:r>
        <w:rPr>
          <w:rFonts w:hint="eastAsia" w:ascii="楷体" w:hAnsi="楷体" w:eastAsia="楷体" w:cs="楷体"/>
          <w:color w:val="auto"/>
          <w:highlight w:val="white"/>
        </w:rPr>
        <w:t>询问</w:t>
      </w:r>
      <w:bookmarkEnd w:id="140"/>
      <w:bookmarkEnd w:id="141"/>
      <w:bookmarkEnd w:id="142"/>
    </w:p>
    <w:p w14:paraId="1BCA2A2A">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30</w:t>
      </w:r>
      <w:r>
        <w:rPr>
          <w:rFonts w:hint="eastAsia" w:ascii="楷体" w:hAnsi="楷体" w:eastAsia="楷体" w:cs="楷体"/>
          <w:color w:val="auto"/>
          <w:sz w:val="24"/>
          <w:highlight w:val="white"/>
        </w:rPr>
        <w:t>.1供应商对</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活动事项有疑问的，可以向采购人或</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组织方提出询问，采购人或</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组织方将依法作出答复，但答复的内容不得涉及商业秘密。</w:t>
      </w:r>
    </w:p>
    <w:p w14:paraId="02A293CB">
      <w:pPr>
        <w:pStyle w:val="44"/>
        <w:numPr>
          <w:ilvl w:val="0"/>
          <w:numId w:val="4"/>
        </w:numPr>
        <w:ind w:left="425" w:leftChars="0" w:hanging="425" w:firstLineChars="0"/>
        <w:rPr>
          <w:rFonts w:hint="eastAsia" w:ascii="楷体" w:hAnsi="楷体" w:eastAsia="楷体" w:cs="楷体"/>
          <w:color w:val="auto"/>
        </w:rPr>
      </w:pPr>
      <w:bookmarkStart w:id="143" w:name="_Toc256000047"/>
      <w:bookmarkStart w:id="144" w:name="_Toc73965897"/>
      <w:bookmarkStart w:id="145" w:name="_Toc15063"/>
      <w:r>
        <w:rPr>
          <w:rFonts w:hint="eastAsia" w:ascii="楷体" w:hAnsi="楷体" w:eastAsia="楷体" w:cs="楷体"/>
          <w:color w:val="auto"/>
          <w:highlight w:val="white"/>
        </w:rPr>
        <w:t>质疑</w:t>
      </w:r>
      <w:bookmarkEnd w:id="143"/>
      <w:bookmarkEnd w:id="144"/>
      <w:bookmarkEnd w:id="145"/>
    </w:p>
    <w:p w14:paraId="7772FC9A">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.1 提出质疑的供应商应当是参与所质疑项目采购活动的供应商。供应商认为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文件、采购过程和成交结果使自己的合法权益受到损害的，可以在知道或者应知其权益受到损害之日起七个工作日内，将质疑文件原件送达采购人，同时送达一份至</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w:t>
      </w:r>
      <w:bookmarkStart w:id="146" w:name="EBa667a1d198a1455cae57040ddf6725d6"/>
      <w:r>
        <w:rPr>
          <w:rFonts w:hint="eastAsia" w:ascii="楷体" w:hAnsi="楷体" w:eastAsia="楷体" w:cs="楷体"/>
          <w:color w:val="auto"/>
          <w:sz w:val="20"/>
          <w:highlight w:val="white"/>
        </w:rPr>
        <w:t xml:space="preserve"> </w:t>
      </w:r>
      <w:bookmarkEnd w:id="146"/>
      <w:bookmarkStart w:id="147" w:name="EBe5499ab5f2834a938f95338b12f69e73"/>
      <w:r>
        <w:rPr>
          <w:rFonts w:hint="eastAsia" w:ascii="楷体" w:hAnsi="楷体" w:eastAsia="楷体" w:cs="楷体"/>
          <w:color w:val="auto"/>
          <w:sz w:val="20"/>
          <w:highlight w:val="white"/>
        </w:rPr>
        <w:t xml:space="preserve"> </w:t>
      </w:r>
      <w:bookmarkEnd w:id="147"/>
    </w:p>
    <w:p w14:paraId="4AD5EAD5">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以上规定的供应商应知其权益受到损害之日，是指：</w:t>
      </w:r>
    </w:p>
    <w:p w14:paraId="1905B857">
      <w:pPr>
        <w:spacing w:line="360" w:lineRule="auto"/>
        <w:ind w:firstLine="360"/>
        <w:rPr>
          <w:rFonts w:hint="eastAsia" w:ascii="楷体" w:hAnsi="楷体" w:eastAsia="楷体" w:cs="楷体"/>
          <w:color w:val="auto"/>
          <w:sz w:val="24"/>
        </w:rPr>
      </w:pPr>
      <w:r>
        <w:rPr>
          <w:rFonts w:hint="eastAsia" w:ascii="楷体" w:hAnsi="楷体" w:eastAsia="楷体" w:cs="楷体"/>
          <w:color w:val="auto"/>
          <w:sz w:val="24"/>
          <w:highlight w:val="white"/>
        </w:rPr>
        <w:t>（1）对可以质疑的</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文件提出质疑的，为收到</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文件之日或者</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文件公告期限届满之日；</w:t>
      </w:r>
    </w:p>
    <w:p w14:paraId="14AE32C0">
      <w:pPr>
        <w:spacing w:line="360" w:lineRule="auto"/>
        <w:ind w:firstLine="360"/>
        <w:rPr>
          <w:rFonts w:hint="eastAsia" w:ascii="楷体" w:hAnsi="楷体" w:eastAsia="楷体" w:cs="楷体"/>
          <w:color w:val="auto"/>
          <w:sz w:val="24"/>
        </w:rPr>
      </w:pPr>
      <w:r>
        <w:rPr>
          <w:rFonts w:hint="eastAsia" w:ascii="楷体" w:hAnsi="楷体" w:eastAsia="楷体" w:cs="楷体"/>
          <w:color w:val="auto"/>
          <w:sz w:val="24"/>
          <w:highlight w:val="white"/>
        </w:rPr>
        <w:t>（2）对采购过程提出质疑的，为各采购程序环节结束之日；</w:t>
      </w:r>
    </w:p>
    <w:p w14:paraId="083936C3">
      <w:pPr>
        <w:spacing w:line="360" w:lineRule="auto"/>
        <w:ind w:firstLine="360"/>
        <w:rPr>
          <w:rFonts w:hint="eastAsia" w:ascii="楷体" w:hAnsi="楷体" w:eastAsia="楷体" w:cs="楷体"/>
          <w:color w:val="auto"/>
          <w:sz w:val="24"/>
        </w:rPr>
      </w:pPr>
      <w:r>
        <w:rPr>
          <w:rFonts w:hint="eastAsia" w:ascii="楷体" w:hAnsi="楷体" w:eastAsia="楷体" w:cs="楷体"/>
          <w:color w:val="auto"/>
          <w:sz w:val="24"/>
          <w:highlight w:val="white"/>
        </w:rPr>
        <w:t>（3）对成交结果提出质疑的，为结果公告期限届满之日。</w:t>
      </w:r>
    </w:p>
    <w:p w14:paraId="6613BE59">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.2 供应商应按照“谁主张、谁举证”的原则对质疑内容提供相关证明材料，并对质疑内容的真实性承担责任。供应商不得虚假质疑和恶意质疑，如通过捏造事实、伪造证明材料等方式提出异议或投诉，阻碍</w:t>
      </w:r>
      <w:r>
        <w:rPr>
          <w:rFonts w:hint="eastAsia" w:ascii="楷体" w:hAnsi="楷体" w:eastAsia="楷体" w:cs="楷体"/>
          <w:color w:val="auto"/>
          <w:sz w:val="24"/>
          <w:highlight w:val="white"/>
          <w:lang w:val="en-US" w:eastAsia="zh-CN"/>
        </w:rPr>
        <w:t>磋商</w:t>
      </w:r>
      <w:r>
        <w:rPr>
          <w:rFonts w:hint="eastAsia" w:ascii="楷体" w:hAnsi="楷体" w:eastAsia="楷体" w:cs="楷体"/>
          <w:color w:val="auto"/>
          <w:sz w:val="24"/>
          <w:highlight w:val="white"/>
        </w:rPr>
        <w:t>活动正常进行的，属于严重不良行为，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组织方将提请财政部门将其列入不良行为记录名单，并依法予以处罚。</w:t>
      </w:r>
    </w:p>
    <w:p w14:paraId="3862AEAC">
      <w:pPr>
        <w:spacing w:line="360" w:lineRule="auto"/>
        <w:ind w:firstLine="480"/>
        <w:rPr>
          <w:rFonts w:hint="eastAsia" w:ascii="楷体" w:hAnsi="楷体" w:eastAsia="楷体" w:cs="楷体"/>
          <w:b/>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.3 供应商应当在法定质疑期内一次性提出针对同一采购程序环节的质疑。供应商如在法定期限内对同一采购程序环节提出多次质疑的，将只对供应商第一次质疑作出答复。</w:t>
      </w:r>
      <w:r>
        <w:rPr>
          <w:rFonts w:hint="eastAsia" w:ascii="楷体" w:hAnsi="楷体" w:eastAsia="楷体" w:cs="楷体"/>
          <w:b/>
          <w:color w:val="auto"/>
          <w:sz w:val="24"/>
          <w:highlight w:val="white"/>
        </w:rPr>
        <w:t>供应商如对采购需求提出质疑，除向采购人递交质疑文件外，同时向</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组织方递交质疑文件，采购人负责处理和答复涉及采购需求的质疑内容。</w:t>
      </w:r>
    </w:p>
    <w:p w14:paraId="5AC7ED88">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 xml:space="preserve">.4 </w:t>
      </w:r>
      <w:r>
        <w:rPr>
          <w:rFonts w:hint="eastAsia" w:ascii="楷体" w:hAnsi="楷体" w:eastAsia="楷体" w:cs="楷体"/>
          <w:color w:val="auto"/>
          <w:spacing w:val="0"/>
          <w:w w:val="100"/>
          <w:sz w:val="24"/>
        </w:rPr>
        <w:t>质疑</w:t>
      </w:r>
      <w:r>
        <w:rPr>
          <w:rFonts w:hint="eastAsia" w:ascii="楷体" w:hAnsi="楷体" w:eastAsia="楷体" w:cs="楷体"/>
          <w:color w:val="auto"/>
          <w:spacing w:val="0"/>
          <w:w w:val="100"/>
          <w:sz w:val="24"/>
          <w:lang w:val="en-US" w:eastAsia="zh-CN"/>
        </w:rPr>
        <w:t>函</w:t>
      </w:r>
      <w:r>
        <w:rPr>
          <w:rFonts w:hint="eastAsia" w:ascii="楷体" w:hAnsi="楷体" w:eastAsia="楷体" w:cs="楷体"/>
          <w:color w:val="auto"/>
          <w:spacing w:val="0"/>
          <w:w w:val="100"/>
          <w:sz w:val="24"/>
        </w:rPr>
        <w:t>格式</w:t>
      </w:r>
      <w:r>
        <w:rPr>
          <w:rFonts w:hint="eastAsia" w:ascii="楷体" w:hAnsi="楷体" w:eastAsia="楷体" w:cs="楷体"/>
          <w:color w:val="auto"/>
          <w:spacing w:val="0"/>
          <w:w w:val="100"/>
          <w:sz w:val="24"/>
          <w:lang w:val="en-US" w:eastAsia="zh-CN"/>
        </w:rPr>
        <w:t>应参考财政部发布的“政府采购供应商质疑函范本”</w:t>
      </w:r>
      <w:r>
        <w:rPr>
          <w:rFonts w:hint="eastAsia" w:ascii="楷体" w:hAnsi="楷体" w:eastAsia="楷体" w:cs="楷体"/>
          <w:color w:val="auto"/>
          <w:sz w:val="24"/>
          <w:highlight w:val="white"/>
        </w:rPr>
        <w:t>。</w:t>
      </w:r>
    </w:p>
    <w:p w14:paraId="2E06E0D0">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1</w:t>
      </w:r>
      <w:r>
        <w:rPr>
          <w:rFonts w:hint="eastAsia" w:ascii="楷体" w:hAnsi="楷体" w:eastAsia="楷体" w:cs="楷体"/>
          <w:color w:val="auto"/>
          <w:sz w:val="24"/>
          <w:highlight w:val="white"/>
        </w:rPr>
        <w:t>.5 采购人或</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组织方在收到供应商的书面质疑后将及时组织调查核实，在七个工作日内作出答复，并以书面形式通知质疑供应商和其他有关供应商，答复的内容不涉及商业秘密。</w:t>
      </w:r>
    </w:p>
    <w:p w14:paraId="38FA78B8">
      <w:pPr>
        <w:pStyle w:val="44"/>
        <w:numPr>
          <w:ilvl w:val="0"/>
          <w:numId w:val="4"/>
        </w:numPr>
        <w:ind w:left="425" w:leftChars="0" w:hanging="425" w:firstLineChars="0"/>
        <w:rPr>
          <w:rFonts w:hint="eastAsia" w:ascii="楷体" w:hAnsi="楷体" w:eastAsia="楷体" w:cs="楷体"/>
          <w:color w:val="auto"/>
        </w:rPr>
      </w:pPr>
      <w:bookmarkStart w:id="148" w:name="_Toc73965898"/>
      <w:bookmarkStart w:id="149" w:name="_Toc256000048"/>
      <w:bookmarkStart w:id="150" w:name="_Toc4522"/>
      <w:r>
        <w:rPr>
          <w:rFonts w:hint="eastAsia" w:ascii="楷体" w:hAnsi="楷体" w:eastAsia="楷体" w:cs="楷体"/>
          <w:color w:val="auto"/>
          <w:highlight w:val="white"/>
        </w:rPr>
        <w:t>投诉</w:t>
      </w:r>
      <w:bookmarkEnd w:id="148"/>
      <w:bookmarkEnd w:id="149"/>
      <w:bookmarkEnd w:id="150"/>
    </w:p>
    <w:p w14:paraId="73834C6D">
      <w:pPr>
        <w:spacing w:line="360" w:lineRule="auto"/>
        <w:ind w:firstLine="480"/>
        <w:rPr>
          <w:rFonts w:hint="eastAsia" w:ascii="楷体" w:hAnsi="楷体" w:eastAsia="楷体" w:cs="楷体"/>
          <w:color w:val="auto"/>
          <w:sz w:val="24"/>
          <w:highlight w:val="white"/>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2</w:t>
      </w:r>
      <w:r>
        <w:rPr>
          <w:rFonts w:hint="eastAsia" w:ascii="楷体" w:hAnsi="楷体" w:eastAsia="楷体" w:cs="楷体"/>
          <w:color w:val="auto"/>
          <w:sz w:val="24"/>
          <w:highlight w:val="white"/>
        </w:rPr>
        <w:t>.1 质疑供应商对采购人、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组织方的答复不满意，或者采购人、</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组织方未在规定的时间内作出答复的，可以在答复期满后十五个工作日内向</w:t>
      </w:r>
      <w:r>
        <w:rPr>
          <w:rFonts w:hint="eastAsia" w:ascii="楷体" w:hAnsi="楷体" w:eastAsia="楷体" w:cs="楷体"/>
          <w:color w:val="auto"/>
          <w:sz w:val="24"/>
          <w:highlight w:val="white"/>
          <w:lang w:val="en-US" w:eastAsia="zh-CN"/>
        </w:rPr>
        <w:t>采购项目同级财政部门</w:t>
      </w:r>
      <w:r>
        <w:rPr>
          <w:rFonts w:hint="eastAsia" w:ascii="楷体" w:hAnsi="楷体" w:eastAsia="楷体" w:cs="楷体"/>
          <w:color w:val="auto"/>
          <w:sz w:val="24"/>
          <w:highlight w:val="white"/>
        </w:rPr>
        <w:t>投诉。</w:t>
      </w:r>
      <w:bookmarkStart w:id="151" w:name="_Toc73965899"/>
      <w:bookmarkStart w:id="152" w:name="_Toc256000049"/>
    </w:p>
    <w:p w14:paraId="6FF6963A">
      <w:pPr>
        <w:spacing w:line="360" w:lineRule="auto"/>
        <w:jc w:val="center"/>
        <w:rPr>
          <w:rFonts w:hint="eastAsia" w:ascii="楷体" w:hAnsi="楷体" w:eastAsia="楷体" w:cs="楷体"/>
          <w:b/>
          <w:color w:val="auto"/>
          <w:sz w:val="24"/>
          <w:highlight w:val="white"/>
        </w:rPr>
      </w:pPr>
      <w:r>
        <w:rPr>
          <w:rFonts w:hint="eastAsia" w:ascii="楷体" w:hAnsi="楷体" w:eastAsia="楷体" w:cs="楷体"/>
          <w:b/>
          <w:color w:val="auto"/>
          <w:sz w:val="32"/>
          <w:highlight w:val="white"/>
        </w:rPr>
        <w:t>八、诚实信用和解释权</w:t>
      </w:r>
    </w:p>
    <w:bookmarkEnd w:id="151"/>
    <w:bookmarkEnd w:id="152"/>
    <w:p w14:paraId="2D419530">
      <w:pPr>
        <w:pStyle w:val="44"/>
        <w:numPr>
          <w:ilvl w:val="0"/>
          <w:numId w:val="4"/>
        </w:numPr>
        <w:ind w:left="425" w:leftChars="0" w:hanging="425" w:firstLineChars="0"/>
        <w:rPr>
          <w:rFonts w:hint="eastAsia" w:ascii="楷体" w:hAnsi="楷体" w:eastAsia="楷体" w:cs="楷体"/>
          <w:color w:val="auto"/>
        </w:rPr>
      </w:pPr>
      <w:bookmarkStart w:id="153" w:name="_Toc24685"/>
      <w:bookmarkStart w:id="154" w:name="_Toc256000050"/>
      <w:bookmarkStart w:id="155" w:name="_Toc73965900"/>
      <w:r>
        <w:rPr>
          <w:rFonts w:hint="eastAsia" w:ascii="楷体" w:hAnsi="楷体" w:eastAsia="楷体" w:cs="楷体"/>
          <w:color w:val="auto"/>
          <w:highlight w:val="white"/>
        </w:rPr>
        <w:t>诚实信用</w:t>
      </w:r>
      <w:bookmarkEnd w:id="153"/>
      <w:bookmarkEnd w:id="154"/>
      <w:bookmarkEnd w:id="155"/>
    </w:p>
    <w:p w14:paraId="368DFEFA">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eastAsia="zh-CN"/>
        </w:rPr>
        <w:t>33</w:t>
      </w:r>
      <w:r>
        <w:rPr>
          <w:rFonts w:hint="eastAsia" w:ascii="楷体" w:hAnsi="楷体" w:eastAsia="楷体" w:cs="楷体"/>
          <w:color w:val="auto"/>
          <w:sz w:val="24"/>
          <w:highlight w:val="white"/>
        </w:rPr>
        <w:t>.1 供应商之间不得相互串通</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报价，不得妨碍其他供应商的公平竞争，不得损害采购人和其他供应商的合法权益。</w:t>
      </w:r>
    </w:p>
    <w:p w14:paraId="5E92E65B">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val="en-US" w:eastAsia="zh-CN"/>
        </w:rPr>
        <w:t>33</w:t>
      </w:r>
      <w:r>
        <w:rPr>
          <w:rFonts w:hint="eastAsia" w:ascii="楷体" w:hAnsi="楷体" w:eastAsia="楷体" w:cs="楷体"/>
          <w:color w:val="auto"/>
          <w:sz w:val="24"/>
          <w:highlight w:val="white"/>
        </w:rPr>
        <w:t>.2 供应商不得以向</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组织方工作人员、</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小组成员行贿或者采取其他不正当手段谋取成交。经查实供应商有此行为的，政府采购管理部门将供应商列入不良行为记录名单，按照政府采购有关规定处理。</w:t>
      </w:r>
    </w:p>
    <w:p w14:paraId="4B465AE7">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lang w:eastAsia="zh-CN"/>
        </w:rPr>
        <w:t>33</w:t>
      </w:r>
      <w:r>
        <w:rPr>
          <w:rFonts w:hint="eastAsia" w:ascii="楷体" w:hAnsi="楷体" w:eastAsia="楷体" w:cs="楷体"/>
          <w:color w:val="auto"/>
          <w:sz w:val="24"/>
          <w:highlight w:val="white"/>
        </w:rPr>
        <w:t>.3 供应商不得虚假承诺，否则，按照提供虚假材料谋取中标/成交处理。</w:t>
      </w:r>
    </w:p>
    <w:p w14:paraId="315845F7">
      <w:pPr>
        <w:spacing w:line="360" w:lineRule="auto"/>
        <w:ind w:left="2" w:firstLine="480"/>
        <w:rPr>
          <w:rFonts w:hint="eastAsia" w:ascii="楷体" w:hAnsi="楷体" w:eastAsia="楷体" w:cs="楷体"/>
          <w:color w:val="auto"/>
          <w:sz w:val="24"/>
        </w:rPr>
      </w:pPr>
      <w:r>
        <w:rPr>
          <w:rFonts w:hint="eastAsia" w:ascii="楷体" w:hAnsi="楷体" w:eastAsia="楷体" w:cs="楷体"/>
          <w:color w:val="auto"/>
          <w:sz w:val="24"/>
          <w:highlight w:val="white"/>
          <w:lang w:eastAsia="zh-CN"/>
        </w:rPr>
        <w:t>33</w:t>
      </w:r>
      <w:r>
        <w:rPr>
          <w:rFonts w:hint="eastAsia" w:ascii="楷体" w:hAnsi="楷体" w:eastAsia="楷体" w:cs="楷体"/>
          <w:color w:val="auto"/>
          <w:sz w:val="24"/>
          <w:highlight w:val="white"/>
        </w:rPr>
        <w:t>.4 供应商应自觉遵守</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纪律，扰乱</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现场秩序的，属于失信行为，根据《江苏省政府采购供应商监督管理暂行办法》，失信行为将被记入供应商诚信档案。</w:t>
      </w:r>
    </w:p>
    <w:p w14:paraId="5382C756">
      <w:pPr>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 w:val="24"/>
        </w:rPr>
      </w:pPr>
      <w:r>
        <w:rPr>
          <w:rFonts w:hint="eastAsia" w:ascii="楷体" w:hAnsi="楷体" w:eastAsia="楷体" w:cs="楷体"/>
          <w:color w:val="auto"/>
          <w:sz w:val="24"/>
          <w:highlight w:val="white"/>
          <w:lang w:eastAsia="zh-CN"/>
        </w:rPr>
        <w:t>33</w:t>
      </w:r>
      <w:r>
        <w:rPr>
          <w:rFonts w:hint="eastAsia" w:ascii="楷体" w:hAnsi="楷体" w:eastAsia="楷体" w:cs="楷体"/>
          <w:color w:val="auto"/>
          <w:sz w:val="24"/>
          <w:highlight w:val="white"/>
        </w:rPr>
        <w:t>.5 根据《财政部关于在政府采购活动中查询及使用信息记录有关问题的通知》（财库〔2016〕125号）、江苏省财政厅《关于做好政府采购信用信息查询使用及登记等工作的通知》（苏财购〔2016〕50号）等文件精神，采购人在项目资格审查时对参加本项目的各供应商进行信用记录查询，信用记录查询渠道为“信用中国”网站（www.creditchina.gov.cn ）、中国政府采购网（www.ccgp.gov.cn ）、“信用江苏”网站（http://credit.jiangsu.gov.cn/），信用记录查询截止时间为项目资格审查结束时，信用信息查询记录及证据留存的具体方式为打印或网页截图。对存在失信信息的供应商（列入失信被执行人、重大税收违法案件当事人名单、政府采购严重违法失信行为记录名单及其他不符合《中华人民共和国政府采购法》第二十二条规定条件的供应商）应当拒绝其参与政府采购活动。</w:t>
      </w:r>
    </w:p>
    <w:p w14:paraId="5FB68C1E">
      <w:pPr>
        <w:pStyle w:val="44"/>
        <w:numPr>
          <w:ilvl w:val="0"/>
          <w:numId w:val="4"/>
        </w:numPr>
        <w:ind w:left="425" w:leftChars="0" w:hanging="425" w:firstLineChars="0"/>
        <w:rPr>
          <w:rFonts w:hint="eastAsia" w:ascii="楷体" w:hAnsi="楷体" w:eastAsia="楷体" w:cs="楷体"/>
          <w:color w:val="auto"/>
          <w:lang w:eastAsia="zh-CN"/>
        </w:rPr>
      </w:pPr>
      <w:bookmarkStart w:id="156" w:name="_Toc73965901"/>
      <w:bookmarkStart w:id="157" w:name="_Toc12514"/>
      <w:bookmarkStart w:id="158" w:name="_Toc256000051"/>
      <w:r>
        <w:rPr>
          <w:rFonts w:hint="eastAsia" w:ascii="楷体" w:hAnsi="楷体" w:eastAsia="楷体" w:cs="楷体"/>
          <w:color w:val="auto"/>
          <w:highlight w:val="white"/>
        </w:rPr>
        <w:t>解释权</w:t>
      </w:r>
      <w:bookmarkEnd w:id="156"/>
      <w:bookmarkEnd w:id="157"/>
      <w:bookmarkEnd w:id="158"/>
    </w:p>
    <w:p w14:paraId="6A664236">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4</w:t>
      </w:r>
      <w:r>
        <w:rPr>
          <w:rFonts w:hint="eastAsia" w:ascii="楷体" w:hAnsi="楷体" w:eastAsia="楷体" w:cs="楷体"/>
          <w:color w:val="auto"/>
          <w:sz w:val="24"/>
          <w:highlight w:val="white"/>
        </w:rPr>
        <w:t>.1 除相关法律、法规规定外，本</w:t>
      </w:r>
      <w:r>
        <w:rPr>
          <w:rFonts w:hint="eastAsia" w:ascii="楷体" w:hAnsi="楷体" w:eastAsia="楷体" w:cs="楷体"/>
          <w:color w:val="auto"/>
          <w:sz w:val="24"/>
          <w:highlight w:val="white"/>
          <w:lang w:eastAsia="zh-CN"/>
        </w:rPr>
        <w:t>磋商</w:t>
      </w:r>
      <w:r>
        <w:rPr>
          <w:rFonts w:hint="eastAsia" w:ascii="楷体" w:hAnsi="楷体" w:eastAsia="楷体" w:cs="楷体"/>
          <w:color w:val="auto"/>
          <w:sz w:val="24"/>
          <w:highlight w:val="white"/>
        </w:rPr>
        <w:t>文件的解释权归</w:t>
      </w:r>
      <w:r>
        <w:rPr>
          <w:rFonts w:hint="eastAsia" w:ascii="楷体" w:hAnsi="楷体" w:eastAsia="楷体" w:cs="楷体"/>
          <w:b/>
          <w:color w:val="auto"/>
          <w:sz w:val="24"/>
          <w:highlight w:val="white"/>
          <w:lang w:eastAsia="zh-CN"/>
        </w:rPr>
        <w:t>江苏智汇锡建工程项目管理有限公司</w:t>
      </w:r>
      <w:r>
        <w:rPr>
          <w:rFonts w:hint="eastAsia" w:ascii="楷体" w:hAnsi="楷体" w:eastAsia="楷体" w:cs="楷体"/>
          <w:color w:val="auto"/>
          <w:sz w:val="24"/>
          <w:highlight w:val="white"/>
        </w:rPr>
        <w:t>所有。</w:t>
      </w:r>
    </w:p>
    <w:p w14:paraId="05D6655B">
      <w:pPr>
        <w:pStyle w:val="44"/>
        <w:numPr>
          <w:ilvl w:val="0"/>
          <w:numId w:val="4"/>
        </w:numPr>
        <w:ind w:left="425" w:leftChars="0" w:hanging="425" w:firstLineChars="0"/>
        <w:rPr>
          <w:rFonts w:hint="eastAsia" w:ascii="楷体" w:hAnsi="楷体" w:eastAsia="楷体" w:cs="楷体"/>
          <w:color w:val="auto"/>
        </w:rPr>
      </w:pPr>
      <w:bookmarkStart w:id="159" w:name="_Toc256000052"/>
      <w:bookmarkStart w:id="160" w:name="_Toc9717"/>
      <w:bookmarkStart w:id="161" w:name="_Toc73965902"/>
      <w:r>
        <w:rPr>
          <w:rFonts w:hint="eastAsia" w:ascii="楷体" w:hAnsi="楷体" w:eastAsia="楷体" w:cs="楷体"/>
          <w:color w:val="auto"/>
          <w:highlight w:val="white"/>
        </w:rPr>
        <w:t>适用法律及约束力</w:t>
      </w:r>
      <w:bookmarkEnd w:id="159"/>
      <w:bookmarkEnd w:id="160"/>
      <w:bookmarkEnd w:id="161"/>
    </w:p>
    <w:p w14:paraId="5FBF0962">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5</w:t>
      </w:r>
      <w:r>
        <w:rPr>
          <w:rFonts w:hint="eastAsia" w:ascii="楷体" w:hAnsi="楷体" w:eastAsia="楷体" w:cs="楷体"/>
          <w:color w:val="auto"/>
          <w:sz w:val="24"/>
          <w:highlight w:val="white"/>
        </w:rPr>
        <w:t xml:space="preserve">.1 </w:t>
      </w:r>
      <w:r>
        <w:rPr>
          <w:rFonts w:hint="eastAsia" w:ascii="楷体" w:hAnsi="楷体" w:eastAsia="楷体" w:cs="楷体"/>
          <w:b/>
          <w:color w:val="auto"/>
          <w:sz w:val="24"/>
          <w:highlight w:val="white"/>
        </w:rPr>
        <w:t>供应商一旦获取了本</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文件并参加</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，即被认为接受了本</w:t>
      </w:r>
      <w:r>
        <w:rPr>
          <w:rFonts w:hint="eastAsia" w:ascii="楷体" w:hAnsi="楷体" w:eastAsia="楷体" w:cs="楷体"/>
          <w:b/>
          <w:color w:val="auto"/>
          <w:sz w:val="24"/>
          <w:highlight w:val="white"/>
          <w:lang w:eastAsia="zh-CN"/>
        </w:rPr>
        <w:t>磋商</w:t>
      </w:r>
      <w:r>
        <w:rPr>
          <w:rFonts w:hint="eastAsia" w:ascii="楷体" w:hAnsi="楷体" w:eastAsia="楷体" w:cs="楷体"/>
          <w:b/>
          <w:color w:val="auto"/>
          <w:sz w:val="24"/>
          <w:highlight w:val="white"/>
        </w:rPr>
        <w:t>文件的规定和约束。</w:t>
      </w:r>
    </w:p>
    <w:p w14:paraId="4D5361CC">
      <w:pPr>
        <w:spacing w:line="360" w:lineRule="auto"/>
        <w:ind w:firstLine="480"/>
        <w:rPr>
          <w:rFonts w:hint="eastAsia" w:ascii="楷体" w:hAnsi="楷体" w:eastAsia="楷体" w:cs="楷体"/>
          <w:color w:val="auto"/>
          <w:sz w:val="20"/>
        </w:rPr>
      </w:pPr>
      <w:r>
        <w:rPr>
          <w:rFonts w:hint="eastAsia" w:ascii="楷体" w:hAnsi="楷体" w:eastAsia="楷体" w:cs="楷体"/>
          <w:color w:val="auto"/>
          <w:sz w:val="24"/>
          <w:highlight w:val="white"/>
        </w:rPr>
        <w:t>3</w:t>
      </w:r>
      <w:r>
        <w:rPr>
          <w:rFonts w:hint="eastAsia" w:ascii="楷体" w:hAnsi="楷体" w:eastAsia="楷体" w:cs="楷体"/>
          <w:color w:val="auto"/>
          <w:sz w:val="24"/>
          <w:highlight w:val="white"/>
          <w:lang w:val="en-US" w:eastAsia="zh-CN"/>
        </w:rPr>
        <w:t>5</w:t>
      </w:r>
      <w:r>
        <w:rPr>
          <w:rFonts w:hint="eastAsia" w:ascii="楷体" w:hAnsi="楷体" w:eastAsia="楷体" w:cs="楷体"/>
          <w:color w:val="auto"/>
          <w:sz w:val="24"/>
          <w:highlight w:val="white"/>
        </w:rPr>
        <w:t>.2 本次采购及由本次采购产生的合同受中华人民共和国法律制约和保护。</w:t>
      </w:r>
      <w:bookmarkStart w:id="162" w:name="EBa6ae7c1f3666486c955ee247398e297f"/>
      <w:r>
        <w:rPr>
          <w:rFonts w:hint="eastAsia" w:ascii="楷体" w:hAnsi="楷体" w:eastAsia="楷体" w:cs="楷体"/>
          <w:color w:val="auto"/>
          <w:sz w:val="20"/>
          <w:highlight w:val="white"/>
        </w:rPr>
        <w:t xml:space="preserve"> </w:t>
      </w:r>
      <w:bookmarkEnd w:id="162"/>
    </w:p>
    <w:p w14:paraId="39976AAE">
      <w:pPr>
        <w:rPr>
          <w:rFonts w:hint="eastAsia" w:ascii="楷体" w:hAnsi="楷体" w:eastAsia="楷体" w:cs="楷体"/>
          <w:color w:val="auto"/>
          <w:sz w:val="20"/>
        </w:rPr>
      </w:pPr>
      <w:r>
        <w:rPr>
          <w:rFonts w:hint="eastAsia" w:ascii="楷体" w:hAnsi="楷体" w:eastAsia="楷体" w:cs="楷体"/>
          <w:color w:val="auto"/>
          <w:sz w:val="20"/>
        </w:rPr>
        <w:br w:type="page"/>
      </w:r>
    </w:p>
    <w:p w14:paraId="54BF96E6">
      <w:pPr>
        <w:spacing w:line="360" w:lineRule="auto"/>
        <w:rPr>
          <w:rFonts w:hint="eastAsia" w:ascii="楷体" w:hAnsi="楷体" w:eastAsia="楷体" w:cs="楷体"/>
          <w:color w:val="auto"/>
          <w:sz w:val="20"/>
        </w:rPr>
      </w:pPr>
    </w:p>
    <w:p w14:paraId="4B1FADDF">
      <w:pPr>
        <w:widowControl/>
        <w:jc w:val="center"/>
        <w:outlineLvl w:val="0"/>
        <w:rPr>
          <w:rFonts w:hint="eastAsia" w:ascii="楷体" w:hAnsi="楷体" w:eastAsia="楷体" w:cs="楷体"/>
          <w:b/>
          <w:color w:val="auto"/>
          <w:sz w:val="44"/>
          <w:szCs w:val="44"/>
          <w:lang w:eastAsia="zh-CN"/>
        </w:rPr>
      </w:pPr>
      <w:bookmarkStart w:id="163" w:name="_Toc73365511"/>
      <w:bookmarkStart w:id="164" w:name="_Toc73364898"/>
      <w:bookmarkStart w:id="165" w:name="_Toc32088"/>
      <w:bookmarkStart w:id="166" w:name="_Toc73965904"/>
      <w:bookmarkStart w:id="167" w:name="_Toc256000054"/>
      <w:r>
        <w:rPr>
          <w:rFonts w:hint="eastAsia" w:ascii="楷体" w:hAnsi="楷体" w:eastAsia="楷体" w:cs="楷体"/>
          <w:b/>
          <w:color w:val="auto"/>
          <w:sz w:val="44"/>
          <w:szCs w:val="44"/>
        </w:rPr>
        <w:t>第三部分  拟签订的合同</w:t>
      </w:r>
      <w:bookmarkEnd w:id="163"/>
      <w:bookmarkEnd w:id="164"/>
      <w:r>
        <w:rPr>
          <w:rFonts w:hint="eastAsia" w:ascii="楷体" w:hAnsi="楷体" w:eastAsia="楷体" w:cs="楷体"/>
          <w:b/>
          <w:color w:val="auto"/>
          <w:sz w:val="44"/>
          <w:szCs w:val="44"/>
        </w:rPr>
        <w:t>文本</w:t>
      </w:r>
      <w:bookmarkEnd w:id="165"/>
    </w:p>
    <w:bookmarkEnd w:id="166"/>
    <w:bookmarkEnd w:id="167"/>
    <w:p w14:paraId="2D50E826">
      <w:pPr>
        <w:pStyle w:val="253"/>
        <w:jc w:val="left"/>
        <w:rPr>
          <w:rStyle w:val="197"/>
          <w:rFonts w:hint="eastAsia" w:ascii="楷体" w:hAnsi="楷体" w:eastAsia="楷体" w:cs="楷体"/>
          <w:bCs/>
          <w:color w:val="auto"/>
          <w:sz w:val="32"/>
          <w:szCs w:val="32"/>
        </w:rPr>
      </w:pPr>
      <w:bookmarkStart w:id="168" w:name="_Toc256000055"/>
      <w:bookmarkStart w:id="169" w:name="_Toc73965905"/>
    </w:p>
    <w:p w14:paraId="5883A3FB">
      <w:pPr>
        <w:keepNext w:val="0"/>
        <w:keepLines w:val="0"/>
        <w:pageBreakBefore w:val="0"/>
        <w:widowControl w:val="0"/>
        <w:kinsoku/>
        <w:wordWrap/>
        <w:overflowPunct/>
        <w:topLinePunct w:val="0"/>
        <w:autoSpaceDE/>
        <w:autoSpaceDN/>
        <w:bidi w:val="0"/>
        <w:adjustRightInd/>
        <w:snapToGrid/>
        <w:spacing w:after="181" w:afterLines="50" w:line="360" w:lineRule="auto"/>
        <w:ind w:left="0" w:leftChars="0" w:right="0" w:rightChars="0"/>
        <w:jc w:val="center"/>
        <w:textAlignment w:val="auto"/>
        <w:rPr>
          <w:rFonts w:hint="eastAsia" w:ascii="楷体" w:hAnsi="楷体" w:eastAsia="楷体" w:cs="楷体"/>
          <w:b/>
          <w:color w:val="auto"/>
          <w:sz w:val="24"/>
          <w:highlight w:val="none"/>
        </w:rPr>
      </w:pPr>
      <w:r>
        <w:rPr>
          <w:rFonts w:hint="eastAsia" w:ascii="楷体" w:hAnsi="楷体" w:eastAsia="楷体" w:cs="楷体"/>
          <w:b/>
          <w:color w:val="auto"/>
          <w:sz w:val="24"/>
          <w:highlight w:val="none"/>
        </w:rPr>
        <w:t>施工合同</w:t>
      </w:r>
    </w:p>
    <w:p w14:paraId="40593DD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甲方：</w:t>
      </w:r>
      <w:r>
        <w:rPr>
          <w:rFonts w:hint="eastAsia" w:ascii="楷体" w:hAnsi="楷体" w:eastAsia="楷体" w:cs="楷体"/>
          <w:b/>
          <w:color w:val="auto"/>
          <w:sz w:val="24"/>
          <w:highlight w:val="none"/>
          <w:shd w:val="clear" w:color="auto" w:fill="FFFFFF"/>
        </w:rPr>
        <w:t>句容市民政局</w:t>
      </w:r>
    </w:p>
    <w:p w14:paraId="10D5F23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 xml:space="preserve">乙方:         </w:t>
      </w:r>
    </w:p>
    <w:p w14:paraId="201EC01E">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b/>
          <w:color w:val="auto"/>
          <w:sz w:val="24"/>
          <w:highlight w:val="none"/>
          <w:shd w:val="clear" w:color="auto" w:fill="FFFFFF"/>
        </w:rPr>
      </w:pPr>
      <w:r>
        <w:rPr>
          <w:rFonts w:hint="eastAsia" w:ascii="楷体" w:hAnsi="楷体" w:eastAsia="楷体" w:cs="楷体"/>
          <w:color w:val="auto"/>
          <w:sz w:val="24"/>
          <w:highlight w:val="none"/>
          <w:shd w:val="clear" w:color="auto" w:fill="FFFFFF"/>
        </w:rPr>
        <w:t>见证方：</w:t>
      </w:r>
      <w:r>
        <w:rPr>
          <w:rFonts w:hint="eastAsia" w:ascii="楷体" w:hAnsi="楷体" w:eastAsia="楷体" w:cs="楷体"/>
          <w:b/>
          <w:color w:val="auto"/>
          <w:sz w:val="24"/>
          <w:highlight w:val="none"/>
          <w:shd w:val="clear" w:color="auto" w:fill="FFFFFF"/>
        </w:rPr>
        <w:t xml:space="preserve"> </w:t>
      </w:r>
    </w:p>
    <w:p w14:paraId="29B97286">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甲、乙双方依据《中华人民共和国民法典》、《中华人民共和国建筑法》等相关法律、法规及“</w:t>
      </w:r>
      <w:r>
        <w:rPr>
          <w:rFonts w:hint="eastAsia" w:ascii="楷体" w:hAnsi="楷体" w:eastAsia="楷体" w:cs="楷体"/>
          <w:color w:val="auto"/>
          <w:sz w:val="24"/>
          <w:highlight w:val="none"/>
          <w:lang w:eastAsia="zh-CN"/>
        </w:rPr>
        <w:t>句容市养老护理院户外设施增设项目</w:t>
      </w:r>
      <w:r>
        <w:rPr>
          <w:rFonts w:hint="eastAsia" w:ascii="楷体" w:hAnsi="楷体" w:eastAsia="楷体" w:cs="楷体"/>
          <w:color w:val="auto"/>
          <w:sz w:val="24"/>
          <w:highlight w:val="none"/>
        </w:rPr>
        <w:t xml:space="preserve"> </w:t>
      </w:r>
      <w:r>
        <w:rPr>
          <w:rFonts w:hint="eastAsia" w:ascii="楷体" w:hAnsi="楷体" w:eastAsia="楷体" w:cs="楷体"/>
          <w:color w:val="auto"/>
          <w:sz w:val="24"/>
          <w:highlight w:val="none"/>
          <w:shd w:val="clear" w:color="auto" w:fill="FFFFFF"/>
        </w:rPr>
        <w:t>”磋商文件的要求和磋商结果，就甲方将</w:t>
      </w:r>
      <w:r>
        <w:rPr>
          <w:rFonts w:hint="eastAsia" w:ascii="楷体" w:hAnsi="楷体" w:eastAsia="楷体" w:cs="楷体"/>
          <w:color w:val="auto"/>
          <w:sz w:val="24"/>
          <w:highlight w:val="none"/>
          <w:u w:val="single"/>
          <w:shd w:val="clear" w:color="auto" w:fill="FFFFFF"/>
          <w:lang w:eastAsia="zh-CN"/>
        </w:rPr>
        <w:t>句容市养老护理院户外设施增设项目</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发包给乙方的有关事项签订本合同。</w:t>
      </w:r>
    </w:p>
    <w:p w14:paraId="7ADB484F">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合同附件及本项目的招标文件（磋商文件）、投标文件（磋商响应文件）、中标通知书（成交通知书）、在实施过程中双方共同签署的补充文件等均为本合同不可分割之一部分）。</w:t>
      </w:r>
    </w:p>
    <w:p w14:paraId="77709043">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一、工程概况</w:t>
      </w:r>
    </w:p>
    <w:p w14:paraId="7F69E3A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1.工程名称：</w:t>
      </w:r>
      <w:r>
        <w:rPr>
          <w:rFonts w:hint="eastAsia" w:ascii="楷体" w:hAnsi="楷体" w:eastAsia="楷体" w:cs="楷体"/>
          <w:color w:val="auto"/>
          <w:sz w:val="24"/>
          <w:highlight w:val="none"/>
          <w:u w:val="single"/>
          <w:shd w:val="clear" w:color="auto" w:fill="FFFFFF"/>
          <w:lang w:eastAsia="zh-CN"/>
        </w:rPr>
        <w:t>句容市养老护理院户外设施增设项目</w:t>
      </w:r>
      <w:r>
        <w:rPr>
          <w:rFonts w:hint="eastAsia" w:ascii="楷体" w:hAnsi="楷体" w:eastAsia="楷体" w:cs="楷体"/>
          <w:color w:val="auto"/>
          <w:sz w:val="24"/>
          <w:highlight w:val="none"/>
          <w:u w:val="single"/>
          <w:shd w:val="clear" w:color="auto" w:fill="FFFFFF"/>
        </w:rPr>
        <w:t xml:space="preserve"> </w:t>
      </w:r>
    </w:p>
    <w:p w14:paraId="64500725">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2.工程地点：</w:t>
      </w:r>
      <w:r>
        <w:rPr>
          <w:rFonts w:hint="eastAsia" w:ascii="楷体" w:hAnsi="楷体" w:eastAsia="楷体" w:cs="楷体"/>
          <w:color w:val="auto"/>
          <w:sz w:val="24"/>
          <w:highlight w:val="none"/>
          <w:u w:val="single"/>
          <w:shd w:val="clear" w:color="auto" w:fill="FFFFFF"/>
        </w:rPr>
        <w:t xml:space="preserve"> 江苏省句容市   </w:t>
      </w:r>
    </w:p>
    <w:p w14:paraId="2E327A71">
      <w:pPr>
        <w:pageBreakBefore w:val="0"/>
        <w:widowControl/>
        <w:kinsoku/>
        <w:overflowPunct/>
        <w:topLinePunct w:val="0"/>
        <w:autoSpaceDE/>
        <w:autoSpaceDN/>
        <w:bidi w:val="0"/>
        <w:spacing w:line="360" w:lineRule="auto"/>
        <w:ind w:left="0" w:leftChars="0" w:right="0" w:rightChars="0" w:firstLine="480" w:firstLineChars="20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3.工程规模：</w:t>
      </w:r>
      <w:r>
        <w:rPr>
          <w:rFonts w:hint="eastAsia" w:ascii="楷体" w:hAnsi="楷体" w:eastAsia="楷体" w:cs="楷体"/>
          <w:color w:val="auto"/>
          <w:sz w:val="24"/>
          <w:highlight w:val="none"/>
          <w:u w:val="single"/>
          <w:shd w:val="clear" w:color="auto" w:fill="FFFFFF"/>
        </w:rPr>
        <w:t>（最终工作量以实际为准）</w:t>
      </w:r>
    </w:p>
    <w:p w14:paraId="66275099">
      <w:pPr>
        <w:pageBreakBefore w:val="0"/>
        <w:widowControl/>
        <w:kinsoku/>
        <w:overflowPunct/>
        <w:topLinePunct w:val="0"/>
        <w:autoSpaceDE/>
        <w:autoSpaceDN/>
        <w:bidi w:val="0"/>
        <w:spacing w:line="360" w:lineRule="auto"/>
        <w:ind w:left="0" w:leftChars="0" w:right="0" w:rightChars="0" w:firstLine="480" w:firstLineChars="20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二、合同工期</w:t>
      </w:r>
    </w:p>
    <w:p w14:paraId="159406E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本工程合同总工期为</w:t>
      </w:r>
      <w:r>
        <w:rPr>
          <w:rFonts w:hint="eastAsia" w:ascii="楷体" w:hAnsi="楷体" w:eastAsia="楷体" w:cs="楷体"/>
          <w:color w:val="auto"/>
          <w:sz w:val="24"/>
          <w:highlight w:val="none"/>
          <w:u w:val="single"/>
          <w:shd w:val="clear" w:color="auto" w:fill="FFFFFF"/>
        </w:rPr>
        <w:t>30</w:t>
      </w:r>
      <w:r>
        <w:rPr>
          <w:rFonts w:hint="eastAsia" w:ascii="楷体" w:hAnsi="楷体" w:eastAsia="楷体" w:cs="楷体"/>
          <w:color w:val="auto"/>
          <w:sz w:val="24"/>
          <w:highlight w:val="none"/>
          <w:shd w:val="clear" w:color="auto" w:fill="FFFFFF"/>
        </w:rPr>
        <w:t>日历天，开工日期为</w:t>
      </w:r>
      <w:r>
        <w:rPr>
          <w:rFonts w:hint="eastAsia" w:ascii="楷体" w:hAnsi="楷体" w:eastAsia="楷体" w:cs="楷体"/>
          <w:color w:val="auto"/>
          <w:sz w:val="24"/>
          <w:highlight w:val="none"/>
          <w:u w:val="single"/>
          <w:shd w:val="clear" w:color="auto" w:fill="FFFFFF"/>
        </w:rPr>
        <w:t xml:space="preserve"> 202</w:t>
      </w:r>
      <w:r>
        <w:rPr>
          <w:rFonts w:hint="eastAsia" w:ascii="楷体" w:hAnsi="楷体" w:eastAsia="楷体" w:cs="楷体"/>
          <w:color w:val="auto"/>
          <w:sz w:val="24"/>
          <w:highlight w:val="none"/>
          <w:u w:val="single"/>
          <w:shd w:val="clear" w:color="auto" w:fill="FFFFFF"/>
          <w:lang w:val="en-US" w:eastAsia="zh-CN"/>
        </w:rPr>
        <w:t>6</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年</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月</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日，竣工日期</w:t>
      </w:r>
      <w:r>
        <w:rPr>
          <w:rFonts w:hint="eastAsia" w:ascii="楷体" w:hAnsi="楷体" w:eastAsia="楷体" w:cs="楷体"/>
          <w:color w:val="auto"/>
          <w:sz w:val="24"/>
          <w:highlight w:val="none"/>
          <w:u w:val="single"/>
          <w:shd w:val="clear" w:color="auto" w:fill="FFFFFF"/>
        </w:rPr>
        <w:t>：202</w:t>
      </w:r>
      <w:r>
        <w:rPr>
          <w:rFonts w:hint="eastAsia" w:ascii="楷体" w:hAnsi="楷体" w:eastAsia="楷体" w:cs="楷体"/>
          <w:color w:val="auto"/>
          <w:sz w:val="24"/>
          <w:highlight w:val="none"/>
          <w:u w:val="single"/>
          <w:shd w:val="clear" w:color="auto" w:fill="FFFFFF"/>
          <w:lang w:val="en-US" w:eastAsia="zh-CN"/>
        </w:rPr>
        <w:t>6</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年</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月</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 xml:space="preserve">日。 </w:t>
      </w:r>
    </w:p>
    <w:p w14:paraId="26625B87">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三、合同价款及支付方式</w:t>
      </w:r>
    </w:p>
    <w:p w14:paraId="47CFE899">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1.本工程固定综合单价报价，供应商应充分考虑施工期间材料市场等各类风险，暂按合同总价款为人民币</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元),最终结算价以甲方委托有资质的审计单位出具的评审结论为双方最终结算依据。</w:t>
      </w:r>
    </w:p>
    <w:p w14:paraId="31AB77DF">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支付方式：合同签订后，甲方收到乙方开具的发票后15日内向乙方支付合同价30%的预付款；竣工验收合格后，乙方需向审计单位提供竣工图纸、结算清单（根据最终报价的单价）等竣工结算材料进行结算审计，结算完成后根据审定价，付清余款。</w:t>
      </w:r>
    </w:p>
    <w:p w14:paraId="27CDBFE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3.合同价款为含税价，支付以上任一期价款前，乙方应提供等额的增值税专用发票，开票费用由乙方自行承担，未能提供的，甲方有权拒绝支付任一期合同价款。</w:t>
      </w:r>
    </w:p>
    <w:p w14:paraId="2713F9C5">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四、质量标准</w:t>
      </w:r>
    </w:p>
    <w:p w14:paraId="61EEFBA9">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1.工程质量符合</w:t>
      </w:r>
      <w:r>
        <w:rPr>
          <w:rFonts w:hint="eastAsia" w:ascii="楷体" w:hAnsi="楷体" w:eastAsia="楷体" w:cs="楷体"/>
          <w:color w:val="auto"/>
          <w:sz w:val="24"/>
          <w:highlight w:val="none"/>
          <w:u w:val="single"/>
          <w:shd w:val="clear" w:color="auto" w:fill="FFFFFF"/>
        </w:rPr>
        <w:t xml:space="preserve"> 合格 </w:t>
      </w:r>
      <w:r>
        <w:rPr>
          <w:rFonts w:hint="eastAsia" w:ascii="楷体" w:hAnsi="楷体" w:eastAsia="楷体" w:cs="楷体"/>
          <w:color w:val="auto"/>
          <w:sz w:val="24"/>
          <w:highlight w:val="none"/>
          <w:shd w:val="clear" w:color="auto" w:fill="FFFFFF"/>
        </w:rPr>
        <w:t>标准。</w:t>
      </w:r>
    </w:p>
    <w:p w14:paraId="003549A4">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2.该工程质量必须符合现行国家施工规范及标准。</w:t>
      </w:r>
    </w:p>
    <w:p w14:paraId="0182CEF3">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3.乙方必须保证所施工的项目符合甲方正常使用，施工过程中出现的质量及安全问题，由乙方承担全部责任。</w:t>
      </w:r>
    </w:p>
    <w:p w14:paraId="0095DDDE">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五、项目经理</w:t>
      </w:r>
    </w:p>
    <w:p w14:paraId="5FC5002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乙方项目经理姓名：       </w:t>
      </w:r>
    </w:p>
    <w:p w14:paraId="4C43EC7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身份证号： </w:t>
      </w:r>
    </w:p>
    <w:p w14:paraId="70F35CF5">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建造师执业资格等级：             </w:t>
      </w:r>
    </w:p>
    <w:p w14:paraId="54B1C4E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建造师注册证书号： </w:t>
      </w:r>
    </w:p>
    <w:p w14:paraId="427B585A">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安全生产考核合格证书号：        </w:t>
      </w:r>
    </w:p>
    <w:p w14:paraId="0E7B0659">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联系电话：</w:t>
      </w:r>
    </w:p>
    <w:p w14:paraId="50E0C0B4">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乙方对项目经理的授权范围如下：全面负责本项目的工程质量控制、进度控制、现场安全生产、文明施工管理、造价及合同管理、信息管理和施工现场的组织协调，以及执行法律法规规章，建设工程施工合同和施工规范等文件规定的乙方应做的工作。</w:t>
      </w:r>
    </w:p>
    <w:p w14:paraId="1521A6E0">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六、合同文件构成</w:t>
      </w:r>
    </w:p>
    <w:p w14:paraId="2612A9D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本协议书与下列文件一起构成合同文件：</w:t>
      </w:r>
    </w:p>
    <w:p w14:paraId="2220ADDE">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（1）成交通知书；</w:t>
      </w:r>
    </w:p>
    <w:p w14:paraId="653EC2A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（2）二轮报价表；</w:t>
      </w:r>
    </w:p>
    <w:p w14:paraId="2821272E">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（3）技术标准和要求；</w:t>
      </w:r>
    </w:p>
    <w:p w14:paraId="00C9620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w:t>
      </w:r>
      <w:r>
        <w:rPr>
          <w:rFonts w:hint="eastAsia" w:ascii="楷体" w:hAnsi="楷体" w:eastAsia="楷体" w:cs="楷体"/>
          <w:color w:val="auto"/>
          <w:sz w:val="24"/>
          <w:highlight w:val="none"/>
          <w:shd w:val="clear" w:color="auto" w:fill="FFFFFF"/>
          <w:lang w:val="en-US" w:eastAsia="zh-CN"/>
        </w:rPr>
        <w:t>4</w:t>
      </w:r>
      <w:r>
        <w:rPr>
          <w:rFonts w:hint="eastAsia" w:ascii="楷体" w:hAnsi="楷体" w:eastAsia="楷体" w:cs="楷体"/>
          <w:color w:val="auto"/>
          <w:sz w:val="24"/>
          <w:highlight w:val="none"/>
          <w:shd w:val="clear" w:color="auto" w:fill="FFFFFF"/>
        </w:rPr>
        <w:t>）已标价工程量清单或预算书；</w:t>
      </w:r>
    </w:p>
    <w:p w14:paraId="69292BB4">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w:t>
      </w:r>
      <w:r>
        <w:rPr>
          <w:rFonts w:hint="eastAsia" w:ascii="楷体" w:hAnsi="楷体" w:eastAsia="楷体" w:cs="楷体"/>
          <w:color w:val="auto"/>
          <w:sz w:val="24"/>
          <w:highlight w:val="none"/>
          <w:shd w:val="clear" w:color="auto" w:fill="FFFFFF"/>
          <w:lang w:val="en-US" w:eastAsia="zh-CN"/>
        </w:rPr>
        <w:t>5</w:t>
      </w:r>
      <w:r>
        <w:rPr>
          <w:rFonts w:hint="eastAsia" w:ascii="楷体" w:hAnsi="楷体" w:eastAsia="楷体" w:cs="楷体"/>
          <w:color w:val="auto"/>
          <w:sz w:val="24"/>
          <w:highlight w:val="none"/>
          <w:shd w:val="clear" w:color="auto" w:fill="FFFFFF"/>
        </w:rPr>
        <w:t>）其他合同文件。</w:t>
      </w:r>
    </w:p>
    <w:p w14:paraId="1DDACADC">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七、甲、乙双方权利义务</w:t>
      </w:r>
    </w:p>
    <w:p w14:paraId="4022CE3F">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1.甲方的权利义务</w:t>
      </w:r>
    </w:p>
    <w:p w14:paraId="64D19E4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1.1甲方按照合同的约定期限支付工程款项。</w:t>
      </w:r>
    </w:p>
    <w:p w14:paraId="296D87E5">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1.2甲方有权监督检查乙方的施工进度、质量及安全等事项，对不符合要求的，甲方有权提出整改意见，乙方应按要求进行整改。</w:t>
      </w:r>
    </w:p>
    <w:p w14:paraId="0BEA811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2.乙方的权利义务</w:t>
      </w:r>
    </w:p>
    <w:p w14:paraId="1192A02C">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2.1乙方应加强其施工人员的安全、文明施工教育，自觉遵守甲方的规章制度和现场安全文明施工的各项规定，杜绝安全事故及各类案件的发生，维护好现场文明施工形象。</w:t>
      </w:r>
    </w:p>
    <w:p w14:paraId="6F57B029">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2.2乙方负责所有建造材料的采购，该费用已包含在本合同总价款中，乙方需对所有材料的质量负责。</w:t>
      </w:r>
    </w:p>
    <w:p w14:paraId="1278BC63">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2.3乙方应按照本合同规定的期限完成工程建设。</w:t>
      </w:r>
    </w:p>
    <w:p w14:paraId="203171AB">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2.4 乙方应根据甲方所提供的</w:t>
      </w:r>
      <w:r>
        <w:rPr>
          <w:rFonts w:hint="eastAsia" w:ascii="楷体" w:hAnsi="楷体" w:eastAsia="楷体" w:cs="楷体"/>
          <w:color w:val="auto"/>
          <w:sz w:val="24"/>
          <w:highlight w:val="none"/>
          <w:shd w:val="clear" w:color="auto" w:fill="FFFFFF"/>
          <w:lang w:val="en-US" w:eastAsia="zh-CN"/>
        </w:rPr>
        <w:t>工程量</w:t>
      </w:r>
      <w:r>
        <w:rPr>
          <w:rFonts w:hint="eastAsia" w:ascii="楷体" w:hAnsi="楷体" w:eastAsia="楷体" w:cs="楷体"/>
          <w:color w:val="auto"/>
          <w:sz w:val="24"/>
          <w:highlight w:val="none"/>
          <w:shd w:val="clear" w:color="auto" w:fill="FFFFFF"/>
        </w:rPr>
        <w:t>清单施工，不得偷工减料，混淆材料。</w:t>
      </w:r>
    </w:p>
    <w:p w14:paraId="7C329FC2">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2.5乙方在施工过程中发生任何安全事故，造成甲方或第三方人员伤亡、财产损失等一切法律责任均由乙方承担。</w:t>
      </w:r>
    </w:p>
    <w:p w14:paraId="51DD7CC0">
      <w:pPr>
        <w:pageBreakBefore w:val="0"/>
        <w:kinsoku/>
        <w:overflowPunct/>
        <w:topLinePunct w:val="0"/>
        <w:autoSpaceDE/>
        <w:autoSpaceDN/>
        <w:bidi w:val="0"/>
        <w:spacing w:line="360" w:lineRule="auto"/>
        <w:ind w:left="0" w:leftChars="0" w:right="0" w:rightChars="0" w:firstLine="720" w:firstLineChars="3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2.6 乙方要确保该项目通过住建部门的消防验收。</w:t>
      </w:r>
    </w:p>
    <w:p w14:paraId="48F85975">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八、工程质量保修</w:t>
      </w:r>
    </w:p>
    <w:p w14:paraId="4783DF2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1.本工程质量保修期为</w:t>
      </w:r>
      <w:r>
        <w:rPr>
          <w:rFonts w:hint="eastAsia" w:ascii="楷体" w:hAnsi="楷体" w:eastAsia="楷体" w:cs="楷体"/>
          <w:color w:val="auto"/>
          <w:sz w:val="24"/>
          <w:highlight w:val="none"/>
          <w:u w:val="single"/>
          <w:shd w:val="clear" w:color="auto" w:fill="FFFFFF"/>
        </w:rPr>
        <w:t xml:space="preserve">    </w:t>
      </w:r>
      <w:r>
        <w:rPr>
          <w:rFonts w:hint="eastAsia" w:ascii="楷体" w:hAnsi="楷体" w:eastAsia="楷体" w:cs="楷体"/>
          <w:color w:val="auto"/>
          <w:sz w:val="24"/>
          <w:highlight w:val="none"/>
          <w:shd w:val="clear" w:color="auto" w:fill="FFFFFF"/>
        </w:rPr>
        <w:t>年。</w:t>
      </w:r>
    </w:p>
    <w:p w14:paraId="1130607C">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2.在保修期内出现质量问题，由乙方负责无偿返修，乙方应在接到甲方电话通知1小时内负责维修，超过此期限，乙方承担此项维修费用的双倍违约赔偿金，并赔偿因此所造成的损失。</w:t>
      </w:r>
    </w:p>
    <w:p w14:paraId="780161D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3.若乙方未在约定期限积极响应，甲方可先行安排他人进行修理，因此产生的所有费用甲方可直接在工程价款及维修保证金中扣除，不足以支付的，由乙方另行给付。</w:t>
      </w:r>
    </w:p>
    <w:p w14:paraId="4F48674A">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九、竣工验收</w:t>
      </w:r>
    </w:p>
    <w:p w14:paraId="4D4FFC3B">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工程验收中如发现质量问题，乙方必须在2天内处理完毕，如因质量问题影响到交付，由乙方负全责，并承担由此引起的费用及相应的违约责任。</w:t>
      </w:r>
    </w:p>
    <w:p w14:paraId="4B4F62EA">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十、违约责任</w:t>
      </w:r>
    </w:p>
    <w:p w14:paraId="2E30688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1.乙方未按合同规定的质量要求施工，甲方有权暂扣部分工程款，直至乙方返工符合质量要求，乙方自行承担因此产生的返工费用，且工期不得顺延，还应承担给甲方造成的经济损失(费用按实计算)。</w:t>
      </w:r>
    </w:p>
    <w:p w14:paraId="25206FC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2.在施工过程中，若发生乙方存在偷工减料、使用不合格材料等情况，甲方有权解除本合同，无需向乙方承担违约责任，且不免除甲方向乙方请求赔偿的权利乙方应赔偿给甲方造成的全部损失。</w:t>
      </w:r>
    </w:p>
    <w:p w14:paraId="1391B231">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3.如非甲方原因发生工期延误，乙方应承担违约责任，工期每推迟一天，乙方向甲方支付人民币壹仟圆整，超出双方确认工期十五天视为乙方严重违约，乙方向甲方支付合同总金额20%的违约金，该违约金无法弥补损失的，应另行赔偿，且甲方有权解除本合同。</w:t>
      </w:r>
    </w:p>
    <w:p w14:paraId="4BADD95B">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4.甲、乙双方应按合同约定履行义务，如一方发生违约，则违约方需向守约方支付合同总价款20%的违约金。</w:t>
      </w:r>
    </w:p>
    <w:p w14:paraId="617B150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5.以上违约金甲方可直接从应付工程价款、维修保证金中扣除，超额部分由乙方另行支付。</w:t>
      </w:r>
    </w:p>
    <w:p w14:paraId="28B39EA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十一、其他</w:t>
      </w:r>
    </w:p>
    <w:p w14:paraId="6C4C069D">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1.合同未尽事宜，双方协商解决，协商不成，任何一方都可向句容市人民法院诉讼解决。</w:t>
      </w:r>
    </w:p>
    <w:p w14:paraId="54B3C5AF">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2.本合同经甲、乙双方签字盖章后生效。本合同一式四份，甲乙双方各执贰份，具有同等法律效力。</w:t>
      </w:r>
    </w:p>
    <w:p w14:paraId="321480D2">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bookmarkStart w:id="170" w:name="_Toc398_WPSOffice_Level1"/>
      <w:bookmarkStart w:id="171" w:name="_Toc10117_WPSOffice_Level1"/>
      <w:bookmarkStart w:id="172" w:name="_Toc25596_WPSOffice_Level1"/>
    </w:p>
    <w:p w14:paraId="296218AA">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甲方： (公章)                        乙方： (公章)</w:t>
      </w:r>
    </w:p>
    <w:p w14:paraId="4556F2E2">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p>
    <w:p w14:paraId="6BD05F2F">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法定代表人或其委托代理人：             法定代表人或其委托代理人：</w:t>
      </w:r>
    </w:p>
    <w:p w14:paraId="7C6A6CC5">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（签字）                               （签字）</w:t>
      </w:r>
    </w:p>
    <w:p w14:paraId="145E7563">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地 址：                                地 址：</w:t>
      </w:r>
    </w:p>
    <w:p w14:paraId="453777D7">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电 话：                                电 话：</w:t>
      </w:r>
    </w:p>
    <w:p w14:paraId="2AAFC5F2">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开户银行：                             开户银行：</w:t>
      </w:r>
    </w:p>
    <w:p w14:paraId="5B8C1935">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账 号：                                账 号：</w:t>
      </w:r>
    </w:p>
    <w:bookmarkEnd w:id="170"/>
    <w:bookmarkEnd w:id="171"/>
    <w:bookmarkEnd w:id="172"/>
    <w:p w14:paraId="73EDFC22">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p>
    <w:p w14:paraId="0B4F8F73">
      <w:pPr>
        <w:pageBreakBefore w:val="0"/>
        <w:kinsoku/>
        <w:overflowPunct/>
        <w:topLinePunct w:val="0"/>
        <w:autoSpaceDE/>
        <w:autoSpaceDN/>
        <w:bidi w:val="0"/>
        <w:spacing w:line="360" w:lineRule="auto"/>
        <w:ind w:left="0" w:leftChars="0" w:right="0" w:rightChars="0"/>
        <w:jc w:val="left"/>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合同签订日期：   年   月   日</w:t>
      </w:r>
    </w:p>
    <w:p w14:paraId="5C1B386F">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p>
    <w:p w14:paraId="640D70A9">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附件 1：建设工程廉政责任书</w:t>
      </w:r>
    </w:p>
    <w:p w14:paraId="22265FBB">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附件 2：建设工程承发包安全管理协议</w:t>
      </w:r>
    </w:p>
    <w:p w14:paraId="34C26855">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附件 3：工程质量保修书</w:t>
      </w:r>
    </w:p>
    <w:p w14:paraId="728C7F9A">
      <w:pPr>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4276B867">
      <w:pPr>
        <w:pageBreakBefore w:val="0"/>
        <w:kinsoku/>
        <w:overflowPunct/>
        <w:topLinePunct w:val="0"/>
        <w:autoSpaceDE/>
        <w:autoSpaceDN/>
        <w:bidi w:val="0"/>
        <w:spacing w:line="360" w:lineRule="auto"/>
        <w:ind w:left="0" w:leftChars="0" w:right="0" w:rightChars="0"/>
        <w:jc w:val="center"/>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建设工程廉政责任书</w:t>
      </w:r>
    </w:p>
    <w:p w14:paraId="4C01C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甲方（全称）：</w:t>
      </w:r>
    </w:p>
    <w:p w14:paraId="44536581">
      <w:pPr>
        <w:keepNext w:val="0"/>
        <w:keepLines w:val="0"/>
        <w:pageBreakBefore w:val="0"/>
        <w:widowControl w:val="0"/>
        <w:kinsoku/>
        <w:wordWrap/>
        <w:overflowPunct/>
        <w:topLinePunct w:val="0"/>
        <w:autoSpaceDE/>
        <w:autoSpaceDN/>
        <w:bidi w:val="0"/>
        <w:adjustRightInd/>
        <w:snapToGrid/>
        <w:spacing w:after="181" w:afterLines="50" w:line="360" w:lineRule="auto"/>
        <w:ind w:left="0" w:leftChars="0" w:right="0" w:right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乙方（全称）：</w:t>
      </w:r>
    </w:p>
    <w:p w14:paraId="6C8676A7">
      <w:pPr>
        <w:pageBreakBefore w:val="0"/>
        <w:kinsoku/>
        <w:overflowPunct/>
        <w:topLinePunct w:val="0"/>
        <w:autoSpaceDE/>
        <w:autoSpaceDN/>
        <w:bidi w:val="0"/>
        <w:spacing w:line="360" w:lineRule="auto"/>
        <w:ind w:left="0" w:leftChars="0" w:right="0" w:rightChars="0"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在</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（工程名称）</w:t>
      </w:r>
      <w:r>
        <w:rPr>
          <w:rFonts w:hint="eastAsia" w:ascii="楷体" w:hAnsi="楷体" w:eastAsia="楷体" w:cs="楷体"/>
          <w:color w:val="auto"/>
          <w:sz w:val="24"/>
          <w:highlight w:val="none"/>
        </w:rPr>
        <w:t>建设过程中，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1A574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一、双方的责任</w:t>
      </w:r>
    </w:p>
    <w:p w14:paraId="6D5D09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1.1 应严格遵守国家关于建设工程的有关法律、法规，相关政策，以及廉政建设的各项规定。</w:t>
      </w:r>
    </w:p>
    <w:p w14:paraId="77069F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1.2 严格执行建设工程合同文件，自觉按合同办事。</w:t>
      </w:r>
    </w:p>
    <w:p w14:paraId="434199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1.3 各项活动必须坚持公开、公平、公正、诚信、透明的原则(除法律法规另有规定者外)，不得为获取不正当的利益，损害国家、集体和对方利益，不得违反建设工程管理的规章制度。</w:t>
      </w:r>
    </w:p>
    <w:p w14:paraId="6CC5FC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1.4 发现对方在业务活动中有违规、违纪、违法行为的，应及时提醒对方，情节严重的，应向其上级主管部门或纪检监察、司法等有关机关举报。</w:t>
      </w:r>
    </w:p>
    <w:p w14:paraId="67FC06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二、甲方责任</w:t>
      </w:r>
    </w:p>
    <w:p w14:paraId="200C69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甲方的领导和从事该建设工程项目的工作人员，在工程建设的事前、事中、事后应遵守以下规定：</w:t>
      </w:r>
    </w:p>
    <w:p w14:paraId="4D30DE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2.1 不得向乙方和相关单位索要或接受回扣、礼金、有价证券、贵重物品和好处费、感谢费等。</w:t>
      </w:r>
    </w:p>
    <w:p w14:paraId="552E81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2.2 不得在乙方和相关单位报销任何应由甲方或个人支付的费用。</w:t>
      </w:r>
    </w:p>
    <w:p w14:paraId="403321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2.3 不得要求、暗示或接受乙方和相关单位为个人装修住房、婚丧嫁娶、配偶子女的工作安排以及出国(境)、旅游等提供方便。</w:t>
      </w:r>
    </w:p>
    <w:p w14:paraId="6A4081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2.4 不得参加有可能影响公正执行公务的乙方和相关单位的宴请、健身、娱乐等活动。</w:t>
      </w:r>
    </w:p>
    <w:p w14:paraId="260A65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2.5 不得向乙方和相关单位介绍或为配偶、子女、亲属参与同甲方工程建设管理合同有关的业务活动；不得以任何理由要求乙方和相关单位使用某种产品、材料和设备。</w:t>
      </w:r>
    </w:p>
    <w:p w14:paraId="1D01FB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三、乙方责任</w:t>
      </w:r>
    </w:p>
    <w:p w14:paraId="11EB3C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应与甲方保持正常的业务交往，按照有关法律法规和程序开展业务工作，严格执行工程建设的有关方针、政策，执行工程建设强制性标准，并遵守以下规定：</w:t>
      </w:r>
    </w:p>
    <w:p w14:paraId="4A491A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3.1 不得以任何理由向甲方及其工作人员索要、接受或赠送礼金、有价证券、贵重物品及回扣、好处费、感谢费等。</w:t>
      </w:r>
    </w:p>
    <w:p w14:paraId="122EB2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3.2 不得以任何理由为甲方和相关单位报销应由对方或个人支付的费用。</w:t>
      </w:r>
    </w:p>
    <w:p w14:paraId="39072B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3.3 不得接受或暗示为甲方、相关单位或个人装修住房、婚丧嫁娶、配偶子女的工作安排以及出国(境)、旅游等提供方便。</w:t>
      </w:r>
    </w:p>
    <w:p w14:paraId="372E59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3.4 不得以任何理由为甲方、相关单位或个人组织有可能影响公正执行公务的宴请、健身、娱乐等活动。</w:t>
      </w:r>
    </w:p>
    <w:p w14:paraId="106343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四、违约责任</w:t>
      </w:r>
    </w:p>
    <w:p w14:paraId="7ECD51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4.1 甲方工作人员有违反本责任书第一、二条责任行为的，依据有关法律、法规给予处理；涉嫌犯罪的，移交司法机关追究刑事责任；给乙方单位造成经济损失的，应予以赔偿。</w:t>
      </w:r>
    </w:p>
    <w:p w14:paraId="052BBE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4.2 乙方工作人员有违反本责任书第一、三条责任行为的，依据有关法律法规处理；涉嫌犯罪的，移交司法机关追究刑事责任；给甲方单位造成经济损失的，应予以赔偿。</w:t>
      </w:r>
    </w:p>
    <w:p w14:paraId="6E9EF4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4.3 本责任书作为建设工程合同的组成部分，与建设工程合同具有同等法律效力。经双方签署后立即生效。</w:t>
      </w:r>
    </w:p>
    <w:p w14:paraId="5669AA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五、责任书有效期</w:t>
      </w:r>
    </w:p>
    <w:p w14:paraId="38C535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本责任书的有效期为双方签署之日起至该工程项目竣工验收合格时止。</w:t>
      </w:r>
    </w:p>
    <w:p w14:paraId="04563A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六、责任书份数</w:t>
      </w:r>
    </w:p>
    <w:p w14:paraId="620A62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本责任书一式二份，甲方乙方各执一份，具有同等效力。</w:t>
      </w:r>
    </w:p>
    <w:p w14:paraId="5F36F7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p>
    <w:p w14:paraId="608823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甲方（公章）：                         乙方（公章）：</w:t>
      </w:r>
    </w:p>
    <w:p w14:paraId="408F76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法定代表人或其委托代理人：             法定代表人或其委托代理人：</w:t>
      </w:r>
    </w:p>
    <w:p w14:paraId="725A2F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（签字）                               （签字）</w:t>
      </w:r>
    </w:p>
    <w:p w14:paraId="565FCD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highlight w:val="none"/>
        </w:rPr>
      </w:pPr>
    </w:p>
    <w:p w14:paraId="64ABC1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b/>
          <w:color w:val="auto"/>
          <w:sz w:val="24"/>
          <w:highlight w:val="none"/>
        </w:rPr>
      </w:pPr>
      <w:r>
        <w:rPr>
          <w:rFonts w:hint="eastAsia" w:ascii="楷体" w:hAnsi="楷体" w:eastAsia="楷体" w:cs="楷体"/>
          <w:color w:val="auto"/>
          <w:sz w:val="24"/>
          <w:highlight w:val="none"/>
        </w:rPr>
        <w:t>日期： 年 月 日</w:t>
      </w:r>
      <w:r>
        <w:rPr>
          <w:rFonts w:hint="eastAsia" w:ascii="楷体" w:hAnsi="楷体" w:eastAsia="楷体" w:cs="楷体"/>
          <w:b/>
          <w:color w:val="auto"/>
          <w:sz w:val="24"/>
          <w:highlight w:val="none"/>
        </w:rPr>
        <w:br w:type="page"/>
      </w:r>
    </w:p>
    <w:p w14:paraId="555A376B">
      <w:pPr>
        <w:keepNext w:val="0"/>
        <w:keepLines w:val="0"/>
        <w:pageBreakBefore w:val="0"/>
        <w:widowControl w:val="0"/>
        <w:kinsoku/>
        <w:wordWrap/>
        <w:overflowPunct/>
        <w:topLinePunct w:val="0"/>
        <w:autoSpaceDE/>
        <w:autoSpaceDN/>
        <w:bidi w:val="0"/>
        <w:adjustRightInd/>
        <w:snapToGrid/>
        <w:spacing w:before="361" w:beforeLines="100" w:after="361" w:afterLines="100" w:line="360" w:lineRule="auto"/>
        <w:ind w:left="0" w:leftChars="0" w:right="0" w:rightChars="0"/>
        <w:jc w:val="center"/>
        <w:textAlignment w:val="auto"/>
        <w:rPr>
          <w:rFonts w:hint="eastAsia" w:ascii="楷体" w:hAnsi="楷体" w:eastAsia="楷体" w:cs="楷体"/>
          <w:color w:val="auto"/>
          <w:sz w:val="24"/>
          <w:highlight w:val="none"/>
        </w:rPr>
      </w:pPr>
      <w:r>
        <w:rPr>
          <w:rFonts w:hint="eastAsia" w:ascii="楷体" w:hAnsi="楷体" w:eastAsia="楷体" w:cs="楷体"/>
          <w:b/>
          <w:color w:val="auto"/>
          <w:sz w:val="24"/>
          <w:highlight w:val="none"/>
        </w:rPr>
        <w:t>建设工程承发包安全管理协议</w:t>
      </w:r>
    </w:p>
    <w:p w14:paraId="4FFFE1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甲方（全称）：</w:t>
      </w:r>
    </w:p>
    <w:p w14:paraId="343C3F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乙方（全称）：</w:t>
      </w:r>
    </w:p>
    <w:p w14:paraId="5EC8BD81">
      <w:pPr>
        <w:keepNext w:val="0"/>
        <w:keepLines w:val="0"/>
        <w:pageBreakBefore w:val="0"/>
        <w:widowControl w:val="0"/>
        <w:kinsoku/>
        <w:wordWrap/>
        <w:overflowPunct/>
        <w:topLinePunct w:val="0"/>
        <w:autoSpaceDE/>
        <w:autoSpaceDN/>
        <w:bidi w:val="0"/>
        <w:adjustRightInd/>
        <w:snapToGrid/>
        <w:spacing w:before="181" w:beforeLines="50" w:after="181" w:afterLines="50"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甲方将本建筑安装工程项目发包给乙方施工，为贯彻“安全第一、预防为主”的方针，根据《江苏省工程安全管理暂行规定》和国家有关法规，明确双方的安全生产责任，确保施工安全， 双方在签订建筑安装工程合同的同时，签订本协议。</w:t>
      </w:r>
    </w:p>
    <w:p w14:paraId="53DA9A9B">
      <w:pPr>
        <w:keepNext w:val="0"/>
        <w:keepLines w:val="0"/>
        <w:pageBreakBefore w:val="0"/>
        <w:widowControl w:val="0"/>
        <w:kinsoku/>
        <w:wordWrap/>
        <w:overflowPunct/>
        <w:topLinePunct w:val="0"/>
        <w:autoSpaceDE/>
        <w:autoSpaceDN/>
        <w:bidi w:val="0"/>
        <w:adjustRightInd/>
        <w:snapToGrid/>
        <w:spacing w:before="181" w:beforeLines="50" w:after="181" w:afterLines="50"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一、</w:t>
      </w:r>
      <w:r>
        <w:rPr>
          <w:rFonts w:hint="eastAsia" w:ascii="楷体" w:hAnsi="楷体" w:eastAsia="楷体" w:cs="楷体"/>
          <w:color w:val="auto"/>
          <w:sz w:val="24"/>
          <w:highlight w:val="none"/>
        </w:rPr>
        <w:t>工程概况</w:t>
      </w:r>
    </w:p>
    <w:p w14:paraId="798757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工程名称：</w:t>
      </w:r>
    </w:p>
    <w:p w14:paraId="765161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工程地点：</w:t>
      </w:r>
    </w:p>
    <w:p w14:paraId="2918B8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承包范围：具体内容详见磋商文件和工程量清单。</w:t>
      </w:r>
    </w:p>
    <w:p w14:paraId="0F65B825">
      <w:pPr>
        <w:keepNext w:val="0"/>
        <w:keepLines w:val="0"/>
        <w:pageBreakBefore w:val="0"/>
        <w:widowControl w:val="0"/>
        <w:kinsoku/>
        <w:wordWrap/>
        <w:overflowPunct/>
        <w:topLinePunct w:val="0"/>
        <w:autoSpaceDE/>
        <w:autoSpaceDN/>
        <w:bidi w:val="0"/>
        <w:adjustRightInd/>
        <w:snapToGrid/>
        <w:spacing w:before="181" w:beforeLines="50" w:after="181" w:afterLines="50" w:line="500" w:lineRule="exact"/>
        <w:ind w:left="0" w:leftChars="0" w:right="0" w:rightChars="0" w:firstLine="480" w:firstLineChars="200"/>
        <w:textAlignment w:val="auto"/>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二、合同工期</w:t>
      </w:r>
    </w:p>
    <w:p w14:paraId="5F039A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开工日期： 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 xml:space="preserve"> 年 月 日。</w:t>
      </w:r>
    </w:p>
    <w:p w14:paraId="398157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竣工日期： 202</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年 月 日。</w:t>
      </w:r>
    </w:p>
    <w:p w14:paraId="54A0AE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合同工期总日历天数： 天.</w:t>
      </w:r>
    </w:p>
    <w:p w14:paraId="0C3D6F6D">
      <w:pPr>
        <w:keepNext w:val="0"/>
        <w:keepLines w:val="0"/>
        <w:pageBreakBefore w:val="0"/>
        <w:widowControl w:val="0"/>
        <w:kinsoku/>
        <w:wordWrap/>
        <w:overflowPunct/>
        <w:topLinePunct w:val="0"/>
        <w:autoSpaceDE/>
        <w:autoSpaceDN/>
        <w:bidi w:val="0"/>
        <w:adjustRightInd/>
        <w:snapToGrid/>
        <w:spacing w:before="181" w:beforeLines="50" w:after="181" w:afterLines="50" w:line="500" w:lineRule="exact"/>
        <w:ind w:left="0" w:leftChars="0" w:right="0" w:rightChars="0" w:firstLine="480" w:firstLineChars="200"/>
        <w:textAlignment w:val="auto"/>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三、协议内容</w:t>
      </w:r>
    </w:p>
    <w:p w14:paraId="67CA4F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1、乙方必须认真贯彻国家、江苏省和上级劳动保护、安全生产主管部门颁发的有关安全生产、消防工作的方针、政策、严格执行有关劳动保护法规、条例、规定。</w:t>
      </w:r>
    </w:p>
    <w:p w14:paraId="3F9314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5C71D5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3、乙方在施工前要认真勘察现场，进场后首先必须做好施工现场围护，防止闲杂人员进入施工现场，发生安全事故。</w:t>
      </w:r>
    </w:p>
    <w:p w14:paraId="6671C5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4、工程项目由乙方按要求自行编实施性制施工组织设计，并制定有针对性的安全技术措施计划、严格按施工组织设计和有关安全要求施工。乙方应落实本工程安全生产的管理体系，管理 体系中的人员名单上报监理备案，以便监督管理。工地安全员必须持证上岗。</w:t>
      </w:r>
    </w:p>
    <w:p w14:paraId="17A6FA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5、乙方必须认真对本单位职工进行安全生产制度及安全技术知识教育，增强法制观念，提高职工的安全生产思想意识和自我保护的能力，督促职工自觉遵守安全生产纪律、制度和法规。</w:t>
      </w:r>
    </w:p>
    <w:p w14:paraId="756FED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6、施工前由监理对乙方的管理、施工人员进行安全生产进场教育，介绍有关安全生产管理制度、规定和要求，乙方应组织召开管理、施工人员安全生产教育会议，并通知监理委托有关人 员出席会议，介绍施工中有关安全、防火等规章制度及要求；乙方必须检查、督促施工人员严格遵守、认真执行。</w:t>
      </w:r>
    </w:p>
    <w:p w14:paraId="289EB2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7、根据工程项目内容、特点，甲乙双方应做好安全技术交底，并有交底的书面材料。</w:t>
      </w:r>
    </w:p>
    <w:p w14:paraId="5593B7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8、交底材料一式三份，由甲乙双方和监理各执一份。</w:t>
      </w:r>
    </w:p>
    <w:p w14:paraId="77DF74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9、施工期间，乙方指派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同志负责本工程项目的有关安全、防火工作。</w:t>
      </w:r>
    </w:p>
    <w:p w14:paraId="41D7A4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10、乙方在施工期间必须严格执行和遵守安全生产、防火管理的各项规定，接受监理督促、 检查和指导。对于查出的隐患，乙方必须限期整改，并书面报监理和甲方。</w:t>
      </w:r>
    </w:p>
    <w:p w14:paraId="6829CF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11、在生产操作过程中的个人防护用品，由各方自理，甲乙双方都应督促施工现场人员自觉穿戴好防护用品。</w:t>
      </w:r>
    </w:p>
    <w:p w14:paraId="28B1FE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12、乙方人员对不同施工区域、作业环境、操作设施设备、工具用具等必须认真检查，发现隐患立即停止施工，并由有关单位落实整改后方准施工。一经施工，就表示乙方确认施工场所、作业环境、设施设备、工具用具等符合安全要求和处于安全状态。乙方对施工过程中由于上述因 素不良而导致的事故后果负全部责任。</w:t>
      </w:r>
    </w:p>
    <w:p w14:paraId="70C269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13、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由于设备、工具因素或操作不当而造成伤亡事故，由借入使用方负责。</w:t>
      </w:r>
    </w:p>
    <w:p w14:paraId="4EBB43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14、乙方的人员对施工的现场脚手架、各类安全防护设施、安全标志和警告牌，不得擅自拆除、更动。如确实需要拆除更动的，必须经监理和乙方指派的安全管理人员的同意，并采取必要、可靠的安全措施后方能拆除。如擅自拆除所造成的后果，由乙方人员及其单位负责。</w:t>
      </w:r>
    </w:p>
    <w:p w14:paraId="5083DD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15、特种作业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4D11AE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16、乙方必须严格执行各类防火防爆制度，易燃易爆场所严禁吸烟及动用明火，消防器材不准挪作他用。电焊、气割作业应按规定办理动火审批手续，严格遵守“十不烧”规定，严禁使用 电炉。冬季施工必须采用明火加热的防冻措施时，应取得防火主管人员同意，落实防火，防中毒 措施，并指派专人值班。</w:t>
      </w:r>
    </w:p>
    <w:p w14:paraId="2014DF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17、乙方需用甲方提供的电气设备，在使用前应先进行检测，并做好检测记录，如不符合安全规定的应及时整改，整改合格后方准使用，违反本规定或不经监理和甲方许可，擅自乱拉电气线路造成后果的均由肇事者单位负责。配电系统必须有专人 24 小时值班，工地生活区内严禁乱 拉乱接电线，严禁使用电炉、电饭煲、电饭锅、电取暖器等，防止漏电触电事故发生。</w:t>
      </w:r>
    </w:p>
    <w:p w14:paraId="69F06E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18、乙方在施工中，应注意地下管线及高压架空线路的保护。甲方对地下管线和障碍物应详细交底，乙方应贯彻交底要求，如遇有情况，应及时向监理、甲方和有关部门联系，采取保护措施。</w:t>
      </w:r>
    </w:p>
    <w:p w14:paraId="6867E2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19、贯彻谁施工谁负责安全的原则。乙方在施工过程中发生的人身伤亡、火警、火灾等一切事故，均由乙方自己负责，与甲方无关。乙方人员在施工期间造成伤亡、火警、火灾、机械等重大事故，乙方应全力进行紧急抢救伤员和保护现场，按国务院及江苏省有关事故报告规定在事故发生后的二十四小时内及时报告各自的上级主管部门及市、区劳动保护监察部门等有关机构。事故的损失和善后处理费用，由责任方承担。</w:t>
      </w:r>
    </w:p>
    <w:p w14:paraId="321E8E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20、本协议经立协双方签字、盖章有效。作为合同正本的附件一式四份，甲、乙双方各执二份。</w:t>
      </w:r>
    </w:p>
    <w:p w14:paraId="360CD82F">
      <w:pPr>
        <w:keepNext w:val="0"/>
        <w:keepLines w:val="0"/>
        <w:pageBreakBefore w:val="0"/>
        <w:widowControl w:val="0"/>
        <w:kinsoku/>
        <w:wordWrap/>
        <w:overflowPunct/>
        <w:topLinePunct w:val="0"/>
        <w:autoSpaceDE/>
        <w:autoSpaceDN/>
        <w:bidi w:val="0"/>
        <w:adjustRightInd/>
        <w:snapToGrid/>
        <w:spacing w:after="361" w:afterLines="100"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21、本协议同工程合同正本同日生效，甲、乙双方必须严格执行，由于违反本协议而造成伤亡事故，由违约方承担一切责任。</w:t>
      </w:r>
    </w:p>
    <w:p w14:paraId="25F1F8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甲方（盖章）：                         乙方（盖章）：</w:t>
      </w:r>
    </w:p>
    <w:p w14:paraId="702BAB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rPr>
          <w:rFonts w:hint="eastAsia" w:ascii="楷体" w:hAnsi="楷体" w:eastAsia="楷体" w:cs="楷体"/>
          <w:color w:val="auto"/>
          <w:sz w:val="24"/>
          <w:highlight w:val="none"/>
          <w:shd w:val="clear" w:color="auto" w:fill="FFFFFF"/>
        </w:rPr>
      </w:pPr>
      <w:r>
        <w:rPr>
          <w:rFonts w:hint="eastAsia" w:ascii="楷体" w:hAnsi="楷体" w:eastAsia="楷体" w:cs="楷体"/>
          <w:color w:val="auto"/>
          <w:sz w:val="24"/>
          <w:highlight w:val="none"/>
          <w:shd w:val="clear" w:color="auto" w:fill="FFFFFF"/>
        </w:rPr>
        <w:t>法定代表人或其委托代理人：             法定代表人或其委托代理人：</w:t>
      </w:r>
    </w:p>
    <w:p w14:paraId="6AA301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shd w:val="clear" w:color="auto" w:fill="FFFFFF"/>
        </w:rPr>
        <w:t>（签字）                               （签字）</w:t>
      </w:r>
    </w:p>
    <w:p w14:paraId="5FDCCA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b/>
          <w:bCs/>
          <w:color w:val="auto"/>
          <w:kern w:val="0"/>
          <w:sz w:val="24"/>
          <w:highlight w:val="none"/>
        </w:rPr>
      </w:pPr>
      <w:r>
        <w:rPr>
          <w:rFonts w:hint="eastAsia" w:ascii="楷体" w:hAnsi="楷体" w:eastAsia="楷体" w:cs="楷体"/>
          <w:color w:val="auto"/>
          <w:sz w:val="24"/>
          <w:highlight w:val="none"/>
        </w:rPr>
        <w:t xml:space="preserve">日期：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xml:space="preserve"> 月</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xml:space="preserve"> 日</w:t>
      </w:r>
      <w:r>
        <w:rPr>
          <w:rFonts w:hint="eastAsia" w:ascii="楷体" w:hAnsi="楷体" w:eastAsia="楷体" w:cs="楷体"/>
          <w:b/>
          <w:bCs/>
          <w:color w:val="auto"/>
          <w:kern w:val="0"/>
          <w:sz w:val="24"/>
          <w:highlight w:val="none"/>
        </w:rPr>
        <w:br w:type="page"/>
      </w:r>
    </w:p>
    <w:p w14:paraId="48E9E16C">
      <w:pPr>
        <w:pageBreakBefore w:val="0"/>
        <w:widowControl/>
        <w:kinsoku/>
        <w:overflowPunct/>
        <w:topLinePunct w:val="0"/>
        <w:autoSpaceDE/>
        <w:autoSpaceDN/>
        <w:bidi w:val="0"/>
        <w:spacing w:line="360" w:lineRule="auto"/>
        <w:ind w:left="0" w:leftChars="0" w:right="0" w:rightChars="0" w:firstLine="420"/>
        <w:jc w:val="center"/>
        <w:rPr>
          <w:rFonts w:hint="eastAsia" w:ascii="楷体" w:hAnsi="楷体" w:eastAsia="楷体" w:cs="楷体"/>
          <w:color w:val="auto"/>
          <w:sz w:val="24"/>
          <w:highlight w:val="none"/>
        </w:rPr>
      </w:pPr>
      <w:r>
        <w:rPr>
          <w:rFonts w:hint="eastAsia" w:ascii="楷体" w:hAnsi="楷体" w:eastAsia="楷体" w:cs="楷体"/>
          <w:b/>
          <w:bCs/>
          <w:color w:val="auto"/>
          <w:kern w:val="0"/>
          <w:sz w:val="24"/>
          <w:highlight w:val="none"/>
        </w:rPr>
        <w:t>工程质量保修书</w:t>
      </w:r>
    </w:p>
    <w:p w14:paraId="67F8CAA5">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发包人（全称）：  </w:t>
      </w:r>
    </w:p>
    <w:p w14:paraId="6EDCD3B1">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承包人（全称）： </w:t>
      </w:r>
    </w:p>
    <w:p w14:paraId="20A82744">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发包人和承包人根据《中华人民共和国建筑法》和《建设工程质量管理条例》，经协商一致就</w:t>
      </w:r>
      <w:r>
        <w:rPr>
          <w:rFonts w:hint="eastAsia" w:ascii="楷体" w:hAnsi="楷体" w:eastAsia="楷体" w:cs="楷体"/>
          <w:color w:val="auto"/>
          <w:kern w:val="0"/>
          <w:sz w:val="24"/>
          <w:highlight w:val="none"/>
          <w:u w:val="single"/>
        </w:rPr>
        <w:t>（工程全称）</w:t>
      </w:r>
      <w:r>
        <w:rPr>
          <w:rFonts w:hint="eastAsia" w:ascii="楷体" w:hAnsi="楷体" w:eastAsia="楷体" w:cs="楷体"/>
          <w:color w:val="auto"/>
          <w:kern w:val="0"/>
          <w:sz w:val="24"/>
          <w:highlight w:val="none"/>
        </w:rPr>
        <w:t xml:space="preserve">签订工程质量保修书。 </w:t>
      </w:r>
    </w:p>
    <w:p w14:paraId="06A57835">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一、工程质量保修范围和内容 </w:t>
      </w:r>
    </w:p>
    <w:p w14:paraId="6C8FC1FC">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承包人在质量保修期内，按照有关法律规定和合同约定，承担工程质量保修责任。 </w:t>
      </w:r>
    </w:p>
    <w:p w14:paraId="1725DB82">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质量保修范围包括地基基础工程、主体结构工程，屋面防水工程、有防水要求的卫生间、 </w:t>
      </w:r>
    </w:p>
    <w:p w14:paraId="31D456B9">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房间和外墙面的防渗漏，供热与供冷系统，电气管线、给排水管道、设备安装和装修工程，以及双方约定的其他项目。具体保修的内容，双方约定如下： </w:t>
      </w:r>
    </w:p>
    <w:p w14:paraId="6233B470">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二、质量保修期 </w:t>
      </w:r>
    </w:p>
    <w:p w14:paraId="26DE86E7">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根据《建设工程质量管理条例》及有关规定，工程的质量保修期如下： </w:t>
      </w:r>
    </w:p>
    <w:p w14:paraId="0496CCFB">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1．地基基础工程和主体结构工程为设计文件规定的工程合理使用年限； </w:t>
      </w:r>
    </w:p>
    <w:p w14:paraId="0CADF289">
      <w:pPr>
        <w:pageBreakBefore w:val="0"/>
        <w:widowControl/>
        <w:kinsoku/>
        <w:overflowPunct/>
        <w:topLinePunct w:val="0"/>
        <w:autoSpaceDE/>
        <w:autoSpaceDN/>
        <w:bidi w:val="0"/>
        <w:spacing w:line="360" w:lineRule="auto"/>
        <w:ind w:left="0" w:leftChars="0" w:right="0" w:rightChars="0" w:firstLine="441"/>
        <w:jc w:val="left"/>
        <w:rPr>
          <w:rFonts w:hint="eastAsia" w:ascii="楷体" w:hAnsi="楷体" w:eastAsia="楷体" w:cs="楷体"/>
          <w:color w:val="auto"/>
          <w:sz w:val="24"/>
          <w:highlight w:val="none"/>
        </w:rPr>
      </w:pPr>
      <w:r>
        <w:rPr>
          <w:rFonts w:hint="eastAsia" w:ascii="楷体" w:hAnsi="楷体" w:eastAsia="楷体" w:cs="楷体"/>
          <w:b/>
          <w:bCs/>
          <w:color w:val="auto"/>
          <w:kern w:val="0"/>
          <w:sz w:val="24"/>
          <w:highlight w:val="none"/>
        </w:rPr>
        <w:t>2．屋面防水工程、有防水要求的卫生间、房间和外墙面的防渗 为</w:t>
      </w:r>
      <w:r>
        <w:rPr>
          <w:rFonts w:hint="eastAsia" w:ascii="楷体" w:hAnsi="楷体" w:eastAsia="楷体" w:cs="楷体"/>
          <w:b/>
          <w:bCs/>
          <w:color w:val="auto"/>
          <w:kern w:val="0"/>
          <w:sz w:val="24"/>
          <w:highlight w:val="none"/>
          <w:u w:val="single"/>
        </w:rPr>
        <w:t xml:space="preserve"> 5 </w:t>
      </w:r>
      <w:r>
        <w:rPr>
          <w:rFonts w:hint="eastAsia" w:ascii="楷体" w:hAnsi="楷体" w:eastAsia="楷体" w:cs="楷体"/>
          <w:b/>
          <w:bCs/>
          <w:color w:val="auto"/>
          <w:kern w:val="0"/>
          <w:sz w:val="24"/>
          <w:highlight w:val="none"/>
        </w:rPr>
        <w:t xml:space="preserve">年； </w:t>
      </w:r>
    </w:p>
    <w:p w14:paraId="1BD05EC4">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3．装修工程为</w:t>
      </w:r>
      <w:r>
        <w:rPr>
          <w:rFonts w:hint="eastAsia" w:ascii="楷体" w:hAnsi="楷体" w:eastAsia="楷体" w:cs="楷体"/>
          <w:color w:val="auto"/>
          <w:kern w:val="0"/>
          <w:sz w:val="24"/>
          <w:highlight w:val="none"/>
          <w:u w:val="single"/>
        </w:rPr>
        <w:t xml:space="preserve"> 2 </w:t>
      </w:r>
      <w:r>
        <w:rPr>
          <w:rFonts w:hint="eastAsia" w:ascii="楷体" w:hAnsi="楷体" w:eastAsia="楷体" w:cs="楷体"/>
          <w:color w:val="auto"/>
          <w:kern w:val="0"/>
          <w:sz w:val="24"/>
          <w:highlight w:val="none"/>
        </w:rPr>
        <w:t xml:space="preserve">年； </w:t>
      </w:r>
    </w:p>
    <w:p w14:paraId="17374A77">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4．电气管线、给排水管道、设备安装工程为</w:t>
      </w:r>
      <w:r>
        <w:rPr>
          <w:rFonts w:hint="eastAsia" w:ascii="楷体" w:hAnsi="楷体" w:eastAsia="楷体" w:cs="楷体"/>
          <w:color w:val="auto"/>
          <w:kern w:val="0"/>
          <w:sz w:val="24"/>
          <w:highlight w:val="none"/>
          <w:u w:val="single"/>
        </w:rPr>
        <w:t xml:space="preserve"> 2 </w:t>
      </w:r>
      <w:r>
        <w:rPr>
          <w:rFonts w:hint="eastAsia" w:ascii="楷体" w:hAnsi="楷体" w:eastAsia="楷体" w:cs="楷体"/>
          <w:color w:val="auto"/>
          <w:kern w:val="0"/>
          <w:sz w:val="24"/>
          <w:highlight w:val="none"/>
        </w:rPr>
        <w:t xml:space="preserve">年； </w:t>
      </w:r>
    </w:p>
    <w:p w14:paraId="16D385CB">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5．供热与供冷系统为</w:t>
      </w:r>
      <w:r>
        <w:rPr>
          <w:rFonts w:hint="eastAsia" w:ascii="楷体" w:hAnsi="楷体" w:eastAsia="楷体" w:cs="楷体"/>
          <w:color w:val="auto"/>
          <w:kern w:val="0"/>
          <w:sz w:val="24"/>
          <w:highlight w:val="none"/>
          <w:u w:val="single"/>
        </w:rPr>
        <w:t xml:space="preserve"> 2 </w:t>
      </w:r>
      <w:r>
        <w:rPr>
          <w:rFonts w:hint="eastAsia" w:ascii="楷体" w:hAnsi="楷体" w:eastAsia="楷体" w:cs="楷体"/>
          <w:color w:val="auto"/>
          <w:kern w:val="0"/>
          <w:sz w:val="24"/>
          <w:highlight w:val="none"/>
        </w:rPr>
        <w:t xml:space="preserve">个采暖期、供冷期； </w:t>
      </w:r>
    </w:p>
    <w:p w14:paraId="7E6ACA9C">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6．住宅小区内的给排水设施、道路等配套工程为</w:t>
      </w:r>
      <w:r>
        <w:rPr>
          <w:rFonts w:hint="eastAsia" w:ascii="楷体" w:hAnsi="楷体" w:eastAsia="楷体" w:cs="楷体"/>
          <w:color w:val="auto"/>
          <w:kern w:val="0"/>
          <w:sz w:val="24"/>
          <w:highlight w:val="none"/>
          <w:u w:val="single"/>
        </w:rPr>
        <w:t xml:space="preserve"> 2</w:t>
      </w:r>
      <w:r>
        <w:rPr>
          <w:rFonts w:hint="eastAsia" w:ascii="楷体" w:hAnsi="楷体" w:eastAsia="楷体" w:cs="楷体"/>
          <w:color w:val="auto"/>
          <w:kern w:val="0"/>
          <w:sz w:val="24"/>
          <w:highlight w:val="none"/>
        </w:rPr>
        <w:t xml:space="preserve"> 年； </w:t>
      </w:r>
    </w:p>
    <w:p w14:paraId="47F3A836">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7．其他项目保修期限约定如下：。 </w:t>
      </w:r>
    </w:p>
    <w:p w14:paraId="5B68502D">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质量保修期自工程竣工验收合格之日起计算。 </w:t>
      </w:r>
    </w:p>
    <w:p w14:paraId="58D9934E">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三、缺陷责任期 </w:t>
      </w:r>
    </w:p>
    <w:p w14:paraId="425AF591">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工程缺陷责任期为</w:t>
      </w:r>
      <w:r>
        <w:rPr>
          <w:rFonts w:hint="eastAsia" w:ascii="楷体" w:hAnsi="楷体" w:eastAsia="楷体" w:cs="楷体"/>
          <w:color w:val="auto"/>
          <w:kern w:val="0"/>
          <w:sz w:val="24"/>
          <w:highlight w:val="none"/>
          <w:u w:val="single"/>
          <w:lang w:val="en-US" w:eastAsia="zh-CN"/>
        </w:rPr>
        <w:t xml:space="preserve">  </w:t>
      </w:r>
      <w:r>
        <w:rPr>
          <w:rFonts w:hint="eastAsia" w:ascii="楷体" w:hAnsi="楷体" w:eastAsia="楷体" w:cs="楷体"/>
          <w:color w:val="auto"/>
          <w:kern w:val="0"/>
          <w:sz w:val="24"/>
          <w:highlight w:val="none"/>
        </w:rPr>
        <w:t xml:space="preserve">个月，缺陷责任期自工程通过竣工验收之日起计算。单位工程先于全部工程进行验收，单位工程缺陷责任期自单位工程验收合格之日起算。 </w:t>
      </w:r>
    </w:p>
    <w:p w14:paraId="6778FB02">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四、质量保修责任 </w:t>
      </w:r>
    </w:p>
    <w:p w14:paraId="67E3F767">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1．属于保修范围、内容的项目，承包人应当在接到保修通知之日起 7 天内派人保修。承包人不在约定期限内派人保修的，发包人可以委托他人修理。 </w:t>
      </w:r>
    </w:p>
    <w:p w14:paraId="5ED1951C">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2．发生紧急事故需抢修的，承包人在接到事故通知后，应当立即到达事故现场抢修。 </w:t>
      </w:r>
    </w:p>
    <w:p w14:paraId="537E1B7E">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 </w:t>
      </w:r>
    </w:p>
    <w:p w14:paraId="1854919B">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4．质量保修完成后，由发包人组织验收。 </w:t>
      </w:r>
    </w:p>
    <w:p w14:paraId="43F0421E">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五、保修费用 </w:t>
      </w:r>
    </w:p>
    <w:p w14:paraId="625E6E9D">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保修费用由造成质量缺陷的责任方承担。 </w:t>
      </w:r>
    </w:p>
    <w:p w14:paraId="456077AB">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六、双方约定的其他工程质量保修事项： </w:t>
      </w:r>
    </w:p>
    <w:p w14:paraId="4893183A">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工程质量保修书由发包人、承包人在工程竣工验收前共同签署，作为施工合同附件，其有效期限至保修期满。 </w:t>
      </w:r>
    </w:p>
    <w:p w14:paraId="7B166D01">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发包人： (公章)                         承包人： (公章) </w:t>
      </w:r>
    </w:p>
    <w:p w14:paraId="7DB83B5C">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法定代表人或其委托代理人：              法定代表人或其委托代理人： </w:t>
      </w:r>
    </w:p>
    <w:p w14:paraId="6114F558">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（签字）                                （签字） </w:t>
      </w:r>
    </w:p>
    <w:p w14:paraId="752F6360">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地 址：                                 地 址： </w:t>
      </w:r>
    </w:p>
    <w:p w14:paraId="40D4E829">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邮政编码：                              邮政编码： </w:t>
      </w:r>
    </w:p>
    <w:p w14:paraId="17B708A8">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电 话：                                 电 话： </w:t>
      </w:r>
    </w:p>
    <w:p w14:paraId="7B6FF4B2">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sz w:val="24"/>
          <w:highlight w:val="none"/>
        </w:rPr>
      </w:pPr>
      <w:r>
        <w:rPr>
          <w:rFonts w:hint="eastAsia" w:ascii="楷体" w:hAnsi="楷体" w:eastAsia="楷体" w:cs="楷体"/>
          <w:color w:val="auto"/>
          <w:kern w:val="0"/>
          <w:sz w:val="24"/>
          <w:highlight w:val="none"/>
        </w:rPr>
        <w:t xml:space="preserve">开户银行：                              开户银行： </w:t>
      </w:r>
    </w:p>
    <w:p w14:paraId="606CF600">
      <w:pPr>
        <w:pageBreakBefore w:val="0"/>
        <w:widowControl/>
        <w:kinsoku/>
        <w:overflowPunct/>
        <w:topLinePunct w:val="0"/>
        <w:autoSpaceDE/>
        <w:autoSpaceDN/>
        <w:bidi w:val="0"/>
        <w:spacing w:line="360" w:lineRule="auto"/>
        <w:ind w:left="0" w:leftChars="0" w:right="0" w:rightChars="0" w:firstLine="420"/>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 xml:space="preserve">账 号：                                 账 号： </w:t>
      </w:r>
    </w:p>
    <w:p w14:paraId="4338895D">
      <w:pPr>
        <w:widowControl/>
        <w:spacing w:line="400" w:lineRule="exact"/>
        <w:ind w:firstLine="420"/>
        <w:jc w:val="left"/>
        <w:rPr>
          <w:rFonts w:hint="eastAsia" w:ascii="楷体" w:hAnsi="楷体" w:eastAsia="楷体" w:cs="楷体"/>
          <w:color w:val="auto"/>
          <w:sz w:val="24"/>
          <w:szCs w:val="24"/>
          <w:highlight w:val="none"/>
        </w:rPr>
      </w:pPr>
    </w:p>
    <w:p w14:paraId="3033E256">
      <w:pPr>
        <w:widowControl/>
        <w:jc w:val="left"/>
        <w:rPr>
          <w:rFonts w:ascii="宋体" w:hAnsi="宋体"/>
          <w:color w:val="auto"/>
          <w:sz w:val="36"/>
          <w:highlight w:val="none"/>
        </w:rPr>
      </w:pPr>
      <w:r>
        <w:rPr>
          <w:rFonts w:ascii="宋体" w:hAnsi="宋体"/>
          <w:color w:val="auto"/>
          <w:sz w:val="36"/>
          <w:highlight w:val="none"/>
        </w:rPr>
        <w:br w:type="page"/>
      </w:r>
    </w:p>
    <w:p w14:paraId="40D44C35">
      <w:pPr>
        <w:keepNext/>
        <w:keepLines/>
        <w:pageBreakBefore/>
        <w:spacing w:before="340" w:after="330" w:line="578" w:lineRule="atLeast"/>
        <w:jc w:val="center"/>
        <w:outlineLvl w:val="0"/>
        <w:rPr>
          <w:rFonts w:hint="eastAsia" w:ascii="楷体" w:hAnsi="楷体" w:eastAsia="楷体" w:cs="楷体"/>
          <w:b/>
          <w:bCs/>
          <w:color w:val="auto"/>
          <w:sz w:val="44"/>
          <w:szCs w:val="44"/>
        </w:rPr>
      </w:pPr>
      <w:bookmarkStart w:id="173" w:name="_Toc21901"/>
      <w:r>
        <w:rPr>
          <w:rFonts w:hint="eastAsia" w:ascii="楷体" w:hAnsi="楷体" w:eastAsia="楷体" w:cs="楷体"/>
          <w:b/>
          <w:bCs/>
          <w:color w:val="auto"/>
          <w:sz w:val="44"/>
          <w:szCs w:val="44"/>
          <w:highlight w:val="white"/>
        </w:rPr>
        <w:t>第四部分  采购需求</w:t>
      </w:r>
      <w:bookmarkEnd w:id="173"/>
      <w:bookmarkStart w:id="174" w:name="EB69bf498a862145ab928d99fc712e5ed1"/>
    </w:p>
    <w:p w14:paraId="7687BD1F">
      <w:pPr>
        <w:keepNext w:val="0"/>
        <w:keepLines w:val="0"/>
        <w:pageBreakBefore w:val="0"/>
        <w:widowControl/>
        <w:numPr>
          <w:ilvl w:val="0"/>
          <w:numId w:val="5"/>
        </w:numPr>
        <w:kinsoku/>
        <w:wordWrap/>
        <w:overflowPunct/>
        <w:topLinePunct w:val="0"/>
        <w:autoSpaceDE/>
        <w:autoSpaceDN/>
        <w:bidi w:val="0"/>
        <w:adjustRightInd/>
        <w:snapToGrid/>
        <w:spacing w:before="181" w:beforeLines="50" w:after="181" w:afterLines="50" w:line="360" w:lineRule="auto"/>
        <w:jc w:val="left"/>
        <w:textAlignment w:val="auto"/>
        <w:outlineLvl w:val="1"/>
        <w:rPr>
          <w:rFonts w:hint="eastAsia" w:ascii="楷体" w:hAnsi="楷体" w:eastAsia="楷体" w:cs="楷体"/>
          <w:b/>
          <w:bCs/>
          <w:color w:val="auto"/>
          <w:sz w:val="24"/>
          <w:szCs w:val="24"/>
        </w:rPr>
      </w:pPr>
      <w:bookmarkStart w:id="175" w:name="_Toc27455"/>
      <w:r>
        <w:rPr>
          <w:rFonts w:hint="eastAsia" w:ascii="楷体" w:hAnsi="楷体" w:eastAsia="楷体" w:cs="楷体"/>
          <w:b/>
          <w:bCs/>
          <w:color w:val="auto"/>
          <w:sz w:val="24"/>
          <w:szCs w:val="24"/>
        </w:rPr>
        <w:t>项目概况</w:t>
      </w:r>
      <w:bookmarkEnd w:id="175"/>
    </w:p>
    <w:p w14:paraId="2B76D4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本项目建设内容包括</w:t>
      </w:r>
      <w:r>
        <w:rPr>
          <w:rFonts w:hint="eastAsia" w:ascii="楷体" w:hAnsi="楷体" w:eastAsia="楷体" w:cs="楷体"/>
          <w:color w:val="auto"/>
          <w:sz w:val="24"/>
          <w:szCs w:val="28"/>
          <w:highlight w:val="white"/>
          <w:lang w:eastAsia="zh-CN"/>
        </w:rPr>
        <w:t>花架走廊、道路、地板等</w:t>
      </w:r>
      <w:r>
        <w:rPr>
          <w:rFonts w:hint="eastAsia" w:ascii="楷体" w:hAnsi="楷体" w:eastAsia="楷体" w:cs="楷体"/>
          <w:color w:val="auto"/>
          <w:sz w:val="24"/>
          <w:szCs w:val="24"/>
          <w:lang w:val="en-US" w:eastAsia="zh-CN"/>
        </w:rPr>
        <w:t>工程量清单内所有内容。</w:t>
      </w:r>
    </w:p>
    <w:p w14:paraId="65C55FD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本项目工程质量及所有用材均须符合相关行业及国家最新技术规范和环保标准。供应商可进行现场勘测并认真核对磋商文件提供的工程量清单，在充分了解本项目采购范围后结合自身实际情况进行响应文件的制作和报价。供应商应提供详细的安全管理措施、应急预案及合理的进度计划，资源准备充裕，以做好赶工措施准备，对施工难点、重点要有专项施工方案。</w:t>
      </w:r>
    </w:p>
    <w:p w14:paraId="600F078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项目工期：30日历天。</w:t>
      </w:r>
    </w:p>
    <w:p w14:paraId="630EBA5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项目联系人：杜小明</w:t>
      </w:r>
    </w:p>
    <w:p w14:paraId="3C1F92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联系方式：18905289109</w:t>
      </w:r>
    </w:p>
    <w:p w14:paraId="2F4C0DF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项目所属行业：建筑业</w:t>
      </w:r>
    </w:p>
    <w:p w14:paraId="3E8B4B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采购预算：157721.40元，最高限价：人民币157721.40元。</w:t>
      </w:r>
    </w:p>
    <w:p w14:paraId="735A87B2">
      <w:pPr>
        <w:keepNext w:val="0"/>
        <w:keepLines w:val="0"/>
        <w:pageBreakBefore w:val="0"/>
        <w:widowControl/>
        <w:numPr>
          <w:ilvl w:val="0"/>
          <w:numId w:val="5"/>
        </w:numPr>
        <w:kinsoku/>
        <w:wordWrap/>
        <w:overflowPunct/>
        <w:topLinePunct w:val="0"/>
        <w:autoSpaceDE/>
        <w:autoSpaceDN/>
        <w:bidi w:val="0"/>
        <w:adjustRightInd/>
        <w:snapToGrid/>
        <w:spacing w:before="181" w:beforeLines="50" w:after="181" w:afterLines="50" w:line="360" w:lineRule="auto"/>
        <w:jc w:val="left"/>
        <w:textAlignment w:val="auto"/>
        <w:outlineLvl w:val="1"/>
        <w:rPr>
          <w:rFonts w:hint="eastAsia" w:ascii="楷体" w:hAnsi="楷体" w:eastAsia="楷体" w:cs="楷体"/>
          <w:b/>
          <w:bCs/>
          <w:color w:val="auto"/>
          <w:sz w:val="24"/>
          <w:szCs w:val="24"/>
        </w:rPr>
      </w:pPr>
      <w:bookmarkStart w:id="176" w:name="_Toc25318"/>
      <w:r>
        <w:rPr>
          <w:rFonts w:hint="eastAsia" w:ascii="楷体" w:hAnsi="楷体" w:eastAsia="楷体" w:cs="楷体"/>
          <w:b/>
          <w:bCs/>
          <w:color w:val="auto"/>
          <w:sz w:val="24"/>
          <w:szCs w:val="24"/>
        </w:rPr>
        <w:t>采购标的汇总表</w:t>
      </w:r>
      <w:bookmarkEnd w:id="176"/>
    </w:p>
    <w:p w14:paraId="61C9827B">
      <w:pPr>
        <w:widowControl/>
        <w:spacing w:before="240" w:after="240"/>
        <w:jc w:val="left"/>
        <w:rPr>
          <w:rFonts w:hint="eastAsia" w:ascii="楷体" w:hAnsi="楷体" w:eastAsia="楷体" w:cs="楷体"/>
          <w:color w:val="auto"/>
          <w:sz w:val="24"/>
          <w:szCs w:val="24"/>
        </w:rPr>
      </w:pPr>
      <w:r>
        <w:rPr>
          <w:rFonts w:hint="eastAsia" w:ascii="楷体" w:hAnsi="楷体" w:eastAsia="楷体" w:cs="楷体"/>
          <w:color w:val="auto"/>
          <w:sz w:val="24"/>
          <w:szCs w:val="24"/>
        </w:rPr>
        <w:t>（一） 采购标的</w:t>
      </w:r>
    </w:p>
    <w:p w14:paraId="570B9FEE">
      <w:pPr>
        <w:widowControl/>
        <w:spacing w:before="240" w:after="24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1.工程类标的</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403"/>
        <w:gridCol w:w="926"/>
        <w:gridCol w:w="1037"/>
        <w:gridCol w:w="3504"/>
      </w:tblGrid>
      <w:tr w14:paraId="549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14:paraId="1975BFE4">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序号</w:t>
            </w:r>
          </w:p>
        </w:tc>
        <w:tc>
          <w:tcPr>
            <w:tcW w:w="2403" w:type="dxa"/>
            <w:vAlign w:val="center"/>
          </w:tcPr>
          <w:p w14:paraId="42EE5A84">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标的名称</w:t>
            </w:r>
          </w:p>
        </w:tc>
        <w:tc>
          <w:tcPr>
            <w:tcW w:w="926" w:type="dxa"/>
            <w:vAlign w:val="center"/>
          </w:tcPr>
          <w:p w14:paraId="0202AB09">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计量单位</w:t>
            </w:r>
          </w:p>
        </w:tc>
        <w:tc>
          <w:tcPr>
            <w:tcW w:w="1037" w:type="dxa"/>
            <w:vAlign w:val="center"/>
          </w:tcPr>
          <w:p w14:paraId="04A7E609">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数量</w:t>
            </w:r>
          </w:p>
        </w:tc>
        <w:tc>
          <w:tcPr>
            <w:tcW w:w="3504" w:type="dxa"/>
            <w:vAlign w:val="center"/>
          </w:tcPr>
          <w:p w14:paraId="2676FAF5">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服务要求简述</w:t>
            </w:r>
          </w:p>
        </w:tc>
      </w:tr>
      <w:tr w14:paraId="5B83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14:paraId="12C7759D">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1</w:t>
            </w:r>
          </w:p>
        </w:tc>
        <w:tc>
          <w:tcPr>
            <w:tcW w:w="2403" w:type="dxa"/>
            <w:vAlign w:val="center"/>
          </w:tcPr>
          <w:p w14:paraId="72C39D5A">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8"/>
                <w:highlight w:val="white"/>
                <w:lang w:eastAsia="zh-CN"/>
              </w:rPr>
              <w:t>句容市养老护理院户外设施增设项目</w:t>
            </w:r>
          </w:p>
        </w:tc>
        <w:tc>
          <w:tcPr>
            <w:tcW w:w="926" w:type="dxa"/>
            <w:vAlign w:val="center"/>
          </w:tcPr>
          <w:p w14:paraId="07F67FEA">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项</w:t>
            </w:r>
          </w:p>
        </w:tc>
        <w:tc>
          <w:tcPr>
            <w:tcW w:w="1037" w:type="dxa"/>
            <w:vAlign w:val="center"/>
          </w:tcPr>
          <w:p w14:paraId="760189E7">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1</w:t>
            </w:r>
          </w:p>
        </w:tc>
        <w:tc>
          <w:tcPr>
            <w:tcW w:w="3504" w:type="dxa"/>
            <w:vAlign w:val="center"/>
          </w:tcPr>
          <w:p w14:paraId="40AF3651">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楷体" w:hAnsi="楷体" w:eastAsia="楷体" w:cs="楷体"/>
                <w:color w:val="auto"/>
                <w:sz w:val="24"/>
                <w:szCs w:val="24"/>
                <w:vertAlign w:val="baseline"/>
                <w:lang w:val="en-US" w:eastAsia="zh-CN"/>
              </w:rPr>
            </w:pPr>
            <w:r>
              <w:rPr>
                <w:rFonts w:hint="default" w:ascii="楷体" w:hAnsi="楷体" w:eastAsia="楷体" w:cs="楷体"/>
                <w:color w:val="auto"/>
                <w:sz w:val="24"/>
                <w:szCs w:val="24"/>
                <w:vertAlign w:val="baseline"/>
                <w:lang w:val="en-US" w:eastAsia="zh-CN"/>
              </w:rPr>
              <w:t>完成工程量清单内所有内容；</w:t>
            </w:r>
          </w:p>
          <w:p w14:paraId="19A61AE7">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楷体" w:hAnsi="楷体" w:eastAsia="楷体" w:cs="楷体"/>
                <w:color w:val="auto"/>
                <w:sz w:val="24"/>
                <w:szCs w:val="24"/>
                <w:vertAlign w:val="baseline"/>
                <w:lang w:val="en-US" w:eastAsia="zh-CN"/>
              </w:rPr>
            </w:pPr>
            <w:r>
              <w:rPr>
                <w:rFonts w:hint="default" w:ascii="楷体" w:hAnsi="楷体" w:eastAsia="楷体" w:cs="楷体"/>
                <w:color w:val="auto"/>
                <w:sz w:val="24"/>
                <w:szCs w:val="24"/>
                <w:vertAlign w:val="baseline"/>
                <w:lang w:val="en-US" w:eastAsia="zh-CN"/>
              </w:rPr>
              <w:t>质量：合格。</w:t>
            </w:r>
          </w:p>
        </w:tc>
      </w:tr>
    </w:tbl>
    <w:p w14:paraId="531BE209">
      <w:pPr>
        <w:keepNext w:val="0"/>
        <w:keepLines w:val="0"/>
        <w:pageBreakBefore w:val="0"/>
        <w:widowControl/>
        <w:numPr>
          <w:ilvl w:val="0"/>
          <w:numId w:val="5"/>
        </w:numPr>
        <w:kinsoku/>
        <w:wordWrap/>
        <w:overflowPunct/>
        <w:topLinePunct w:val="0"/>
        <w:autoSpaceDE/>
        <w:autoSpaceDN/>
        <w:bidi w:val="0"/>
        <w:adjustRightInd/>
        <w:snapToGrid/>
        <w:spacing w:before="181" w:beforeLines="50" w:after="181" w:afterLines="50" w:line="360" w:lineRule="auto"/>
        <w:jc w:val="left"/>
        <w:textAlignment w:val="auto"/>
        <w:outlineLvl w:val="1"/>
        <w:rPr>
          <w:rFonts w:hint="eastAsia" w:ascii="楷体" w:hAnsi="楷体" w:eastAsia="楷体" w:cs="楷体"/>
          <w:b/>
          <w:bCs/>
          <w:color w:val="auto"/>
          <w:sz w:val="24"/>
          <w:szCs w:val="24"/>
        </w:rPr>
      </w:pPr>
      <w:bookmarkStart w:id="177" w:name="_Toc22187"/>
      <w:r>
        <w:rPr>
          <w:rFonts w:hint="eastAsia" w:ascii="楷体" w:hAnsi="楷体" w:eastAsia="楷体" w:cs="楷体"/>
          <w:b/>
          <w:bCs/>
          <w:color w:val="auto"/>
          <w:sz w:val="24"/>
          <w:szCs w:val="24"/>
        </w:rPr>
        <w:t>技术要求</w:t>
      </w:r>
      <w:bookmarkEnd w:id="177"/>
    </w:p>
    <w:p w14:paraId="108BB1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（一）工程内容和标准</w:t>
      </w:r>
    </w:p>
    <w:p w14:paraId="54EBB7B2">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完成工程量清单中的所有施工内容并符合工程量清单中的清单特征要求（工程量清单详见附件）。</w:t>
      </w:r>
    </w:p>
    <w:p w14:paraId="64E29436">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对该工程所使用的全部材料、设备、配件及工程质量负责，至少提供两年（合同另有约定，按合同执行）全免费质保，从工程验收合格之日起计算，免费质保期间发生任何问题，供应商应在接到甲方通知后1小时内做出响应、并在3小时内安排人员到达现场。</w:t>
      </w:r>
    </w:p>
    <w:p w14:paraId="0636CBB4">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须为本工程委派项目负责人、技术负责人，项目负责人应常驻施工现场，负责本项目的施工安全、质量、进度，项目负责人不得同时担任其他项目的项目负责人。项目负责人确需离开施工现场时，应事先通知监理人，并取得采购人的书面同意。技术负责人在工程施工中，应随时提供工程技术数据相关的技术规范、标准，解决工程的质量的技术问题。供应商须服从甲方现场管理、与采购人配合服务。</w:t>
      </w:r>
    </w:p>
    <w:p w14:paraId="092A4F93">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未经采购人同意不得更换项目负责人及项目管理班子人员，否则每更换项目负责人一次，采购人将按合同条款要求从工程款中扣除违约金。</w:t>
      </w:r>
    </w:p>
    <w:p w14:paraId="384A469C">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项目完工后必须提供本项目最终的详细图纸及相关全部资料（装订成册）。</w:t>
      </w:r>
    </w:p>
    <w:p w14:paraId="6485B5B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（二）其他技术要求</w:t>
      </w:r>
    </w:p>
    <w:p w14:paraId="59550F19">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磋商报价应以磋商文件提供的工程量为基础作明细报价，供应商应认真进行现场勘测并认真核对磋商文件提供的工程量清单。磋商响应文件中提供的工程量清单如有缺项、漏项、数量不足或不明确等情况，各供应商应及时提出，否则一切后果由供应商自行承担。成交并签定合同后采购人将不再承担采购范围内除合同总价之外的任何费用(必须按采购要求或工程量清单中项目特征描述施工，材料使用满足磋商文件要求，拆除工程及清运工作等自行计算并包含在报价内)。凡与本工程有关的主材、辅材和安装全部包含在内，除采购人明确提出需要工程调整或变更外，不再增加任何费用。</w:t>
      </w:r>
    </w:p>
    <w:p w14:paraId="03C796F4">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材料进场、垃圾外运时需注意对采购方道路、道板及绿化的保护，如有损坏，应恢复原样，相关维修费供应商自理。</w:t>
      </w:r>
    </w:p>
    <w:p w14:paraId="3528183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bookmarkStart w:id="178" w:name="_Toc18194"/>
      <w:r>
        <w:rPr>
          <w:rFonts w:hint="eastAsia" w:ascii="楷体" w:hAnsi="楷体" w:eastAsia="楷体" w:cs="楷体"/>
          <w:color w:val="auto"/>
          <w:sz w:val="24"/>
          <w:szCs w:val="24"/>
          <w:lang w:val="en-US" w:eastAsia="zh-CN"/>
        </w:rPr>
        <w:t>（三）技术规范、标准</w:t>
      </w:r>
      <w:bookmarkEnd w:id="178"/>
    </w:p>
    <w:p w14:paraId="12095F7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《建筑工程施工质量验收统一标准》GB503002013 其它与本项目相关的技术规范。在项目施工过程中，如果国家有更新的行业标准公布，则按最新标准执行，验收时也按照最新标准进行。设计及施工中可以参照国外先进技术规范，但要与采购人沟通，且得到采购人认可方可实施。</w:t>
      </w:r>
    </w:p>
    <w:p w14:paraId="50F42193">
      <w:pPr>
        <w:keepNext w:val="0"/>
        <w:keepLines w:val="0"/>
        <w:pageBreakBefore w:val="0"/>
        <w:widowControl/>
        <w:numPr>
          <w:ilvl w:val="0"/>
          <w:numId w:val="5"/>
        </w:numPr>
        <w:kinsoku/>
        <w:wordWrap/>
        <w:overflowPunct/>
        <w:topLinePunct w:val="0"/>
        <w:autoSpaceDE/>
        <w:autoSpaceDN/>
        <w:bidi w:val="0"/>
        <w:adjustRightInd/>
        <w:snapToGrid/>
        <w:spacing w:before="181" w:beforeLines="50" w:after="181" w:afterLines="50" w:line="360" w:lineRule="auto"/>
        <w:jc w:val="left"/>
        <w:textAlignment w:val="auto"/>
        <w:outlineLvl w:val="1"/>
        <w:rPr>
          <w:rFonts w:hint="eastAsia" w:ascii="楷体" w:hAnsi="楷体" w:eastAsia="楷体" w:cs="楷体"/>
          <w:b/>
          <w:bCs/>
          <w:color w:val="auto"/>
          <w:sz w:val="24"/>
          <w:szCs w:val="24"/>
        </w:rPr>
      </w:pPr>
      <w:bookmarkStart w:id="179" w:name="_Toc7262"/>
      <w:r>
        <w:rPr>
          <w:rFonts w:hint="eastAsia" w:ascii="楷体" w:hAnsi="楷体" w:eastAsia="楷体" w:cs="楷体"/>
          <w:b/>
          <w:bCs/>
          <w:color w:val="auto"/>
          <w:sz w:val="24"/>
          <w:szCs w:val="24"/>
        </w:rPr>
        <w:t>商务要求</w:t>
      </w:r>
      <w:bookmarkEnd w:id="179"/>
    </w:p>
    <w:p w14:paraId="5415B0FA">
      <w:pPr>
        <w:pStyle w:val="45"/>
        <w:widowControl w:val="0"/>
        <w:numPr>
          <w:ilvl w:val="0"/>
          <w:numId w:val="0"/>
        </w:numPr>
        <w:jc w:val="both"/>
        <w:rPr>
          <w:rFonts w:hint="eastAsia"/>
          <w:color w:val="auto"/>
        </w:rPr>
      </w:pPr>
    </w:p>
    <w:p w14:paraId="4BF282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（一）供应商能力要求</w:t>
      </w:r>
    </w:p>
    <w:p w14:paraId="4F8CF527">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供应商应熟悉本项目所涉及国家、行业的现行标准及规范，具有相应资质和类似的施工经验。</w:t>
      </w:r>
    </w:p>
    <w:p w14:paraId="18EAB2FF">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拟派项目负责人无在建工程，无在建工程认定按照苏建规字[2017]1号文规定执行。</w:t>
      </w:r>
    </w:p>
    <w:p w14:paraId="60C1D9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（二）项目工期及地点</w:t>
      </w:r>
    </w:p>
    <w:p w14:paraId="554F7105">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项目工期：30日历天。</w:t>
      </w:r>
    </w:p>
    <w:p w14:paraId="060C9509">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项目地点：句容市养老护理院。</w:t>
      </w:r>
    </w:p>
    <w:p w14:paraId="4C20FA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（三）验收要求</w:t>
      </w:r>
    </w:p>
    <w:p w14:paraId="6DE1213A">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由采购人及有关部门进行验收。</w:t>
      </w:r>
    </w:p>
    <w:p w14:paraId="57567220">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成交供应商的磋商报价包含了采购人现有场地条件下，进行工程施工，及验收合格前的所有费用及现场所有的配套管理费用。成交后须按采购人要求进行施工，因设计变更等可能的变化而引起的清单数量变化，以实际数量进行结算，变化部分的单价按成交价执行，但增加的金额不得超过政府采购的相关规定。</w:t>
      </w:r>
    </w:p>
    <w:p w14:paraId="2816C5F3">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成交供应商在完工期内完成项目施工，提出书面验收申请，采购方组织相关专家进行验收，验收标准为磋商文件及磋商响应文件各项要求，国家或行业有规定的，还要符合相应规定。</w:t>
      </w:r>
    </w:p>
    <w:p w14:paraId="14C8EAD7">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成交供应商申请竣工验收的，应当按照以下程序进展:</w:t>
      </w:r>
    </w:p>
    <w:p w14:paraId="167027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auto"/>
        <w:rPr>
          <w:rFonts w:hint="eastAsia" w:ascii="楷体" w:hAnsi="楷体" w:eastAsia="楷体" w:cs="楷体"/>
          <w:color w:val="auto"/>
          <w:spacing w:val="-1"/>
          <w:sz w:val="24"/>
          <w:highlight w:val="none"/>
        </w:rPr>
      </w:pPr>
      <w:r>
        <w:rPr>
          <w:rFonts w:hint="eastAsia" w:ascii="楷体" w:hAnsi="楷体" w:eastAsia="楷体" w:cs="楷体"/>
          <w:color w:val="auto"/>
          <w:spacing w:val="-1"/>
          <w:sz w:val="24"/>
          <w:highlight w:val="none"/>
        </w:rPr>
        <w:t>（1）成交供应商向采购人报送竣工验收申请报告，采购人应在收到竣工验收申请报告后14天内完成审查,审查后认为尚不具备验收条件的，应通知成交供应商在竣工验收前成交供应商还需完成的工作内容，成交供应商应在完成采购人通知的全部工作内容后，再次提交竣工验收申请报告。</w:t>
      </w:r>
    </w:p>
    <w:p w14:paraId="6B1C4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auto"/>
        <w:rPr>
          <w:rFonts w:hint="eastAsia" w:ascii="楷体" w:hAnsi="楷体" w:eastAsia="楷体" w:cs="楷体"/>
          <w:color w:val="auto"/>
          <w:spacing w:val="-1"/>
          <w:sz w:val="24"/>
          <w:highlight w:val="none"/>
        </w:rPr>
      </w:pPr>
      <w:r>
        <w:rPr>
          <w:rFonts w:hint="eastAsia" w:ascii="楷体" w:hAnsi="楷体" w:eastAsia="楷体" w:cs="楷体"/>
          <w:color w:val="auto"/>
          <w:spacing w:val="-1"/>
          <w:sz w:val="24"/>
          <w:highlight w:val="none"/>
        </w:rPr>
        <w:t>（2）采购人审查后认为已具备竣工验收条件的，应在收到竣工验收申请报告后28天内进行竣工验收并出具相关报告。</w:t>
      </w:r>
    </w:p>
    <w:p w14:paraId="28E241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00" w:firstLineChars="200"/>
        <w:textAlignment w:val="auto"/>
        <w:rPr>
          <w:rFonts w:hint="eastAsia" w:ascii="楷体" w:hAnsi="楷体" w:eastAsia="楷体" w:cs="楷体"/>
          <w:color w:val="auto"/>
          <w:sz w:val="15"/>
          <w:szCs w:val="15"/>
          <w:highlight w:val="none"/>
          <w:shd w:val="clear" w:color="auto" w:fill="FFFFFF"/>
        </w:rPr>
      </w:pPr>
    </w:p>
    <w:p w14:paraId="3D56BC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color w:val="auto"/>
          <w:lang w:val="en-US" w:eastAsia="zh-CN"/>
        </w:rPr>
      </w:pPr>
      <w:r>
        <w:rPr>
          <w:rFonts w:hint="eastAsia" w:ascii="楷体" w:hAnsi="楷体" w:eastAsia="楷体" w:cs="楷体"/>
          <w:color w:val="auto"/>
          <w:sz w:val="24"/>
          <w:highlight w:val="none"/>
          <w:shd w:val="clear" w:color="auto" w:fill="FFFFFF"/>
        </w:rPr>
        <w:t>工程验收中如发现质量问题，</w:t>
      </w:r>
      <w:r>
        <w:rPr>
          <w:rFonts w:hint="eastAsia" w:ascii="楷体" w:hAnsi="楷体" w:eastAsia="楷体" w:cs="楷体"/>
          <w:color w:val="auto"/>
          <w:spacing w:val="-1"/>
          <w:sz w:val="24"/>
          <w:highlight w:val="none"/>
        </w:rPr>
        <w:t>成交供应商</w:t>
      </w:r>
      <w:r>
        <w:rPr>
          <w:rFonts w:hint="eastAsia" w:ascii="楷体" w:hAnsi="楷体" w:eastAsia="楷体" w:cs="楷体"/>
          <w:color w:val="auto"/>
          <w:sz w:val="24"/>
          <w:highlight w:val="none"/>
          <w:shd w:val="clear" w:color="auto" w:fill="FFFFFF"/>
        </w:rPr>
        <w:t>必须在2天内处理完毕，如因质量问题影响到交付，由</w:t>
      </w:r>
      <w:r>
        <w:rPr>
          <w:rFonts w:hint="eastAsia" w:ascii="楷体" w:hAnsi="楷体" w:eastAsia="楷体" w:cs="楷体"/>
          <w:color w:val="auto"/>
          <w:spacing w:val="-1"/>
          <w:sz w:val="24"/>
          <w:highlight w:val="none"/>
        </w:rPr>
        <w:t>成交供应商</w:t>
      </w:r>
      <w:r>
        <w:rPr>
          <w:rFonts w:hint="eastAsia" w:ascii="楷体" w:hAnsi="楷体" w:eastAsia="楷体" w:cs="楷体"/>
          <w:color w:val="auto"/>
          <w:sz w:val="24"/>
          <w:highlight w:val="none"/>
          <w:shd w:val="clear" w:color="auto" w:fill="FFFFFF"/>
        </w:rPr>
        <w:t>负全责，并承担由此引起的费用及相应的违约责任。</w:t>
      </w:r>
    </w:p>
    <w:p w14:paraId="6D9EEA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（四）付款方式</w:t>
      </w:r>
    </w:p>
    <w:p w14:paraId="32C15FB4">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
          <w:color w:val="auto"/>
          <w:sz w:val="24"/>
          <w:highlight w:val="none"/>
          <w:shd w:val="clear" w:color="auto" w:fill="FFFFFF"/>
        </w:rPr>
        <w:t>合同签订后</w:t>
      </w:r>
      <w:r>
        <w:rPr>
          <w:rFonts w:hint="eastAsia" w:ascii="楷体" w:hAnsi="楷体" w:eastAsia="楷体" w:cs="楷体"/>
          <w:color w:val="auto"/>
          <w:sz w:val="24"/>
          <w:highlight w:val="none"/>
        </w:rPr>
        <w:t>，</w:t>
      </w:r>
      <w:r>
        <w:rPr>
          <w:rFonts w:hint="eastAsia" w:ascii="楷体" w:hAnsi="楷体" w:eastAsia="楷体" w:cs="楷体"/>
          <w:b/>
          <w:color w:val="auto"/>
          <w:sz w:val="24"/>
          <w:highlight w:val="none"/>
          <w:shd w:val="clear" w:color="auto" w:fill="FFFFFF"/>
        </w:rPr>
        <w:t>甲方收到乙方开具的发票后15日内向乙方支付合同价30%的预付款；竣工验收合格后，乙方需向审计单位提供竣工图纸、结算清单（根据最终报价的单价）等竣工结算材料进行结算审计，结算完成后根据审定价，付清余款。</w:t>
      </w:r>
    </w:p>
    <w:p w14:paraId="539F4455">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工程结算审计核减额超7%以外部分的审计费用由承包方承担，项目被抽中复审的，承包方需无条件予以配合。</w:t>
      </w:r>
    </w:p>
    <w:p w14:paraId="6D88D1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（五）其他</w:t>
      </w:r>
    </w:p>
    <w:p w14:paraId="545FAA0F">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bookmarkStart w:id="180" w:name="_Toc6173"/>
      <w:r>
        <w:rPr>
          <w:rFonts w:hint="eastAsia" w:ascii="楷体" w:hAnsi="楷体" w:eastAsia="楷体" w:cs="楷体"/>
          <w:color w:val="auto"/>
          <w:sz w:val="24"/>
          <w:szCs w:val="24"/>
          <w:lang w:val="en-US" w:eastAsia="zh-CN"/>
        </w:rPr>
        <w:t>磋商报价要求</w:t>
      </w:r>
      <w:bookmarkEnd w:id="180"/>
    </w:p>
    <w:p w14:paraId="798F20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1.1本工程项目采用固定单价报价方式，供应商应根据磋商文件所提供的工程量清单，计算出磋商报价。磋商报价应包含供应商为完成本项目所需的所有费用（包含采购代理服务费，具体数额计算方法详见供应商须知第4项）。工程完工验收后成交供应商按照相关规定的程序上报竣工结算书至采购人，工程最终结算以审计后金额为准。风险范围以外（即工程调整或变更部分）的合同价款调整方法在合同中约定。</w:t>
      </w:r>
    </w:p>
    <w:p w14:paraId="6BF58CCF">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bookmarkStart w:id="181" w:name="_Toc13608"/>
      <w:r>
        <w:rPr>
          <w:rFonts w:hint="eastAsia" w:ascii="楷体" w:hAnsi="楷体" w:eastAsia="楷体" w:cs="楷体"/>
          <w:color w:val="auto"/>
          <w:sz w:val="24"/>
          <w:szCs w:val="24"/>
          <w:lang w:val="en-US" w:eastAsia="zh-CN"/>
        </w:rPr>
        <w:t>磋商报价编制要求</w:t>
      </w:r>
      <w:bookmarkEnd w:id="181"/>
    </w:p>
    <w:p w14:paraId="34674D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2.1报价时以采购人提供的工程量清单，按照工程量清单计价格式，依据市场行情自主进行报价；</w:t>
      </w:r>
    </w:p>
    <w:p w14:paraId="2661EA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供应商不得将不可竞争费用(费率)降低标准计取，计费低于或高于规定标准的将不得推荐为中标候选人。不可竞争费包括现场安全文明施工措施费、规费、税金、暂估价、暂列金额，具体标准详见本项目《工程量清单》。</w:t>
      </w:r>
    </w:p>
    <w:p w14:paraId="6BCE0C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磋商响应文件报价中单价、合价均采用人民币表示。磋商报价应根据磋商文件中的工程量清单和有关要求、施工现场实际情况、企业定额参照“计价表”及本磋商文件规定进行编制，并充分考虑风险因素，进行自主报价，但不得低于企业成本价；</w:t>
      </w:r>
    </w:p>
    <w:p w14:paraId="50553A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采购人提供的暂列金额(如果有)，该部分价格供应商不得下浮，但须包含在磋商报价中。暂列金额部分除合同另有约定外，由采购人结合工程具体情况，指令全部或部分使用，或者根本不予动用；(暂列金额详见本项目《工程量清单》）；</w:t>
      </w:r>
    </w:p>
    <w:p w14:paraId="73275C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供应商的磋商报价，应当包括完成提供的工程量清单范围内的所有项目所需的全部费用，如果出现少算、漏算费用或未填单价和合价的工程项目，该部分费用采购人将不予支付并均视为此费用已包括在磋商报价中，除本磋商文件或合同另有约定外，结算时不得调整；</w:t>
      </w:r>
    </w:p>
    <w:p w14:paraId="74D5590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2.6工程量清单计价成果文件必须按照磋商文件所提供的格式填入；</w:t>
      </w:r>
    </w:p>
    <w:p w14:paraId="3300AAD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2.7对于甲供的设备和材料（如果有），供应商负责现场卸车和保管，费用计入磋商报价中，该费用包干使用；</w:t>
      </w:r>
    </w:p>
    <w:p w14:paraId="0697EF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2.8磋商文件中《合同主要条款》中明确的由承包人承担的或考虑的所有工作及内容所发生的各项费用，供应商应综合考虑后一并计入磋商报价中；</w:t>
      </w:r>
    </w:p>
    <w:p w14:paraId="394CFE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2.9采购人反对盲目压价，供应商应根据工程实际情况和本企业经营管理水平，充分考虑合同期间的市场风险，确定合理报价。</w:t>
      </w:r>
    </w:p>
    <w:p w14:paraId="5BD94E7B">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每种工程量只允许有一种报价，任何有选择报价将不予接受。供应商必须对磋商文件中所采购的所有工程量进行报价，只报其中部分工程量的磋商响应文件无效。</w:t>
      </w:r>
    </w:p>
    <w:p w14:paraId="27AFEB33">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供应商应严格按磋商文件提供的工程量清单报价，不得随意合并或增减。</w:t>
      </w:r>
    </w:p>
    <w:p w14:paraId="13BBD2FB">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供应商应按工程量清单中列出的工程项目填报单价和合价，供应商未填单价或合价或未列出的工程项目，在工程实施后，采购人将不予以支付，并视作该项费用已包括在工程总报价中。</w:t>
      </w:r>
    </w:p>
    <w:p w14:paraId="2E5A319F">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供应商应按磋商文件的要求在响应文件里提供磋商首轮报价，并根据首轮报价在所附的首轮明细报价表上列明所提供工程的明细报价（已标价的工程量清单）。</w:t>
      </w:r>
    </w:p>
    <w:p w14:paraId="0D8199F8">
      <w:pPr>
        <w:pStyle w:val="45"/>
        <w:widowControl w:val="0"/>
        <w:numPr>
          <w:ilvl w:val="0"/>
          <w:numId w:val="0"/>
        </w:numPr>
        <w:jc w:val="both"/>
        <w:rPr>
          <w:rFonts w:hint="eastAsia"/>
          <w:color w:val="auto"/>
          <w:lang w:val="en-US" w:eastAsia="zh-CN"/>
        </w:rPr>
      </w:pPr>
    </w:p>
    <w:p w14:paraId="27DB373A">
      <w:pPr>
        <w:pStyle w:val="45"/>
        <w:widowControl w:val="0"/>
        <w:numPr>
          <w:ilvl w:val="0"/>
          <w:numId w:val="0"/>
        </w:numPr>
        <w:ind w:firstLine="420" w:firstLineChars="200"/>
        <w:jc w:val="both"/>
        <w:rPr>
          <w:rFonts w:hint="default" w:ascii="楷体" w:hAnsi="楷体" w:eastAsia="楷体" w:cs="楷体"/>
          <w:color w:val="auto"/>
          <w:u w:val="single"/>
          <w:lang w:val="en-US" w:eastAsia="zh-CN"/>
        </w:rPr>
      </w:pPr>
      <w:r>
        <w:rPr>
          <w:rFonts w:hint="eastAsia" w:ascii="楷体" w:hAnsi="楷体" w:eastAsia="楷体" w:cs="楷体"/>
          <w:color w:val="auto"/>
          <w:u w:val="single"/>
          <w:lang w:val="en-US" w:eastAsia="zh-CN"/>
        </w:rPr>
        <w:t>附件（双击打开）：工程量清单</w:t>
      </w:r>
    </w:p>
    <w:p w14:paraId="2C09BB8E">
      <w:pPr>
        <w:pStyle w:val="45"/>
        <w:widowControl w:val="0"/>
        <w:numPr>
          <w:ilvl w:val="0"/>
          <w:numId w:val="0"/>
        </w:numPr>
        <w:ind w:firstLine="420" w:firstLineChars="200"/>
        <w:jc w:val="both"/>
        <w:rPr>
          <w:rFonts w:hint="eastAsia"/>
          <w:color w:val="auto"/>
          <w:lang w:val="en-US" w:eastAsia="zh-CN"/>
        </w:rPr>
      </w:pPr>
      <w:r>
        <w:rPr>
          <w:rFonts w:hint="eastAsia"/>
          <w:color w:val="auto"/>
          <w:lang w:val="en-US" w:eastAsia="zh-CN"/>
        </w:rPr>
        <w:object>
          <v:shape id="_x0000_i1025" o:spt="75" type="#_x0000_t75" style="height:66pt;width:72.75pt;" o:ole="t" filled="f" o:preferrelative="t" stroked="f" coordsize="21600,21600">
            <v:path/>
            <v:fill on="f" focussize="0,0"/>
            <v:stroke on="f"/>
            <v:imagedata r:id="rId9" o:title=""/>
            <o:lock v:ext="edit" aspectratio="t"/>
            <w10:wrap type="none"/>
            <w10:anchorlock/>
          </v:shape>
          <o:OLEObject Type="Embed" ProgID="Package" ShapeID="_x0000_i1025" DrawAspect="Icon" ObjectID="_1468075725" r:id="rId8">
            <o:LockedField>false</o:LockedField>
          </o:OLEObject>
        </w:object>
      </w:r>
    </w:p>
    <w:bookmarkEnd w:id="174"/>
    <w:p w14:paraId="05251840">
      <w:pPr>
        <w:pStyle w:val="195"/>
        <w:pageBreakBefore/>
        <w:jc w:val="center"/>
        <w:rPr>
          <w:rFonts w:hint="eastAsia" w:ascii="楷体" w:hAnsi="楷体" w:eastAsia="楷体" w:cs="楷体"/>
          <w:color w:val="auto"/>
          <w:lang w:eastAsia="zh-CN"/>
        </w:rPr>
      </w:pPr>
      <w:bookmarkStart w:id="182" w:name="_Toc5298"/>
      <w:r>
        <w:rPr>
          <w:rFonts w:hint="eastAsia" w:ascii="楷体" w:hAnsi="楷体" w:eastAsia="楷体" w:cs="楷体"/>
          <w:color w:val="auto"/>
          <w:highlight w:val="white"/>
        </w:rPr>
        <w:t>第五部分  评审办法和标准</w:t>
      </w:r>
      <w:bookmarkEnd w:id="168"/>
      <w:bookmarkEnd w:id="169"/>
      <w:bookmarkEnd w:id="182"/>
    </w:p>
    <w:p w14:paraId="362ABA07">
      <w:pPr>
        <w:pStyle w:val="196"/>
        <w:spacing w:line="400" w:lineRule="exact"/>
        <w:ind w:firstLine="321"/>
        <w:jc w:val="left"/>
        <w:rPr>
          <w:rFonts w:hint="eastAsia" w:ascii="楷体" w:hAnsi="楷体" w:eastAsia="楷体" w:cs="楷体"/>
          <w:color w:val="auto"/>
          <w:sz w:val="32"/>
        </w:rPr>
      </w:pPr>
      <w:bookmarkStart w:id="183" w:name="_Toc15789"/>
      <w:bookmarkStart w:id="184" w:name="_Toc73364901"/>
      <w:bookmarkStart w:id="185" w:name="_Toc256000058"/>
      <w:bookmarkStart w:id="186" w:name="_Toc2587"/>
      <w:bookmarkStart w:id="187" w:name="_Toc73365514"/>
      <w:r>
        <w:rPr>
          <w:rFonts w:hint="eastAsia" w:ascii="楷体" w:hAnsi="楷体" w:eastAsia="楷体" w:cs="楷体"/>
          <w:color w:val="auto"/>
          <w:sz w:val="32"/>
          <w:highlight w:val="white"/>
        </w:rPr>
        <w:t>1．磋商小组职责</w:t>
      </w:r>
      <w:bookmarkEnd w:id="183"/>
      <w:bookmarkEnd w:id="184"/>
      <w:bookmarkEnd w:id="185"/>
      <w:bookmarkEnd w:id="186"/>
      <w:bookmarkEnd w:id="187"/>
    </w:p>
    <w:p w14:paraId="5BF8F9A4">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1.1熟悉和理解磋商文件，如磋商文件内容违反国家有关强制性规定的，磋商小组应当停止评审并向采购人或者采购代理机构说明情况。</w:t>
      </w:r>
    </w:p>
    <w:p w14:paraId="072CBA7C">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1.2按照客观、公正、审慎的原则，根据磋商文件规定的评审程序、评审方法和评审标准进行独立评审。</w:t>
      </w:r>
    </w:p>
    <w:p w14:paraId="2D8AF767">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1.3起草评审报告并进行签署。</w:t>
      </w:r>
    </w:p>
    <w:p w14:paraId="02660045">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1.4推荐成交候选供应商。</w:t>
      </w:r>
    </w:p>
    <w:p w14:paraId="34A94083">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1.5向采购人、采购代理机构、财政部门或者其他监督部门报告非法干预评审工作的行为。</w:t>
      </w:r>
    </w:p>
    <w:p w14:paraId="2EA8F3F2">
      <w:pPr>
        <w:widowControl/>
        <w:spacing w:line="360" w:lineRule="auto"/>
        <w:ind w:firstLine="420"/>
        <w:rPr>
          <w:rFonts w:hint="eastAsia" w:ascii="楷体" w:hAnsi="楷体" w:eastAsia="楷体" w:cs="楷体"/>
          <w:color w:val="auto"/>
          <w:sz w:val="24"/>
        </w:rPr>
      </w:pPr>
      <w:r>
        <w:rPr>
          <w:rFonts w:hint="eastAsia" w:ascii="楷体" w:hAnsi="楷体" w:eastAsia="楷体" w:cs="楷体"/>
          <w:color w:val="auto"/>
          <w:sz w:val="24"/>
          <w:highlight w:val="white"/>
        </w:rPr>
        <w:t>1.6法律、法规和规章规定的其他职责。</w:t>
      </w:r>
    </w:p>
    <w:p w14:paraId="49EE603C">
      <w:pPr>
        <w:pStyle w:val="196"/>
        <w:spacing w:line="400" w:lineRule="exact"/>
        <w:ind w:firstLine="321"/>
        <w:jc w:val="left"/>
        <w:rPr>
          <w:rFonts w:hint="eastAsia" w:ascii="楷体" w:hAnsi="楷体" w:eastAsia="楷体" w:cs="楷体"/>
          <w:color w:val="auto"/>
          <w:sz w:val="32"/>
        </w:rPr>
      </w:pPr>
      <w:bookmarkStart w:id="188" w:name="_Toc7846"/>
      <w:bookmarkStart w:id="189" w:name="_Toc256000059"/>
      <w:bookmarkStart w:id="190" w:name="_Toc21207"/>
      <w:bookmarkStart w:id="191" w:name="_Toc73364902"/>
      <w:bookmarkStart w:id="192" w:name="_Toc73365515"/>
      <w:r>
        <w:rPr>
          <w:rFonts w:hint="eastAsia" w:ascii="楷体" w:hAnsi="楷体" w:eastAsia="楷体" w:cs="楷体"/>
          <w:color w:val="auto"/>
          <w:sz w:val="32"/>
          <w:highlight w:val="white"/>
        </w:rPr>
        <w:t>2．磋商及评审程序</w:t>
      </w:r>
      <w:bookmarkEnd w:id="188"/>
      <w:bookmarkEnd w:id="189"/>
      <w:bookmarkEnd w:id="190"/>
      <w:bookmarkEnd w:id="191"/>
      <w:bookmarkEnd w:id="192"/>
    </w:p>
    <w:p w14:paraId="4E32C8ED">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2.1磋商组织方按磋商小组名单核对身份并签到。</w:t>
      </w:r>
    </w:p>
    <w:p w14:paraId="1690DF89">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2.2磋商组织方宣布磋商及评审纪律，磋商小组确认有无回避的情形。</w:t>
      </w:r>
    </w:p>
    <w:p w14:paraId="0BBFC5F5">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2.3磋商小组推选组长，负责组织磋商及评审活动，采购人代表不得担任组长。</w:t>
      </w:r>
    </w:p>
    <w:p w14:paraId="3A8092BC">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2.4磋商小组正式评审前，应当对磋商文件进行熟悉和理解，审查磋商文件。</w:t>
      </w:r>
    </w:p>
    <w:p w14:paraId="3328F1AB">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2.5磋商小组将对供应商进行符合性审查，对首次响应文件进行有效性、完整性和响应程度审查。未通过审查的供应商不得参与磋商，磋商小组应书面告知供应商并说明理由。</w:t>
      </w:r>
    </w:p>
    <w:p w14:paraId="08236F84">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2.6磋商小组在对响应文件的有效性、完整性和响应程度进行审查时，可以要求供应商对响应文件中含义不明确、同类问题表述不一致或者有明显文字和计算错误的内容等作出必要的澄清、说明或者更正。磋商小组要求供应商澄清、说明或者更正响应文件应当以书面形式作出。</w:t>
      </w:r>
    </w:p>
    <w:p w14:paraId="6311F7E4">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2.7磋商小组应集中与符合要求的单一供应商分别进行磋商，并给予所有参加磋商的供应商平等的磋商机会。</w:t>
      </w:r>
    </w:p>
    <w:p w14:paraId="6FED9D4F">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2.8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2ACDBB47">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2.9磋商文件能够详细列明采购标的的技术、服务要求的，磋商结束后，磋商小组应要求所有实质性响应的供应商在规定时间内提交最后报价。磋商文件不能详细列明采购标的的技术、服务要求，需经磋商由供应商提供最终设计方案或解决方案的，磋商结束后，磋商小组应按照少数服从多数的原则投票推荐三家及以上供应商的设计方案或者解决方案，并要求其在规定时间内提交最后报价。</w:t>
      </w:r>
    </w:p>
    <w:p w14:paraId="5F043341">
      <w:pPr>
        <w:spacing w:line="360" w:lineRule="auto"/>
        <w:ind w:firstLine="426"/>
        <w:rPr>
          <w:rFonts w:hint="eastAsia" w:ascii="楷体" w:hAnsi="楷体" w:eastAsia="楷体" w:cs="楷体"/>
          <w:b/>
          <w:bCs/>
          <w:color w:val="auto"/>
        </w:rPr>
      </w:pPr>
      <w:r>
        <w:rPr>
          <w:rFonts w:hint="eastAsia" w:ascii="楷体" w:hAnsi="楷体" w:eastAsia="楷体" w:cs="楷体"/>
          <w:b/>
          <w:bCs/>
          <w:color w:val="auto"/>
          <w:sz w:val="24"/>
          <w:highlight w:val="white"/>
        </w:rPr>
        <w:t>供应商未在磋商小组规定的时间内完成最后报价的视为放弃报价，自动退出此次磋商，其响应按无效响应处理，不参与后续的项目流程。最后报价须加盖</w:t>
      </w:r>
      <w:r>
        <w:rPr>
          <w:rFonts w:hint="eastAsia" w:ascii="楷体" w:hAnsi="楷体" w:eastAsia="楷体" w:cs="楷体"/>
          <w:b/>
          <w:bCs/>
          <w:color w:val="auto"/>
          <w:sz w:val="24"/>
          <w:highlight w:val="white"/>
          <w:lang w:val="en-US" w:eastAsia="zh-CN"/>
        </w:rPr>
        <w:t>公</w:t>
      </w:r>
      <w:r>
        <w:rPr>
          <w:rFonts w:hint="eastAsia" w:ascii="楷体" w:hAnsi="楷体" w:eastAsia="楷体" w:cs="楷体"/>
          <w:b/>
          <w:bCs/>
          <w:color w:val="auto"/>
          <w:sz w:val="24"/>
          <w:highlight w:val="white"/>
        </w:rPr>
        <w:t>章。</w:t>
      </w:r>
    </w:p>
    <w:p w14:paraId="770C05C5">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符合磋商文件供应商须知规定情形的，提交最后报价的供应商可以为2家。</w:t>
      </w:r>
    </w:p>
    <w:p w14:paraId="34027F65">
      <w:pPr>
        <w:widowControl/>
        <w:spacing w:line="360" w:lineRule="auto"/>
        <w:ind w:firstLine="425"/>
        <w:jc w:val="left"/>
        <w:rPr>
          <w:rFonts w:hint="eastAsia" w:ascii="楷体" w:hAnsi="楷体" w:eastAsia="楷体" w:cs="楷体"/>
          <w:color w:val="auto"/>
          <w:sz w:val="24"/>
        </w:rPr>
      </w:pPr>
      <w:r>
        <w:rPr>
          <w:rFonts w:hint="eastAsia" w:ascii="楷体" w:hAnsi="楷体" w:eastAsia="楷体" w:cs="楷体"/>
          <w:color w:val="auto"/>
          <w:sz w:val="24"/>
          <w:highlight w:val="white"/>
        </w:rPr>
        <w:t>2.10经磋商确定最终采购需求和提交最后报价的供应商后，磋商小组应对提交最后报价的供应商的响应文件和最后报价进行评审。</w:t>
      </w:r>
    </w:p>
    <w:p w14:paraId="3CFB6E6B">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2.11磋商小组对磋商供应商得分按照从高到低进行排序，得分相同的磋商供应商，报价低者排名在前，评审得分且最后报价相同的，按技术指标优劣顺序排列。</w:t>
      </w:r>
    </w:p>
    <w:p w14:paraId="1164E68D">
      <w:pPr>
        <w:spacing w:line="360" w:lineRule="auto"/>
        <w:ind w:firstLine="425"/>
        <w:rPr>
          <w:rFonts w:hint="eastAsia" w:ascii="楷体" w:hAnsi="楷体" w:eastAsia="楷体" w:cs="楷体"/>
          <w:color w:val="auto"/>
          <w:sz w:val="24"/>
        </w:rPr>
      </w:pPr>
      <w:r>
        <w:rPr>
          <w:rFonts w:hint="eastAsia" w:ascii="楷体" w:hAnsi="楷体" w:eastAsia="楷体" w:cs="楷体"/>
          <w:color w:val="auto"/>
          <w:sz w:val="24"/>
          <w:highlight w:val="white"/>
        </w:rPr>
        <w:t>2.12推荐成交候选供应商，并出具书面评审报告。</w:t>
      </w:r>
    </w:p>
    <w:p w14:paraId="06BBBC96">
      <w:pPr>
        <w:pStyle w:val="196"/>
        <w:spacing w:line="400" w:lineRule="exact"/>
        <w:ind w:firstLine="321"/>
        <w:jc w:val="left"/>
        <w:rPr>
          <w:rFonts w:hint="eastAsia" w:ascii="楷体" w:hAnsi="楷体" w:eastAsia="楷体" w:cs="楷体"/>
          <w:color w:val="auto"/>
          <w:sz w:val="32"/>
          <w:lang w:eastAsia="zh-CN"/>
        </w:rPr>
      </w:pPr>
      <w:bookmarkStart w:id="193" w:name="_Toc73364903"/>
      <w:bookmarkStart w:id="194" w:name="_Toc73365516"/>
      <w:bookmarkStart w:id="195" w:name="_Toc28011"/>
      <w:bookmarkStart w:id="196" w:name="_Toc256000060"/>
      <w:bookmarkStart w:id="197" w:name="_Toc4833"/>
      <w:r>
        <w:rPr>
          <w:rFonts w:hint="eastAsia" w:ascii="楷体" w:hAnsi="楷体" w:eastAsia="楷体" w:cs="楷体"/>
          <w:color w:val="auto"/>
          <w:sz w:val="32"/>
          <w:highlight w:val="white"/>
        </w:rPr>
        <w:t>3．供应商资格审查</w:t>
      </w:r>
      <w:bookmarkEnd w:id="193"/>
      <w:bookmarkEnd w:id="194"/>
      <w:bookmarkEnd w:id="195"/>
      <w:bookmarkEnd w:id="196"/>
      <w:bookmarkEnd w:id="197"/>
    </w:p>
    <w:p w14:paraId="699B13DC">
      <w:pPr>
        <w:widowControl/>
        <w:spacing w:line="360" w:lineRule="auto"/>
        <w:ind w:firstLine="480"/>
        <w:rPr>
          <w:rFonts w:hint="eastAsia" w:ascii="楷体" w:hAnsi="楷体" w:eastAsia="楷体" w:cs="楷体"/>
          <w:color w:val="auto"/>
          <w:sz w:val="20"/>
          <w:highlight w:val="red"/>
        </w:rPr>
      </w:pPr>
      <w:r>
        <w:rPr>
          <w:rFonts w:hint="eastAsia" w:ascii="楷体" w:hAnsi="楷体" w:eastAsia="楷体" w:cs="楷体"/>
          <w:color w:val="auto"/>
          <w:sz w:val="24"/>
          <w:highlight w:val="white"/>
        </w:rPr>
        <w:t>开启结束后，采购人将依法对供应商的资格进行审查。资格审查的内容如下：</w:t>
      </w:r>
      <w:bookmarkStart w:id="198" w:name="EB26dcd70bebb54979b7a4b621de125d2f"/>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
        <w:gridCol w:w="1983"/>
        <w:gridCol w:w="6071"/>
      </w:tblGrid>
      <w:tr w14:paraId="5B21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799BE1">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3DFBD19">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审查要素</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1946256">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审查内容</w:t>
            </w:r>
          </w:p>
        </w:tc>
      </w:tr>
      <w:tr w14:paraId="12A22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08AD96">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99E24F">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具有独立承担民事责任的能力</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03C969">
            <w:pPr>
              <w:pStyle w:val="26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法人或者其他组织的营业执照等证明文件；自然人的身份证。</w:t>
            </w:r>
          </w:p>
        </w:tc>
      </w:tr>
      <w:tr w14:paraId="7DA8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294248D">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3787C27">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具有良好的商业信誉和健全的财务会计制度</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32AE52A">
            <w:pPr>
              <w:pStyle w:val="26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提供</w:t>
            </w:r>
            <w:r>
              <w:rPr>
                <w:rFonts w:hint="eastAsia" w:ascii="楷体" w:hAnsi="楷体" w:eastAsia="楷体" w:cs="楷体"/>
                <w:color w:val="auto"/>
                <w:sz w:val="24"/>
                <w:szCs w:val="24"/>
                <w:lang w:eastAsia="zh-CN"/>
              </w:rPr>
              <w:t>202</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lang w:eastAsia="zh-CN"/>
              </w:rPr>
              <w:t>年度</w:t>
            </w:r>
            <w:r>
              <w:rPr>
                <w:rFonts w:hint="eastAsia" w:ascii="楷体" w:hAnsi="楷体" w:eastAsia="楷体" w:cs="楷体"/>
                <w:color w:val="auto"/>
                <w:sz w:val="24"/>
                <w:szCs w:val="24"/>
              </w:rPr>
              <w:t>财务报告，成立不满一年的提供至少一个月财务报告，或银行出具的资信证明，或财政部门认可的政府采购专业担保机构出具的磋商担保函等，或者提供资格承诺函。</w:t>
            </w:r>
          </w:p>
        </w:tc>
      </w:tr>
      <w:tr w14:paraId="3A96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CD6DA0A">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3166CE">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具有履行合同所必需的设备和专业技术能力</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167D77E">
            <w:pPr>
              <w:pStyle w:val="26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提供具有履行合同所必需的设备和专业技术能力的书面声明或者提供资格承诺函。</w:t>
            </w:r>
          </w:p>
        </w:tc>
      </w:tr>
      <w:tr w14:paraId="4C14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79553">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2A112E">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有依法缴纳税收和社会保障资金的良好记录</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DF49BB">
            <w:pPr>
              <w:pStyle w:val="26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提供参加本次政府采购活动前半年内至少一个月依法缴纳税收和社会保险的凭据，或者提供资格承诺函。</w:t>
            </w:r>
          </w:p>
        </w:tc>
      </w:tr>
      <w:tr w14:paraId="07D40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35AFA8">
            <w:pPr>
              <w:pStyle w:val="262"/>
              <w:jc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DE16D4">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参加政府采购活动前三年内，在经营活动中没有重大违法记录</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499144">
            <w:pPr>
              <w:pStyle w:val="262"/>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（1）磋商承诺函或者提供资格承诺函。</w:t>
            </w:r>
          </w:p>
          <w:p w14:paraId="5A47DDE4">
            <w:pPr>
              <w:pStyle w:val="262"/>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（2）“信用中国”网站（www.creditchina.gov.cn）、中国政府采购网（www.ccgp.gov.cn）的查询结果未列入失信被执行人名单、重大税收违法案件当事人名单、政府采购严重违法失信行为名单,以现场查询为准。</w:t>
            </w:r>
          </w:p>
        </w:tc>
      </w:tr>
      <w:tr w14:paraId="3A58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C4F6019">
            <w:pPr>
              <w:pStyle w:val="262"/>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6</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F6F54B">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落实政府采购政策需满足的资格要求</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331AE2">
            <w:pPr>
              <w:pStyle w:val="26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本项目</w:t>
            </w:r>
            <w:r>
              <w:rPr>
                <w:rFonts w:hint="eastAsia" w:ascii="楷体" w:hAnsi="楷体" w:eastAsia="楷体" w:cs="楷体"/>
                <w:color w:val="auto"/>
                <w:sz w:val="24"/>
                <w:szCs w:val="24"/>
                <w:lang w:val="en-US" w:eastAsia="zh-CN"/>
              </w:rPr>
              <w:t>是</w:t>
            </w:r>
            <w:r>
              <w:rPr>
                <w:rFonts w:hint="eastAsia" w:ascii="楷体" w:hAnsi="楷体" w:eastAsia="楷体" w:cs="楷体"/>
                <w:color w:val="auto"/>
                <w:sz w:val="24"/>
                <w:szCs w:val="24"/>
              </w:rPr>
              <w:t>专门面向中小微企业采购的项目。</w:t>
            </w:r>
          </w:p>
        </w:tc>
      </w:tr>
      <w:tr w14:paraId="57FB1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7F7F2DF">
            <w:pPr>
              <w:pStyle w:val="262"/>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7</w:t>
            </w:r>
          </w:p>
        </w:tc>
        <w:tc>
          <w:tcPr>
            <w:tcW w:w="198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4A0387">
            <w:pPr>
              <w:pStyle w:val="26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特定资格要求</w:t>
            </w:r>
          </w:p>
        </w:tc>
        <w:tc>
          <w:tcPr>
            <w:tcW w:w="607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DF53227">
            <w:pPr>
              <w:pStyle w:val="262"/>
              <w:keepNext w:val="0"/>
              <w:keepLines w:val="0"/>
              <w:pageBreakBefore w:val="0"/>
              <w:widowControl/>
              <w:numPr>
                <w:ilvl w:val="0"/>
                <w:numId w:val="13"/>
              </w:numPr>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rPr>
              <w:t>供应商具有</w:t>
            </w:r>
            <w:r>
              <w:rPr>
                <w:rFonts w:hint="eastAsia" w:ascii="楷体" w:hAnsi="楷体" w:eastAsia="楷体" w:cs="楷体"/>
                <w:i w:val="0"/>
                <w:iCs w:val="0"/>
                <w:caps w:val="0"/>
                <w:color w:val="auto"/>
                <w:spacing w:val="0"/>
                <w:sz w:val="24"/>
                <w:szCs w:val="24"/>
                <w:lang w:val="en-US" w:eastAsia="zh-CN"/>
              </w:rPr>
              <w:t>建筑工程施工总承包三级</w:t>
            </w:r>
            <w:r>
              <w:rPr>
                <w:rFonts w:hint="eastAsia" w:ascii="楷体" w:hAnsi="楷体" w:eastAsia="楷体" w:cs="楷体"/>
                <w:i w:val="0"/>
                <w:iCs w:val="0"/>
                <w:caps w:val="0"/>
                <w:color w:val="auto"/>
                <w:spacing w:val="0"/>
                <w:sz w:val="24"/>
                <w:szCs w:val="24"/>
              </w:rPr>
              <w:t>(含)以上资质并在有效期内；同时具备安全生产条件，并取得安全生产许可证（提供有效期内的证书扫描件加盖公章）；</w:t>
            </w:r>
          </w:p>
          <w:p w14:paraId="7245EE15">
            <w:pPr>
              <w:pStyle w:val="262"/>
              <w:keepNext w:val="0"/>
              <w:keepLines w:val="0"/>
              <w:pageBreakBefore w:val="0"/>
              <w:widowControl/>
              <w:numPr>
                <w:ilvl w:val="0"/>
                <w:numId w:val="13"/>
              </w:numPr>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rPr>
              <w:t xml:space="preserve">拟派项目经理为本公司正式员工,具有注册房屋建筑工程建造师二级(含)以上并且具有安全生产考核B类合格证（提供有效期内的证书扫描件加盖公章）； </w:t>
            </w:r>
          </w:p>
          <w:p w14:paraId="634F9B90">
            <w:pPr>
              <w:pStyle w:val="262"/>
              <w:keepNext w:val="0"/>
              <w:keepLines w:val="0"/>
              <w:pageBreakBefore w:val="0"/>
              <w:widowControl/>
              <w:numPr>
                <w:ilvl w:val="0"/>
                <w:numId w:val="13"/>
              </w:numPr>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rPr>
              <w:t>项目经理须提供近一个月（2026年</w:t>
            </w:r>
            <w:r>
              <w:rPr>
                <w:rFonts w:hint="eastAsia" w:ascii="楷体" w:hAnsi="楷体" w:eastAsia="楷体" w:cs="楷体"/>
                <w:i w:val="0"/>
                <w:iCs w:val="0"/>
                <w:caps w:val="0"/>
                <w:color w:val="auto"/>
                <w:spacing w:val="0"/>
                <w:sz w:val="24"/>
                <w:szCs w:val="24"/>
                <w:lang w:val="en-US" w:eastAsia="zh-CN"/>
              </w:rPr>
              <w:t>3</w:t>
            </w:r>
            <w:r>
              <w:rPr>
                <w:rFonts w:hint="eastAsia" w:ascii="楷体" w:hAnsi="楷体" w:eastAsia="楷体" w:cs="楷体"/>
                <w:i w:val="0"/>
                <w:iCs w:val="0"/>
                <w:caps w:val="0"/>
                <w:color w:val="auto"/>
                <w:spacing w:val="0"/>
                <w:sz w:val="24"/>
                <w:szCs w:val="24"/>
              </w:rPr>
              <w:t>月）供应商为其缴纳社会保险的证明材料。【注：社会保险证明：①如供应商注册所在地人力资源和社会保障部门明确的最大查询期与磋商文件规定的月份不一致时，须提供相应的文件规定；②项目经理达到国家法定退休年龄的或项目经理未达到国家法定退休年龄，但提前退休的，无需提供社保证明材料，但需提供退休证明材料（退休证明和有效的返聘合同）。】</w:t>
            </w:r>
          </w:p>
          <w:p w14:paraId="0346903F">
            <w:pPr>
              <w:pStyle w:val="262"/>
              <w:keepNext w:val="0"/>
              <w:keepLines w:val="0"/>
              <w:pageBreakBefore w:val="0"/>
              <w:widowControl/>
              <w:numPr>
                <w:ilvl w:val="0"/>
                <w:numId w:val="13"/>
              </w:numPr>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楷体" w:hAnsi="楷体" w:eastAsia="楷体" w:cs="楷体"/>
                <w:color w:val="auto"/>
                <w:sz w:val="24"/>
                <w:szCs w:val="24"/>
                <w:lang w:val="en-US" w:eastAsia="zh-CN"/>
              </w:rPr>
            </w:pPr>
            <w:r>
              <w:rPr>
                <w:rFonts w:hint="eastAsia" w:ascii="楷体" w:hAnsi="楷体" w:eastAsia="楷体" w:cs="楷体"/>
                <w:i w:val="0"/>
                <w:iCs w:val="0"/>
                <w:caps w:val="0"/>
                <w:color w:val="auto"/>
                <w:spacing w:val="0"/>
                <w:sz w:val="24"/>
                <w:szCs w:val="24"/>
              </w:rPr>
              <w:t>本工程执行省建设厅《关于开展建筑业企业资质动态监管工作的公告》（[2018]第6号）相关规定，要求供应商动态监管核查结果合格，核查结果不合格的，资格审查不通过（核查资质指</w:t>
            </w:r>
            <w:r>
              <w:rPr>
                <w:rFonts w:hint="eastAsia" w:ascii="楷体" w:hAnsi="楷体" w:eastAsia="楷体" w:cs="楷体"/>
                <w:i w:val="0"/>
                <w:iCs w:val="0"/>
                <w:caps w:val="0"/>
                <w:color w:val="auto"/>
                <w:spacing w:val="0"/>
                <w:sz w:val="24"/>
                <w:szCs w:val="24"/>
                <w:lang w:val="en-US" w:eastAsia="zh-CN"/>
              </w:rPr>
              <w:t>采购</w:t>
            </w:r>
            <w:r>
              <w:rPr>
                <w:rFonts w:hint="eastAsia" w:ascii="楷体" w:hAnsi="楷体" w:eastAsia="楷体" w:cs="楷体"/>
                <w:i w:val="0"/>
                <w:iCs w:val="0"/>
                <w:caps w:val="0"/>
                <w:color w:val="auto"/>
                <w:spacing w:val="0"/>
                <w:sz w:val="24"/>
                <w:szCs w:val="24"/>
              </w:rPr>
              <w:t>文件所要求的相应资质，提供核查结果截图）动态监管查询网址：</w:t>
            </w:r>
            <w:r>
              <w:rPr>
                <w:rFonts w:hint="eastAsia" w:ascii="楷体" w:hAnsi="楷体" w:eastAsia="楷体" w:cs="楷体"/>
                <w:i w:val="0"/>
                <w:iCs w:val="0"/>
                <w:caps w:val="0"/>
                <w:color w:val="auto"/>
                <w:spacing w:val="0"/>
                <w:sz w:val="24"/>
                <w:szCs w:val="24"/>
              </w:rPr>
              <w:fldChar w:fldCharType="begin"/>
            </w:r>
            <w:r>
              <w:rPr>
                <w:rFonts w:hint="eastAsia" w:ascii="楷体" w:hAnsi="楷体" w:eastAsia="楷体" w:cs="楷体"/>
                <w:i w:val="0"/>
                <w:iCs w:val="0"/>
                <w:caps w:val="0"/>
                <w:color w:val="auto"/>
                <w:spacing w:val="0"/>
                <w:sz w:val="24"/>
                <w:szCs w:val="24"/>
              </w:rPr>
              <w:instrText xml:space="preserve"> HYPERLINK "https://zhfwpt.jsszfhcxjst.jiangsu.gov.cn:12443/ms/admin/#/open/dthc-list）" </w:instrText>
            </w:r>
            <w:r>
              <w:rPr>
                <w:rFonts w:hint="eastAsia" w:ascii="楷体" w:hAnsi="楷体" w:eastAsia="楷体" w:cs="楷体"/>
                <w:i w:val="0"/>
                <w:iCs w:val="0"/>
                <w:caps w:val="0"/>
                <w:color w:val="auto"/>
                <w:spacing w:val="0"/>
                <w:sz w:val="24"/>
                <w:szCs w:val="24"/>
              </w:rPr>
              <w:fldChar w:fldCharType="separate"/>
            </w:r>
            <w:r>
              <w:rPr>
                <w:rStyle w:val="41"/>
                <w:rFonts w:hint="eastAsia" w:ascii="楷体" w:hAnsi="楷体" w:eastAsia="楷体" w:cs="楷体"/>
                <w:i w:val="0"/>
                <w:iCs w:val="0"/>
                <w:caps w:val="0"/>
                <w:color w:val="auto"/>
                <w:spacing w:val="0"/>
                <w:sz w:val="24"/>
                <w:szCs w:val="24"/>
              </w:rPr>
              <w:t>https://zhfwpt.jsszfhcxjst.jiangsu.gov.cn:12443/ms/admin/#/open/dthc-list）</w:t>
            </w:r>
            <w:r>
              <w:rPr>
                <w:rFonts w:hint="eastAsia" w:ascii="楷体" w:hAnsi="楷体" w:eastAsia="楷体" w:cs="楷体"/>
                <w:i w:val="0"/>
                <w:iCs w:val="0"/>
                <w:caps w:val="0"/>
                <w:color w:val="auto"/>
                <w:spacing w:val="0"/>
                <w:sz w:val="24"/>
                <w:szCs w:val="24"/>
              </w:rPr>
              <w:fldChar w:fldCharType="end"/>
            </w:r>
          </w:p>
          <w:p w14:paraId="74368B26">
            <w:pPr>
              <w:pStyle w:val="262"/>
              <w:keepNext w:val="0"/>
              <w:keepLines w:val="0"/>
              <w:pageBreakBefore w:val="0"/>
              <w:widowControl/>
              <w:numPr>
                <w:ilvl w:val="0"/>
                <w:numId w:val="13"/>
              </w:numPr>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楷体" w:hAnsi="楷体" w:eastAsia="楷体" w:cs="楷体"/>
                <w:color w:val="auto"/>
                <w:sz w:val="24"/>
                <w:szCs w:val="24"/>
                <w:lang w:val="en-US" w:eastAsia="zh-CN"/>
              </w:rPr>
            </w:pPr>
            <w:r>
              <w:rPr>
                <w:rFonts w:hint="eastAsia" w:ascii="楷体" w:hAnsi="楷体" w:eastAsia="楷体" w:cs="楷体"/>
                <w:i w:val="0"/>
                <w:iCs w:val="0"/>
                <w:caps w:val="0"/>
                <w:color w:val="auto"/>
                <w:spacing w:val="0"/>
                <w:sz w:val="24"/>
                <w:szCs w:val="24"/>
              </w:rPr>
              <w:t>供应商承诺项目经理无在建工程；项目负责人不得同时在两个或者两个以上单位受聘或者执业；不得同时在其他企业担任法定代表人、分公司负责人、董事长、总经理、董事、执行董事、监事、财务负责人等企业高级管理岗位；项目负责人不得是个体工商户经营者(供应商提供承诺书，格式自拟)</w:t>
            </w:r>
          </w:p>
        </w:tc>
      </w:tr>
      <w:bookmarkEnd w:id="198"/>
    </w:tbl>
    <w:p w14:paraId="45935C0F">
      <w:pPr>
        <w:pStyle w:val="196"/>
        <w:spacing w:line="400" w:lineRule="exact"/>
        <w:ind w:firstLine="321"/>
        <w:jc w:val="left"/>
        <w:rPr>
          <w:rFonts w:hint="eastAsia" w:ascii="楷体" w:hAnsi="楷体" w:eastAsia="楷体" w:cs="楷体"/>
          <w:color w:val="auto"/>
          <w:highlight w:val="red"/>
        </w:rPr>
      </w:pPr>
      <w:bookmarkStart w:id="199" w:name="_Toc12296"/>
      <w:bookmarkStart w:id="200" w:name="_Toc73365517"/>
      <w:bookmarkStart w:id="201" w:name="_Toc20391"/>
      <w:bookmarkStart w:id="202" w:name="_Toc256000061"/>
      <w:bookmarkStart w:id="203" w:name="_Toc73364904"/>
      <w:r>
        <w:rPr>
          <w:rFonts w:hint="eastAsia" w:ascii="楷体" w:hAnsi="楷体" w:eastAsia="楷体" w:cs="楷体"/>
          <w:color w:val="auto"/>
          <w:sz w:val="32"/>
          <w:highlight w:val="white"/>
        </w:rPr>
        <w:t>4．磋商响应文件的有效性、完整性和响应程度审查</w:t>
      </w:r>
      <w:bookmarkEnd w:id="199"/>
      <w:bookmarkEnd w:id="200"/>
      <w:bookmarkEnd w:id="201"/>
      <w:bookmarkEnd w:id="202"/>
      <w:bookmarkEnd w:id="203"/>
      <w:bookmarkStart w:id="204" w:name="EB5ff77f62222b43a48ee845bbfe38b65b"/>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5"/>
        <w:gridCol w:w="1963"/>
        <w:gridCol w:w="6088"/>
      </w:tblGrid>
      <w:tr w14:paraId="17EC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3FEA2C">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序号</w:t>
            </w:r>
          </w:p>
        </w:tc>
        <w:tc>
          <w:tcPr>
            <w:tcW w:w="196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6F472D8">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审查要素</w:t>
            </w:r>
          </w:p>
        </w:tc>
        <w:tc>
          <w:tcPr>
            <w:tcW w:w="609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25E1DEF">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审查内容</w:t>
            </w:r>
          </w:p>
        </w:tc>
      </w:tr>
      <w:tr w14:paraId="6FC8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6C23A6">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1</w:t>
            </w:r>
          </w:p>
        </w:tc>
        <w:tc>
          <w:tcPr>
            <w:tcW w:w="196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A3C7D0">
            <w:pPr>
              <w:pStyle w:val="26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响应文件有效性</w:t>
            </w:r>
          </w:p>
        </w:tc>
        <w:tc>
          <w:tcPr>
            <w:tcW w:w="609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DE6C21D">
            <w:pPr>
              <w:pStyle w:val="26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响应文件的</w:t>
            </w:r>
            <w:r>
              <w:rPr>
                <w:rFonts w:hint="eastAsia" w:ascii="楷体" w:hAnsi="楷体" w:eastAsia="楷体" w:cs="楷体"/>
                <w:color w:val="auto"/>
                <w:sz w:val="24"/>
                <w:szCs w:val="32"/>
                <w:lang w:val="en-US" w:eastAsia="zh-CN"/>
              </w:rPr>
              <w:t>签署、盖章</w:t>
            </w:r>
            <w:r>
              <w:rPr>
                <w:rFonts w:hint="eastAsia" w:ascii="楷体" w:hAnsi="楷体" w:eastAsia="楷体" w:cs="楷体"/>
                <w:color w:val="auto"/>
                <w:sz w:val="24"/>
                <w:szCs w:val="32"/>
              </w:rPr>
              <w:t>。</w:t>
            </w:r>
            <w:r>
              <w:rPr>
                <w:rFonts w:hint="eastAsia" w:ascii="楷体" w:hAnsi="楷体" w:eastAsia="楷体" w:cs="楷体"/>
                <w:color w:val="auto"/>
                <w:sz w:val="24"/>
                <w:szCs w:val="32"/>
                <w:lang w:val="en-US" w:eastAsia="zh-CN"/>
              </w:rPr>
              <w:t>磋商</w:t>
            </w:r>
            <w:r>
              <w:rPr>
                <w:rFonts w:hint="eastAsia" w:ascii="楷体" w:hAnsi="楷体" w:eastAsia="楷体" w:cs="楷体"/>
                <w:color w:val="auto"/>
                <w:sz w:val="24"/>
                <w:szCs w:val="32"/>
              </w:rPr>
              <w:t>报价。</w:t>
            </w:r>
            <w:r>
              <w:rPr>
                <w:rFonts w:hint="eastAsia" w:ascii="楷体" w:hAnsi="楷体" w:eastAsia="楷体" w:cs="楷体"/>
                <w:color w:val="auto"/>
                <w:sz w:val="24"/>
                <w:szCs w:val="32"/>
                <w:lang w:val="en-US" w:eastAsia="zh-CN"/>
              </w:rPr>
              <w:t>磋商保证金缴纳。</w:t>
            </w:r>
            <w:r>
              <w:rPr>
                <w:rFonts w:hint="eastAsia" w:ascii="楷体" w:hAnsi="楷体" w:eastAsia="楷体" w:cs="楷体"/>
                <w:color w:val="auto"/>
                <w:sz w:val="24"/>
                <w:szCs w:val="32"/>
              </w:rPr>
              <w:t>若有委托代理人，供应商为委托代理人缴纳的社保证明材料。未发现属无效响应的其他情形。</w:t>
            </w:r>
          </w:p>
        </w:tc>
      </w:tr>
      <w:tr w14:paraId="41CF1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247B41">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2</w:t>
            </w:r>
          </w:p>
        </w:tc>
        <w:tc>
          <w:tcPr>
            <w:tcW w:w="196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68CEB9">
            <w:pPr>
              <w:pStyle w:val="26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响应文件完整性</w:t>
            </w:r>
          </w:p>
        </w:tc>
        <w:tc>
          <w:tcPr>
            <w:tcW w:w="609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5BE795">
            <w:pPr>
              <w:pStyle w:val="26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响应文件内容完整性、齐全性。</w:t>
            </w:r>
          </w:p>
        </w:tc>
      </w:tr>
      <w:tr w14:paraId="2A03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EA197A0">
            <w:pPr>
              <w:pStyle w:val="264"/>
              <w:jc w:val="center"/>
              <w:rPr>
                <w:rFonts w:hint="eastAsia" w:ascii="楷体" w:hAnsi="楷体" w:eastAsia="楷体" w:cs="楷体"/>
                <w:color w:val="auto"/>
                <w:sz w:val="24"/>
                <w:szCs w:val="32"/>
              </w:rPr>
            </w:pPr>
            <w:r>
              <w:rPr>
                <w:rFonts w:hint="eastAsia" w:ascii="楷体" w:hAnsi="楷体" w:eastAsia="楷体" w:cs="楷体"/>
                <w:color w:val="auto"/>
                <w:sz w:val="24"/>
                <w:szCs w:val="32"/>
              </w:rPr>
              <w:t>3</w:t>
            </w:r>
          </w:p>
        </w:tc>
        <w:tc>
          <w:tcPr>
            <w:tcW w:w="196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CC2334">
            <w:pPr>
              <w:pStyle w:val="26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对磋商文件响应程度</w:t>
            </w:r>
          </w:p>
        </w:tc>
        <w:tc>
          <w:tcPr>
            <w:tcW w:w="609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F27E1B">
            <w:pPr>
              <w:pStyle w:val="26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4"/>
                <w:szCs w:val="32"/>
              </w:rPr>
            </w:pPr>
            <w:r>
              <w:rPr>
                <w:rFonts w:hint="eastAsia" w:ascii="楷体" w:hAnsi="楷体" w:eastAsia="楷体" w:cs="楷体"/>
                <w:color w:val="auto"/>
                <w:sz w:val="24"/>
                <w:szCs w:val="32"/>
              </w:rPr>
              <w:t>审查响应文件与磋商文件要求的主要条款、条件和技术规格是否相符，是否存在重大偏离或保留。</w:t>
            </w:r>
          </w:p>
        </w:tc>
      </w:tr>
      <w:bookmarkEnd w:id="204"/>
    </w:tbl>
    <w:p w14:paraId="4E0807EC">
      <w:pPr>
        <w:rPr>
          <w:rFonts w:hint="eastAsia" w:ascii="楷体" w:hAnsi="楷体" w:eastAsia="楷体" w:cs="楷体"/>
          <w:color w:val="auto"/>
          <w:sz w:val="20"/>
          <w:highlight w:val="white"/>
        </w:rPr>
      </w:pPr>
    </w:p>
    <w:p w14:paraId="35E79F3E">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审查磋商响应文件与磋商文件要求的主要条款、条件和技术规格是否相符，是否存在重大偏离或保留。所谓重大偏离或保留系指影响到磋商文件规定的服务（货物）范围、质量和性能的，或者在实质上与磋商文件不一致，有限制采购人权利和供应商义务的规定，而纠正这些偏离或保留将会对其他实质上响应文件的供应商的竞争地位产生不公正的影响（重大偏离或保留的认定须经磋商小组半数以上同意）。磋商小组决定磋商响应文件的响应性只根据磋商响应文件本身的内容，而不寻求外部的证据。</w:t>
      </w:r>
    </w:p>
    <w:p w14:paraId="302A721B">
      <w:pPr>
        <w:pStyle w:val="196"/>
        <w:spacing w:line="400" w:lineRule="exact"/>
        <w:ind w:firstLine="321"/>
        <w:jc w:val="left"/>
        <w:rPr>
          <w:rFonts w:hint="eastAsia" w:ascii="楷体" w:hAnsi="楷体" w:eastAsia="楷体" w:cs="楷体"/>
          <w:color w:val="auto"/>
          <w:sz w:val="32"/>
        </w:rPr>
      </w:pPr>
      <w:bookmarkStart w:id="205" w:name="_Toc73364905"/>
      <w:bookmarkStart w:id="206" w:name="_Toc31930"/>
      <w:bookmarkStart w:id="207" w:name="_Toc256000062"/>
      <w:bookmarkStart w:id="208" w:name="_Toc4729"/>
      <w:bookmarkStart w:id="209" w:name="_Toc73365518"/>
      <w:r>
        <w:rPr>
          <w:rFonts w:hint="eastAsia" w:ascii="楷体" w:hAnsi="楷体" w:eastAsia="楷体" w:cs="楷体"/>
          <w:color w:val="auto"/>
          <w:sz w:val="32"/>
          <w:highlight w:val="white"/>
        </w:rPr>
        <w:t>5．磋商记录</w:t>
      </w:r>
      <w:bookmarkEnd w:id="205"/>
      <w:bookmarkEnd w:id="206"/>
      <w:bookmarkEnd w:id="207"/>
      <w:bookmarkEnd w:id="208"/>
      <w:bookmarkEnd w:id="209"/>
    </w:p>
    <w:p w14:paraId="5FE1E2A7">
      <w:pPr>
        <w:spacing w:line="360" w:lineRule="auto"/>
        <w:ind w:firstLine="480"/>
        <w:rPr>
          <w:rFonts w:hint="eastAsia" w:ascii="楷体" w:hAnsi="楷体" w:eastAsia="楷体" w:cs="楷体"/>
          <w:color w:val="auto"/>
          <w:sz w:val="24"/>
        </w:rPr>
      </w:pPr>
      <w:r>
        <w:rPr>
          <w:rFonts w:hint="eastAsia" w:ascii="楷体" w:hAnsi="楷体" w:eastAsia="楷体" w:cs="楷体"/>
          <w:color w:val="auto"/>
          <w:sz w:val="24"/>
          <w:highlight w:val="white"/>
        </w:rPr>
        <w:t>5.1《磋商记录》包括供应商答复或承诺的内容、磋商文件的变动情况及最后报价等。</w:t>
      </w:r>
    </w:p>
    <w:p w14:paraId="721F1DBB">
      <w:pPr>
        <w:pStyle w:val="196"/>
        <w:spacing w:line="400" w:lineRule="exact"/>
        <w:ind w:firstLine="321"/>
        <w:jc w:val="left"/>
        <w:rPr>
          <w:rFonts w:hint="eastAsia" w:ascii="楷体" w:hAnsi="楷体" w:eastAsia="楷体" w:cs="楷体"/>
          <w:color w:val="auto"/>
          <w:sz w:val="32"/>
        </w:rPr>
      </w:pPr>
      <w:bookmarkStart w:id="210" w:name="_Toc20260"/>
      <w:bookmarkStart w:id="211" w:name="_Toc73365519"/>
      <w:bookmarkStart w:id="212" w:name="_Toc13601"/>
      <w:bookmarkStart w:id="213" w:name="_Toc73364906"/>
      <w:r>
        <w:rPr>
          <w:rFonts w:hint="eastAsia" w:ascii="楷体" w:hAnsi="楷体" w:eastAsia="楷体" w:cs="楷体"/>
          <w:color w:val="auto"/>
          <w:sz w:val="32"/>
          <w:highlight w:val="white"/>
        </w:rPr>
        <w:t>6．综合评分</w:t>
      </w:r>
      <w:bookmarkEnd w:id="210"/>
      <w:bookmarkEnd w:id="211"/>
      <w:bookmarkEnd w:id="212"/>
      <w:bookmarkEnd w:id="213"/>
    </w:p>
    <w:p w14:paraId="1D096716">
      <w:pPr>
        <w:widowControl/>
        <w:spacing w:line="360" w:lineRule="auto"/>
        <w:ind w:firstLine="482"/>
        <w:rPr>
          <w:rFonts w:hint="eastAsia" w:ascii="楷体" w:hAnsi="楷体" w:eastAsia="楷体" w:cs="楷体"/>
          <w:color w:val="auto"/>
          <w:highlight w:val="red"/>
        </w:rPr>
      </w:pPr>
      <w:r>
        <w:rPr>
          <w:rFonts w:hint="eastAsia" w:ascii="楷体" w:hAnsi="楷体" w:eastAsia="楷体" w:cs="楷体"/>
          <w:b/>
          <w:color w:val="auto"/>
          <w:sz w:val="24"/>
          <w:highlight w:val="white"/>
        </w:rPr>
        <w:t>经磋商确定最终采购需求和提交最后报价的供应商后，磋商小组采用综合评分法对提交最后报价的供应商的磋商响应文件和最后报价进行综合评分，总分100分。</w:t>
      </w:r>
      <w:bookmarkStart w:id="214" w:name="EBeb38bac6236d407ea758a92f796301c6"/>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9"/>
        <w:gridCol w:w="2129"/>
        <w:gridCol w:w="2129"/>
        <w:gridCol w:w="2129"/>
      </w:tblGrid>
      <w:tr w14:paraId="4BC2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851F29">
            <w:pPr>
              <w:pStyle w:val="266"/>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评分项目</w:t>
            </w:r>
          </w:p>
        </w:tc>
        <w:tc>
          <w:tcPr>
            <w:tcW w:w="239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8216C6">
            <w:pPr>
              <w:pStyle w:val="266"/>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技术评估</w:t>
            </w:r>
          </w:p>
        </w:tc>
        <w:tc>
          <w:tcPr>
            <w:tcW w:w="23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9513E8">
            <w:pPr>
              <w:pStyle w:val="266"/>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商务评估</w:t>
            </w:r>
          </w:p>
        </w:tc>
        <w:tc>
          <w:tcPr>
            <w:tcW w:w="23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674CCD0">
            <w:pPr>
              <w:pStyle w:val="266"/>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价格评估</w:t>
            </w:r>
          </w:p>
        </w:tc>
      </w:tr>
      <w:tr w14:paraId="40842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41F7605">
            <w:pPr>
              <w:pStyle w:val="266"/>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分值</w:t>
            </w:r>
          </w:p>
        </w:tc>
        <w:tc>
          <w:tcPr>
            <w:tcW w:w="239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25D52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 w:hAnsi="楷体" w:eastAsia="楷体" w:cs="楷体"/>
                <w:color w:val="auto"/>
                <w:sz w:val="24"/>
                <w:szCs w:val="32"/>
              </w:rPr>
            </w:pPr>
            <w:r>
              <w:rPr>
                <w:rFonts w:hint="eastAsia" w:ascii="楷体" w:hAnsi="楷体" w:eastAsia="楷体" w:cs="楷体"/>
                <w:color w:val="auto"/>
                <w:spacing w:val="-2"/>
                <w:sz w:val="24"/>
                <w:highlight w:val="none"/>
              </w:rPr>
              <w:t>40</w:t>
            </w:r>
          </w:p>
        </w:tc>
        <w:tc>
          <w:tcPr>
            <w:tcW w:w="23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1277FD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 w:hAnsi="楷体" w:eastAsia="楷体" w:cs="楷体"/>
                <w:color w:val="auto"/>
                <w:sz w:val="24"/>
                <w:szCs w:val="32"/>
              </w:rPr>
            </w:pPr>
            <w:r>
              <w:rPr>
                <w:rFonts w:hint="eastAsia" w:ascii="楷体" w:hAnsi="楷体" w:eastAsia="楷体" w:cs="楷体"/>
                <w:color w:val="auto"/>
                <w:spacing w:val="-2"/>
                <w:sz w:val="24"/>
                <w:highlight w:val="none"/>
              </w:rPr>
              <w:t>30</w:t>
            </w:r>
          </w:p>
        </w:tc>
        <w:tc>
          <w:tcPr>
            <w:tcW w:w="23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704212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 w:hAnsi="楷体" w:eastAsia="楷体" w:cs="楷体"/>
                <w:color w:val="auto"/>
                <w:sz w:val="24"/>
                <w:szCs w:val="32"/>
              </w:rPr>
            </w:pPr>
            <w:r>
              <w:rPr>
                <w:rFonts w:hint="eastAsia" w:ascii="楷体" w:hAnsi="楷体" w:eastAsia="楷体" w:cs="楷体"/>
                <w:color w:val="auto"/>
                <w:spacing w:val="-2"/>
                <w:sz w:val="24"/>
                <w:highlight w:val="none"/>
              </w:rPr>
              <w:t>30</w:t>
            </w:r>
          </w:p>
        </w:tc>
      </w:tr>
      <w:bookmarkEnd w:id="214"/>
    </w:tbl>
    <w:p w14:paraId="5C02B70C">
      <w:pPr>
        <w:keepNext w:val="0"/>
        <w:keepLines w:val="0"/>
        <w:pageBreakBefore w:val="0"/>
        <w:widowControl/>
        <w:numPr>
          <w:ilvl w:val="0"/>
          <w:numId w:val="14"/>
        </w:numPr>
        <w:kinsoku/>
        <w:wordWrap/>
        <w:overflowPunct/>
        <w:topLinePunct w:val="0"/>
        <w:autoSpaceDE/>
        <w:autoSpaceDN/>
        <w:bidi w:val="0"/>
        <w:adjustRightInd/>
        <w:snapToGrid/>
        <w:spacing w:before="181" w:beforeLines="50" w:after="181" w:afterLines="50" w:line="276" w:lineRule="auto"/>
        <w:ind w:left="0" w:firstLine="482" w:firstLineChars="200"/>
        <w:jc w:val="left"/>
        <w:textAlignment w:val="auto"/>
        <w:rPr>
          <w:rFonts w:hint="eastAsia" w:ascii="楷体" w:hAnsi="楷体" w:eastAsia="楷体" w:cs="楷体"/>
          <w:b/>
          <w:color w:val="auto"/>
          <w:sz w:val="24"/>
        </w:rPr>
      </w:pPr>
      <w:r>
        <w:rPr>
          <w:rFonts w:hint="eastAsia" w:ascii="楷体" w:hAnsi="楷体" w:eastAsia="楷体" w:cs="楷体"/>
          <w:b/>
          <w:color w:val="auto"/>
          <w:sz w:val="24"/>
          <w:highlight w:val="white"/>
        </w:rPr>
        <w:t>技术评估</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1074"/>
        <w:gridCol w:w="6186"/>
        <w:gridCol w:w="628"/>
      </w:tblGrid>
      <w:tr w14:paraId="175D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333E548">
            <w:pPr>
              <w:pStyle w:val="268"/>
              <w:spacing w:line="276" w:lineRule="auto"/>
              <w:jc w:val="center"/>
              <w:rPr>
                <w:rFonts w:hint="eastAsia" w:ascii="楷体" w:hAnsi="楷体" w:eastAsia="楷体" w:cs="楷体"/>
                <w:color w:val="auto"/>
                <w:sz w:val="24"/>
                <w:szCs w:val="32"/>
              </w:rPr>
            </w:pPr>
            <w:bookmarkStart w:id="215" w:name="EB6b2e05f244d844eab53af046ecb4a6fe"/>
            <w:r>
              <w:rPr>
                <w:rFonts w:hint="eastAsia" w:ascii="楷体" w:hAnsi="楷体" w:eastAsia="楷体" w:cs="楷体"/>
                <w:color w:val="auto"/>
                <w:sz w:val="24"/>
                <w:szCs w:val="32"/>
              </w:rPr>
              <w:t>序号</w:t>
            </w:r>
          </w:p>
        </w:tc>
        <w:tc>
          <w:tcPr>
            <w:tcW w:w="10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1550486">
            <w:pPr>
              <w:pStyle w:val="268"/>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评审因素</w:t>
            </w:r>
          </w:p>
        </w:tc>
        <w:tc>
          <w:tcPr>
            <w:tcW w:w="61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69BDF0">
            <w:pPr>
              <w:pStyle w:val="268"/>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评审细则</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C22E3A">
            <w:pPr>
              <w:pStyle w:val="268"/>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分值</w:t>
            </w:r>
          </w:p>
        </w:tc>
      </w:tr>
      <w:tr w14:paraId="554F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88" w:type="dxa"/>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92A19D8">
            <w:pPr>
              <w:pStyle w:val="268"/>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技术或者服务水平评价</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75FF7A6">
            <w:pPr>
              <w:pStyle w:val="268"/>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40</w:t>
            </w:r>
          </w:p>
        </w:tc>
      </w:tr>
      <w:tr w14:paraId="4C6B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142D7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32"/>
                <w:lang w:eastAsia="zh-CN"/>
              </w:rPr>
            </w:pPr>
            <w:r>
              <w:rPr>
                <w:rFonts w:hint="eastAsia" w:ascii="楷体" w:hAnsi="楷体" w:eastAsia="楷体" w:cs="楷体"/>
                <w:color w:val="auto"/>
                <w:sz w:val="24"/>
                <w:highlight w:val="none"/>
              </w:rPr>
              <w:t>1.1</w:t>
            </w:r>
          </w:p>
        </w:tc>
        <w:tc>
          <w:tcPr>
            <w:tcW w:w="10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B830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highlight w:val="none"/>
              </w:rPr>
              <w:t>施工总进度计划</w:t>
            </w:r>
          </w:p>
        </w:tc>
        <w:tc>
          <w:tcPr>
            <w:tcW w:w="61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0D6846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根据供应商提供的关于本工程施工进度计划以及为完成该计划所定措施是否科学、合理、规范、高效进行评审：</w:t>
            </w:r>
          </w:p>
          <w:p w14:paraId="30620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施工总进进度计划内容详实、科学、合理、可行性强的得</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分</w:t>
            </w:r>
            <w:r>
              <w:rPr>
                <w:rFonts w:hint="eastAsia" w:ascii="楷体" w:hAnsi="楷体" w:eastAsia="楷体" w:cs="楷体"/>
                <w:color w:val="auto"/>
                <w:sz w:val="24"/>
                <w:highlight w:val="none"/>
                <w:lang w:eastAsia="zh-CN"/>
              </w:rPr>
              <w:t>；</w:t>
            </w:r>
          </w:p>
          <w:p w14:paraId="48AF78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内容较详实，可操作性较强得</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分；</w:t>
            </w:r>
          </w:p>
          <w:p w14:paraId="41318C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内容一般，可操作性一般得</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分；</w:t>
            </w:r>
          </w:p>
          <w:p w14:paraId="373582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color w:val="auto"/>
                <w:lang w:eastAsia="zh-CN"/>
              </w:rPr>
            </w:pPr>
            <w:r>
              <w:rPr>
                <w:rFonts w:hint="eastAsia" w:ascii="楷体" w:hAnsi="楷体" w:eastAsia="楷体" w:cs="楷体"/>
                <w:color w:val="auto"/>
                <w:sz w:val="24"/>
                <w:highlight w:val="none"/>
              </w:rPr>
              <w:t>方案内容较差或未提供不得分。</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10AC9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lang w:val="en-US" w:eastAsia="zh-CN"/>
              </w:rPr>
              <w:t>10</w:t>
            </w:r>
          </w:p>
        </w:tc>
      </w:tr>
      <w:tr w14:paraId="4EEC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B3F2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32"/>
                <w:lang w:eastAsia="zh-CN"/>
              </w:rPr>
            </w:pPr>
            <w:r>
              <w:rPr>
                <w:rFonts w:hint="eastAsia" w:ascii="楷体" w:hAnsi="楷体" w:eastAsia="楷体" w:cs="楷体"/>
                <w:color w:val="auto"/>
                <w:spacing w:val="-5"/>
                <w:sz w:val="24"/>
                <w:highlight w:val="none"/>
              </w:rPr>
              <w:t>1.2</w:t>
            </w:r>
          </w:p>
        </w:tc>
        <w:tc>
          <w:tcPr>
            <w:tcW w:w="10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5ABA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highlight w:val="none"/>
              </w:rPr>
              <w:t>分部分项工程的施工方案</w:t>
            </w:r>
          </w:p>
        </w:tc>
        <w:tc>
          <w:tcPr>
            <w:tcW w:w="61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7B802A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根据供应商提供的分部分项工程的施工方案（包括关键施工技术、工艺及工程项目实施的重点、难点和解决方案、具体施工技术措施等）是否科学、合理、操作性强、规范、高效进行评审：</w:t>
            </w:r>
          </w:p>
          <w:p w14:paraId="6FC4A7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施工方案内容详实、科学、合理、可行性强的得</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分</w:t>
            </w:r>
            <w:r>
              <w:rPr>
                <w:rFonts w:hint="eastAsia" w:ascii="楷体" w:hAnsi="楷体" w:eastAsia="楷体" w:cs="楷体"/>
                <w:color w:val="auto"/>
                <w:sz w:val="24"/>
                <w:highlight w:val="none"/>
                <w:lang w:eastAsia="zh-CN"/>
              </w:rPr>
              <w:t>；</w:t>
            </w:r>
          </w:p>
          <w:p w14:paraId="60AEE4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内容较详实，可操作性较强得</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分；</w:t>
            </w:r>
          </w:p>
          <w:p w14:paraId="35B28F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内容一般，可操作性一般得</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分；</w:t>
            </w:r>
          </w:p>
          <w:p w14:paraId="3A6CBD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szCs w:val="24"/>
                <w:lang w:eastAsia="zh-CN"/>
              </w:rPr>
            </w:pPr>
            <w:r>
              <w:rPr>
                <w:rFonts w:hint="eastAsia" w:ascii="楷体" w:hAnsi="楷体" w:eastAsia="楷体" w:cs="楷体"/>
                <w:color w:val="auto"/>
                <w:sz w:val="24"/>
                <w:highlight w:val="none"/>
              </w:rPr>
              <w:t>方案内容较差或未提供不得分。</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77D2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lang w:val="en-US" w:eastAsia="zh-CN"/>
              </w:rPr>
              <w:t>10</w:t>
            </w:r>
          </w:p>
        </w:tc>
      </w:tr>
      <w:tr w14:paraId="705E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24765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32"/>
                <w:lang w:eastAsia="zh-CN"/>
              </w:rPr>
            </w:pPr>
            <w:r>
              <w:rPr>
                <w:rFonts w:hint="eastAsia" w:ascii="楷体" w:hAnsi="楷体" w:eastAsia="楷体" w:cs="楷体"/>
                <w:color w:val="auto"/>
                <w:spacing w:val="-5"/>
                <w:sz w:val="24"/>
                <w:highlight w:val="none"/>
              </w:rPr>
              <w:t>1.3</w:t>
            </w:r>
          </w:p>
        </w:tc>
        <w:tc>
          <w:tcPr>
            <w:tcW w:w="10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7D6B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安全文明施工措施</w:t>
            </w:r>
          </w:p>
        </w:tc>
        <w:tc>
          <w:tcPr>
            <w:tcW w:w="61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6A7E82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供应商提供的安全、文明施工保障措施内容详实、科学、合理、可行性强的得</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分；</w:t>
            </w:r>
          </w:p>
          <w:p w14:paraId="060E14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内容较详实，可操作性较强得</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分；</w:t>
            </w:r>
          </w:p>
          <w:p w14:paraId="616EAF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内容一般，可操作性一般得</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分；</w:t>
            </w:r>
          </w:p>
          <w:p w14:paraId="09E41F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Noto Sans SC" w:hAnsi="Noto Sans SC" w:eastAsia="Noto Sans SC" w:cs="Noto Sans SC"/>
                <w:i w:val="0"/>
                <w:iCs w:val="0"/>
                <w:caps w:val="0"/>
                <w:color w:val="auto"/>
                <w:spacing w:val="0"/>
                <w:sz w:val="27"/>
                <w:szCs w:val="27"/>
                <w:lang w:eastAsia="zh-CN"/>
              </w:rPr>
            </w:pPr>
            <w:r>
              <w:rPr>
                <w:rFonts w:hint="eastAsia" w:ascii="楷体" w:hAnsi="楷体" w:eastAsia="楷体" w:cs="楷体"/>
                <w:color w:val="auto"/>
                <w:sz w:val="24"/>
                <w:highlight w:val="none"/>
              </w:rPr>
              <w:t>方案内容较差或未提供不得分。</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8BF9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lang w:val="en-US" w:eastAsia="zh-CN"/>
              </w:rPr>
              <w:t>10</w:t>
            </w:r>
          </w:p>
        </w:tc>
      </w:tr>
      <w:tr w14:paraId="30F1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18B0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sz w:val="24"/>
                <w:szCs w:val="32"/>
                <w:lang w:eastAsia="zh-CN"/>
              </w:rPr>
            </w:pPr>
            <w:r>
              <w:rPr>
                <w:rFonts w:hint="eastAsia" w:ascii="楷体" w:hAnsi="楷体" w:eastAsia="楷体" w:cs="楷体"/>
                <w:color w:val="auto"/>
                <w:spacing w:val="-5"/>
                <w:sz w:val="24"/>
                <w:highlight w:val="none"/>
              </w:rPr>
              <w:t>1.4</w:t>
            </w:r>
          </w:p>
        </w:tc>
        <w:tc>
          <w:tcPr>
            <w:tcW w:w="107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1036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4"/>
                <w:highlight w:val="none"/>
              </w:rPr>
              <w:t>应急措施方案</w:t>
            </w:r>
          </w:p>
        </w:tc>
        <w:tc>
          <w:tcPr>
            <w:tcW w:w="618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669370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供应商提供的应急措施方案内容详实、科学、合理、可行性强的得</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分；</w:t>
            </w:r>
          </w:p>
          <w:p w14:paraId="735C59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内容较详实，可操作性较强得</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分；</w:t>
            </w:r>
          </w:p>
          <w:p w14:paraId="355AE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内容一般，可操作性一般得</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分；</w:t>
            </w:r>
          </w:p>
          <w:p w14:paraId="08F9B9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楷体" w:hAnsi="楷体" w:eastAsia="楷体" w:cs="楷体"/>
                <w:color w:val="auto"/>
                <w:sz w:val="24"/>
                <w:szCs w:val="24"/>
              </w:rPr>
            </w:pPr>
            <w:r>
              <w:rPr>
                <w:rFonts w:hint="eastAsia" w:ascii="楷体" w:hAnsi="楷体" w:eastAsia="楷体" w:cs="楷体"/>
                <w:color w:val="auto"/>
                <w:sz w:val="24"/>
                <w:highlight w:val="none"/>
              </w:rPr>
              <w:t>方案内容较差或未提供不得分。</w:t>
            </w:r>
          </w:p>
        </w:tc>
        <w:tc>
          <w:tcPr>
            <w:tcW w:w="6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04D8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lang w:val="en-US" w:eastAsia="zh-CN"/>
              </w:rPr>
              <w:t>10</w:t>
            </w:r>
          </w:p>
        </w:tc>
      </w:tr>
    </w:tbl>
    <w:p w14:paraId="49ED312C">
      <w:pPr>
        <w:keepNext w:val="0"/>
        <w:keepLines w:val="0"/>
        <w:pageBreakBefore w:val="0"/>
        <w:widowControl/>
        <w:numPr>
          <w:ilvl w:val="0"/>
          <w:numId w:val="14"/>
        </w:numPr>
        <w:kinsoku/>
        <w:wordWrap/>
        <w:overflowPunct/>
        <w:topLinePunct w:val="0"/>
        <w:autoSpaceDE/>
        <w:autoSpaceDN/>
        <w:bidi w:val="0"/>
        <w:adjustRightInd/>
        <w:snapToGrid/>
        <w:spacing w:before="181" w:beforeLines="50" w:after="181" w:afterLines="50" w:line="276" w:lineRule="auto"/>
        <w:ind w:left="0" w:firstLine="482" w:firstLineChars="200"/>
        <w:jc w:val="left"/>
        <w:textAlignment w:val="auto"/>
        <w:rPr>
          <w:rFonts w:hint="eastAsia" w:ascii="楷体" w:hAnsi="楷体" w:eastAsia="楷体" w:cs="楷体"/>
          <w:b/>
          <w:color w:val="auto"/>
          <w:sz w:val="24"/>
          <w:highlight w:val="white"/>
        </w:rPr>
      </w:pPr>
      <w:r>
        <w:rPr>
          <w:rFonts w:hint="eastAsia" w:ascii="楷体" w:hAnsi="楷体" w:eastAsia="楷体" w:cs="楷体"/>
          <w:b/>
          <w:color w:val="auto"/>
          <w:sz w:val="24"/>
          <w:highlight w:val="white"/>
        </w:rPr>
        <w:t xml:space="preserve"> </w:t>
      </w:r>
      <w:bookmarkEnd w:id="215"/>
      <w:r>
        <w:rPr>
          <w:rFonts w:hint="eastAsia" w:ascii="楷体" w:hAnsi="楷体" w:eastAsia="楷体" w:cs="楷体"/>
          <w:b/>
          <w:color w:val="auto"/>
          <w:sz w:val="24"/>
          <w:highlight w:val="white"/>
        </w:rPr>
        <w:t>商务评估</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
        <w:gridCol w:w="1045"/>
        <w:gridCol w:w="6228"/>
        <w:gridCol w:w="604"/>
      </w:tblGrid>
      <w:tr w14:paraId="1B49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4D5671B">
            <w:pPr>
              <w:pStyle w:val="270"/>
              <w:spacing w:line="276" w:lineRule="auto"/>
              <w:jc w:val="center"/>
              <w:rPr>
                <w:rFonts w:hint="eastAsia" w:ascii="楷体" w:hAnsi="楷体" w:eastAsia="楷体" w:cs="楷体"/>
                <w:color w:val="auto"/>
                <w:sz w:val="24"/>
                <w:szCs w:val="32"/>
              </w:rPr>
            </w:pPr>
            <w:bookmarkStart w:id="216" w:name="EBcc36ae01fb994a918da451ccb0f74e57"/>
            <w:r>
              <w:rPr>
                <w:rFonts w:hint="eastAsia" w:ascii="楷体" w:hAnsi="楷体" w:eastAsia="楷体" w:cs="楷体"/>
                <w:color w:val="auto"/>
                <w:sz w:val="24"/>
                <w:szCs w:val="32"/>
              </w:rPr>
              <w:t>序号</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060A292">
            <w:pPr>
              <w:pStyle w:val="270"/>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评审因素</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06289C">
            <w:pPr>
              <w:pStyle w:val="270"/>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评审细则</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A3BE2C8">
            <w:pPr>
              <w:pStyle w:val="270"/>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分值</w:t>
            </w:r>
          </w:p>
        </w:tc>
      </w:tr>
      <w:tr w14:paraId="5E639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18" w:type="dxa"/>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835B04">
            <w:pPr>
              <w:pStyle w:val="270"/>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履约能力评价</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D48BAC">
            <w:pPr>
              <w:pStyle w:val="270"/>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30</w:t>
            </w:r>
          </w:p>
        </w:tc>
      </w:tr>
      <w:tr w14:paraId="30BD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65A98E">
            <w:pPr>
              <w:pStyle w:val="270"/>
              <w:spacing w:line="276" w:lineRule="auto"/>
              <w:jc w:val="center"/>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2.1</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79C21CA">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供应商实力评价</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76D686E7">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供应商应具有有效期内的质量管理体系认证证书、环境管理体系认证证书、职业健康安全管理体系认证证书。每提供一个得</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分，最高得</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分。</w:t>
            </w:r>
            <w:r>
              <w:rPr>
                <w:rFonts w:hint="eastAsia" w:ascii="楷体" w:hAnsi="楷体" w:eastAsia="楷体" w:cs="楷体"/>
                <w:color w:val="auto"/>
                <w:sz w:val="24"/>
                <w:highlight w:val="none"/>
                <w:lang w:val="en-US" w:eastAsia="zh-CN"/>
              </w:rPr>
              <w:t>未</w:t>
            </w:r>
            <w:r>
              <w:rPr>
                <w:rFonts w:hint="eastAsia" w:ascii="楷体" w:hAnsi="楷体" w:eastAsia="楷体" w:cs="楷体"/>
                <w:color w:val="auto"/>
                <w:sz w:val="24"/>
                <w:highlight w:val="none"/>
              </w:rPr>
              <w:t>提供不得分。</w:t>
            </w:r>
          </w:p>
          <w:p w14:paraId="664B0AFD">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供应商具有3A信用证书的得</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分。</w:t>
            </w:r>
          </w:p>
          <w:p w14:paraId="5AF9C70E">
            <w:pPr>
              <w:pageBreakBefore w:val="0"/>
              <w:kinsoku/>
              <w:overflowPunct/>
              <w:topLinePunct w:val="0"/>
              <w:autoSpaceDE/>
              <w:autoSpaceDN/>
              <w:bidi w:val="0"/>
              <w:spacing w:line="360" w:lineRule="auto"/>
              <w:ind w:left="0" w:leftChars="0" w:right="0" w:rightChars="0"/>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注：(提供相关证书的复印件加盖公章)。</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3BE140A">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8</w:t>
            </w:r>
          </w:p>
        </w:tc>
      </w:tr>
      <w:tr w14:paraId="169D1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A7E7B76">
            <w:pPr>
              <w:pStyle w:val="270"/>
              <w:spacing w:line="276" w:lineRule="auto"/>
              <w:jc w:val="center"/>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2.2</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1C1790D">
            <w:pPr>
              <w:pageBreakBefore w:val="0"/>
              <w:kinsoku/>
              <w:overflowPunct/>
              <w:topLinePunct w:val="0"/>
              <w:autoSpaceDE/>
              <w:autoSpaceDN/>
              <w:bidi w:val="0"/>
              <w:spacing w:line="360" w:lineRule="auto"/>
              <w:ind w:left="0" w:leftChars="0" w:right="0" w:rightChars="0"/>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经验</w:t>
            </w:r>
          </w:p>
          <w:p w14:paraId="36917E8E">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业绩</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4DD5A827">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供应商承担并完成类似业绩的，每提供一份业绩的得2分，最高6分。</w:t>
            </w:r>
          </w:p>
          <w:p w14:paraId="0D24A17F">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注：业绩需提供中标通知书、合同、竣工验收证明的复印件加盖公章，三者缺一不可。</w:t>
            </w:r>
          </w:p>
          <w:p w14:paraId="29C8134B">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2、供应商承担的</w:t>
            </w:r>
            <w:r>
              <w:rPr>
                <w:rFonts w:hint="eastAsia" w:ascii="楷体" w:hAnsi="楷体" w:eastAsia="楷体" w:cs="楷体"/>
                <w:color w:val="auto"/>
                <w:sz w:val="24"/>
                <w:highlight w:val="none"/>
                <w:lang w:val="en-US" w:eastAsia="zh-CN"/>
              </w:rPr>
              <w:t>建筑</w:t>
            </w:r>
            <w:r>
              <w:rPr>
                <w:rFonts w:hint="eastAsia" w:ascii="楷体" w:hAnsi="楷体" w:eastAsia="楷体" w:cs="楷体"/>
                <w:color w:val="auto"/>
                <w:sz w:val="24"/>
                <w:highlight w:val="none"/>
              </w:rPr>
              <w:t>或市政</w:t>
            </w:r>
            <w:r>
              <w:rPr>
                <w:rFonts w:hint="eastAsia" w:ascii="楷体" w:hAnsi="楷体" w:eastAsia="楷体" w:cs="楷体"/>
                <w:color w:val="auto"/>
                <w:sz w:val="24"/>
                <w:highlight w:val="none"/>
                <w:lang w:val="en-US" w:eastAsia="zh-CN"/>
              </w:rPr>
              <w:t>工程</w:t>
            </w:r>
            <w:r>
              <w:rPr>
                <w:rFonts w:hint="eastAsia" w:ascii="楷体" w:hAnsi="楷体" w:eastAsia="楷体" w:cs="楷体"/>
                <w:color w:val="auto"/>
                <w:sz w:val="24"/>
                <w:highlight w:val="none"/>
              </w:rPr>
              <w:t>项目获得过</w:t>
            </w:r>
            <w:r>
              <w:rPr>
                <w:rFonts w:hint="eastAsia" w:ascii="楷体" w:hAnsi="楷体" w:eastAsia="楷体" w:cs="楷体"/>
                <w:color w:val="auto"/>
                <w:sz w:val="24"/>
                <w:highlight w:val="none"/>
                <w:lang w:val="en-US" w:eastAsia="zh-CN"/>
              </w:rPr>
              <w:t>县区级</w:t>
            </w:r>
            <w:r>
              <w:rPr>
                <w:rFonts w:hint="eastAsia" w:ascii="楷体" w:hAnsi="楷体" w:eastAsia="楷体" w:cs="楷体"/>
                <w:color w:val="auto"/>
                <w:sz w:val="24"/>
                <w:highlight w:val="none"/>
              </w:rPr>
              <w:t>（含）以上建设行政主管部门</w:t>
            </w:r>
            <w:r>
              <w:rPr>
                <w:rFonts w:hint="eastAsia" w:ascii="楷体" w:hAnsi="楷体" w:eastAsia="楷体" w:cs="楷体"/>
                <w:color w:val="auto"/>
                <w:sz w:val="24"/>
                <w:highlight w:val="none"/>
                <w:lang w:val="en-US" w:eastAsia="zh-CN"/>
              </w:rPr>
              <w:t>表彰的（含优质工程奖、文明工地）</w:t>
            </w:r>
            <w:r>
              <w:rPr>
                <w:rFonts w:hint="eastAsia" w:ascii="楷体" w:hAnsi="楷体" w:eastAsia="楷体" w:cs="楷体"/>
                <w:color w:val="auto"/>
                <w:sz w:val="24"/>
                <w:highlight w:val="none"/>
              </w:rPr>
              <w:t>,每提供一个得2分，最高得</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分。</w:t>
            </w:r>
          </w:p>
          <w:p w14:paraId="1674D56F">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szCs w:val="32"/>
                <w:lang w:val="en-US" w:eastAsia="zh-CN"/>
              </w:rPr>
            </w:pPr>
            <w:r>
              <w:rPr>
                <w:rFonts w:hint="eastAsia" w:ascii="楷体" w:hAnsi="楷体" w:eastAsia="楷体" w:cs="楷体"/>
                <w:color w:val="auto"/>
                <w:sz w:val="24"/>
                <w:highlight w:val="none"/>
              </w:rPr>
              <w:t>注：提供有效证明材料复印件加盖公章。</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AD2C68">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12</w:t>
            </w:r>
          </w:p>
        </w:tc>
      </w:tr>
      <w:tr w14:paraId="66B4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26445C">
            <w:pPr>
              <w:pStyle w:val="270"/>
              <w:spacing w:line="276" w:lineRule="auto"/>
              <w:jc w:val="center"/>
              <w:rPr>
                <w:rFonts w:hint="eastAsia" w:ascii="楷体" w:hAnsi="楷体" w:eastAsia="楷体" w:cs="楷体"/>
                <w:color w:val="auto"/>
                <w:sz w:val="24"/>
                <w:szCs w:val="32"/>
                <w:lang w:val="en-US" w:eastAsia="zh-CN" w:bidi="ar-SA"/>
              </w:rPr>
            </w:pPr>
            <w:r>
              <w:rPr>
                <w:rFonts w:hint="eastAsia" w:ascii="楷体" w:hAnsi="楷体" w:eastAsia="楷体" w:cs="楷体"/>
                <w:color w:val="auto"/>
                <w:sz w:val="24"/>
                <w:szCs w:val="32"/>
                <w:lang w:val="en-US" w:eastAsia="zh-CN"/>
              </w:rPr>
              <w:t>2.3</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30F1E97">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项目负责人评价</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5FC21047">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供应商拟派项目负责人具有建筑工程专业注册建造师一级的得2分。</w:t>
            </w:r>
          </w:p>
          <w:p w14:paraId="7F3D302F">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注：1.以上证书须提供复印件加盖公章，未提供不得分。</w:t>
            </w:r>
          </w:p>
          <w:p w14:paraId="57B8F1D2">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须提供社保机构出具近半年内任意一个月的供应商为其缴纳的社会保险证明材料，否则不得分。</w:t>
            </w:r>
          </w:p>
          <w:p w14:paraId="6B4F46F1">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szCs w:val="32"/>
              </w:rPr>
            </w:pPr>
            <w:r>
              <w:rPr>
                <w:rFonts w:hint="eastAsia" w:ascii="楷体" w:hAnsi="楷体" w:eastAsia="楷体" w:cs="楷体"/>
                <w:color w:val="auto"/>
                <w:sz w:val="24"/>
                <w:highlight w:val="none"/>
              </w:rPr>
              <w:t>职称证书表述与上述不完全一致时，</w:t>
            </w:r>
            <w:r>
              <w:rPr>
                <w:rFonts w:hint="eastAsia" w:ascii="楷体" w:hAnsi="楷体" w:eastAsia="楷体" w:cs="楷体"/>
                <w:color w:val="auto"/>
                <w:sz w:val="24"/>
                <w:highlight w:val="none"/>
                <w:lang w:eastAsia="zh-CN"/>
              </w:rPr>
              <w:t>磋商小组</w:t>
            </w:r>
            <w:r>
              <w:rPr>
                <w:rFonts w:hint="eastAsia" w:ascii="楷体" w:hAnsi="楷体" w:eastAsia="楷体" w:cs="楷体"/>
                <w:color w:val="auto"/>
                <w:sz w:val="24"/>
                <w:highlight w:val="none"/>
              </w:rPr>
              <w:t>认可内容一致的予以得分。</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36F204C">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2</w:t>
            </w:r>
          </w:p>
        </w:tc>
      </w:tr>
      <w:tr w14:paraId="2E56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1EA81F">
            <w:pPr>
              <w:pStyle w:val="270"/>
              <w:spacing w:line="276" w:lineRule="auto"/>
              <w:jc w:val="center"/>
              <w:rPr>
                <w:rFonts w:hint="eastAsia" w:ascii="楷体" w:hAnsi="楷体" w:eastAsia="楷体" w:cs="楷体"/>
                <w:color w:val="auto"/>
                <w:sz w:val="24"/>
                <w:szCs w:val="32"/>
                <w:lang w:val="en-US" w:eastAsia="zh-CN" w:bidi="ar-SA"/>
              </w:rPr>
            </w:pPr>
            <w:r>
              <w:rPr>
                <w:rFonts w:hint="eastAsia" w:ascii="楷体" w:hAnsi="楷体" w:eastAsia="楷体" w:cs="楷体"/>
                <w:color w:val="auto"/>
                <w:sz w:val="24"/>
                <w:szCs w:val="32"/>
                <w:lang w:val="en-US" w:eastAsia="zh-CN"/>
              </w:rPr>
              <w:t>2.4</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377C2F">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技术负责人评价</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6B7BF918">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供应商为本项目配备技术负责人具有高级</w:t>
            </w:r>
            <w:r>
              <w:rPr>
                <w:rFonts w:hint="eastAsia" w:ascii="楷体" w:hAnsi="楷体" w:eastAsia="楷体" w:cs="楷体"/>
                <w:color w:val="auto"/>
                <w:sz w:val="24"/>
                <w:highlight w:val="none"/>
                <w:lang w:val="en-US" w:eastAsia="zh-CN"/>
              </w:rPr>
              <w:t>工程师（含）以上</w:t>
            </w:r>
            <w:r>
              <w:rPr>
                <w:rFonts w:hint="eastAsia" w:ascii="楷体" w:hAnsi="楷体" w:eastAsia="楷体" w:cs="楷体"/>
                <w:color w:val="auto"/>
                <w:sz w:val="24"/>
                <w:highlight w:val="none"/>
              </w:rPr>
              <w:t>职称的得2分。</w:t>
            </w:r>
          </w:p>
          <w:p w14:paraId="40843E97">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注：1.以上证书须提复印件加盖公章，未提供不得分。</w:t>
            </w:r>
          </w:p>
          <w:p w14:paraId="1302F4E8">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须提供社保机构出具近半年内任意一个月的供应商为其缴纳的社会保险证明材料，否则不得分。</w:t>
            </w:r>
          </w:p>
          <w:p w14:paraId="29B63FDE">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szCs w:val="32"/>
                <w:lang w:val="en-US" w:eastAsia="zh-CN"/>
              </w:rPr>
            </w:pPr>
            <w:r>
              <w:rPr>
                <w:rFonts w:hint="eastAsia" w:ascii="楷体" w:hAnsi="楷体" w:eastAsia="楷体" w:cs="楷体"/>
                <w:color w:val="auto"/>
                <w:sz w:val="24"/>
                <w:highlight w:val="none"/>
              </w:rPr>
              <w:t>职称证书表述与上述不完全一致时，</w:t>
            </w:r>
            <w:r>
              <w:rPr>
                <w:rFonts w:hint="eastAsia" w:ascii="楷体" w:hAnsi="楷体" w:eastAsia="楷体" w:cs="楷体"/>
                <w:color w:val="auto"/>
                <w:sz w:val="24"/>
                <w:highlight w:val="none"/>
                <w:lang w:eastAsia="zh-CN"/>
              </w:rPr>
              <w:t>磋商小组</w:t>
            </w:r>
            <w:r>
              <w:rPr>
                <w:rFonts w:hint="eastAsia" w:ascii="楷体" w:hAnsi="楷体" w:eastAsia="楷体" w:cs="楷体"/>
                <w:color w:val="auto"/>
                <w:sz w:val="24"/>
                <w:highlight w:val="none"/>
              </w:rPr>
              <w:t>认可内容一致的予以得分。</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BEAB4FD">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2</w:t>
            </w:r>
          </w:p>
        </w:tc>
      </w:tr>
      <w:tr w14:paraId="730F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5AAED88">
            <w:pPr>
              <w:pStyle w:val="270"/>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2.5</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C52EC4">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项目组成人员评价</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74D37888">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项目组成人员(不含项目负责人及技术负责人)配备安全专员且具有安全员(c证)证书的得1分；配备施工专员且具有施工员证书的得1分；配备材料专员且具有材料员证书的得1分；配备资料专员且具有资料员证书的得1分。此项最高得4分。</w:t>
            </w:r>
          </w:p>
          <w:p w14:paraId="741F1499">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项目组成人员(不含项目负责人及技术负责人)中具有</w:t>
            </w:r>
            <w:r>
              <w:rPr>
                <w:rFonts w:hint="eastAsia" w:ascii="楷体" w:hAnsi="楷体" w:eastAsia="楷体" w:cs="楷体"/>
                <w:color w:val="auto"/>
                <w:sz w:val="24"/>
                <w:highlight w:val="none"/>
                <w:lang w:val="en-US" w:eastAsia="zh-CN"/>
              </w:rPr>
              <w:t>工程师</w:t>
            </w:r>
            <w:r>
              <w:rPr>
                <w:rFonts w:hint="eastAsia" w:ascii="楷体" w:hAnsi="楷体" w:eastAsia="楷体" w:cs="楷体"/>
                <w:color w:val="auto"/>
                <w:sz w:val="24"/>
                <w:highlight w:val="none"/>
              </w:rPr>
              <w:t>（含）以上职称的，每提供一个得1分，最高得2分。</w:t>
            </w:r>
          </w:p>
          <w:p w14:paraId="5CE541A0">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注：1.同一类证书不重复得分，以上证书须提供复印件加盖公章，未提供不得分。</w:t>
            </w:r>
          </w:p>
          <w:p w14:paraId="73782549">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2.须提供社保机构出具近半年内任意一个月的供应商为其缴纳的社会保险证明材料，否则不得分。</w:t>
            </w:r>
          </w:p>
          <w:p w14:paraId="1D6650FF">
            <w:pPr>
              <w:pageBreakBefore w:val="0"/>
              <w:kinsoku/>
              <w:overflowPunct/>
              <w:topLinePunct w:val="0"/>
              <w:autoSpaceDE/>
              <w:autoSpaceDN/>
              <w:bidi w:val="0"/>
              <w:spacing w:line="360" w:lineRule="auto"/>
              <w:ind w:left="0" w:leftChars="0" w:right="0" w:rightChars="0"/>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职称证书表述与上述不完全一致时，</w:t>
            </w:r>
            <w:r>
              <w:rPr>
                <w:rFonts w:hint="eastAsia" w:ascii="楷体" w:hAnsi="楷体" w:eastAsia="楷体" w:cs="楷体"/>
                <w:color w:val="auto"/>
                <w:sz w:val="24"/>
                <w:highlight w:val="none"/>
                <w:lang w:eastAsia="zh-CN"/>
              </w:rPr>
              <w:t>磋商小组</w:t>
            </w:r>
            <w:r>
              <w:rPr>
                <w:rFonts w:hint="eastAsia" w:ascii="楷体" w:hAnsi="楷体" w:eastAsia="楷体" w:cs="楷体"/>
                <w:color w:val="auto"/>
                <w:sz w:val="24"/>
                <w:highlight w:val="none"/>
              </w:rPr>
              <w:t>认可内容一致的予以得分。</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2C3604">
            <w:pPr>
              <w:pageBreakBefore w:val="0"/>
              <w:kinsoku/>
              <w:overflowPunct/>
              <w:topLinePunct w:val="0"/>
              <w:autoSpaceDE/>
              <w:autoSpaceDN/>
              <w:bidi w:val="0"/>
              <w:spacing w:line="360" w:lineRule="auto"/>
              <w:ind w:left="0" w:leftChars="0" w:right="0" w:rightChars="0"/>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highlight w:val="none"/>
              </w:rPr>
              <w:t>6</w:t>
            </w:r>
          </w:p>
        </w:tc>
      </w:tr>
      <w:tr w14:paraId="076C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AB6AD78">
            <w:pPr>
              <w:pStyle w:val="270"/>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2.6</w:t>
            </w:r>
          </w:p>
        </w:tc>
        <w:tc>
          <w:tcPr>
            <w:tcW w:w="104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A31295">
            <w:pPr>
              <w:pageBreakBefore w:val="0"/>
              <w:kinsoku/>
              <w:overflowPunct/>
              <w:topLinePunct w:val="0"/>
              <w:autoSpaceDE/>
              <w:autoSpaceDN/>
              <w:bidi w:val="0"/>
              <w:spacing w:line="360" w:lineRule="auto"/>
              <w:ind w:left="0" w:leftChars="0" w:right="0" w:rightChars="0"/>
              <w:jc w:val="center"/>
              <w:rPr>
                <w:rFonts w:hint="eastAsia" w:ascii="楷体" w:hAnsi="楷体" w:eastAsia="楷体" w:cs="楷体"/>
                <w:color w:val="auto"/>
                <w:sz w:val="24"/>
                <w:szCs w:val="32"/>
                <w:lang w:val="en-US" w:eastAsia="zh-CN"/>
              </w:rPr>
            </w:pPr>
            <w:r>
              <w:rPr>
                <w:rFonts w:hint="eastAsia" w:ascii="楷体" w:hAnsi="楷体" w:eastAsia="楷体" w:cs="楷体"/>
                <w:color w:val="auto"/>
                <w:sz w:val="24"/>
                <w:highlight w:val="none"/>
              </w:rPr>
              <w:t>项目负责人评价</w:t>
            </w:r>
          </w:p>
        </w:tc>
        <w:tc>
          <w:tcPr>
            <w:tcW w:w="623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top"/>
          </w:tcPr>
          <w:p w14:paraId="7740B846">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供应商拟派项目负责人具有建筑工程专业注册建造师一级的得2分。</w:t>
            </w:r>
          </w:p>
          <w:p w14:paraId="5E2567ED">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注：1.以上证书须提供复印件加盖公章，未提供不得分。</w:t>
            </w:r>
          </w:p>
          <w:p w14:paraId="0599F8AD">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highlight w:val="none"/>
              </w:rPr>
            </w:pPr>
            <w:r>
              <w:rPr>
                <w:rFonts w:hint="eastAsia" w:ascii="楷体" w:hAnsi="楷体" w:eastAsia="楷体" w:cs="楷体"/>
                <w:color w:val="auto"/>
                <w:sz w:val="24"/>
                <w:highlight w:val="none"/>
              </w:rPr>
              <w:t>须提供社保机构出具近半年内任意一个月的供应商为其缴纳的社会保险证明材料，否则不得分。</w:t>
            </w:r>
          </w:p>
          <w:p w14:paraId="152D9096">
            <w:pPr>
              <w:pageBreakBefore w:val="0"/>
              <w:kinsoku/>
              <w:overflowPunct/>
              <w:topLinePunct w:val="0"/>
              <w:autoSpaceDE/>
              <w:autoSpaceDN/>
              <w:bidi w:val="0"/>
              <w:spacing w:line="360" w:lineRule="auto"/>
              <w:ind w:left="0" w:leftChars="0" w:right="0" w:rightChars="0"/>
              <w:rPr>
                <w:rFonts w:hint="eastAsia" w:ascii="楷体" w:hAnsi="楷体" w:eastAsia="楷体" w:cs="楷体"/>
                <w:color w:val="auto"/>
                <w:sz w:val="24"/>
                <w:szCs w:val="32"/>
              </w:rPr>
            </w:pPr>
            <w:r>
              <w:rPr>
                <w:rFonts w:hint="eastAsia" w:ascii="楷体" w:hAnsi="楷体" w:eastAsia="楷体" w:cs="楷体"/>
                <w:color w:val="auto"/>
                <w:sz w:val="24"/>
                <w:highlight w:val="none"/>
              </w:rPr>
              <w:t>职称证书表述与上述不完全一致时，</w:t>
            </w:r>
            <w:r>
              <w:rPr>
                <w:rFonts w:hint="eastAsia" w:ascii="楷体" w:hAnsi="楷体" w:eastAsia="楷体" w:cs="楷体"/>
                <w:color w:val="auto"/>
                <w:sz w:val="24"/>
                <w:highlight w:val="none"/>
                <w:lang w:eastAsia="zh-CN"/>
              </w:rPr>
              <w:t>磋商小组</w:t>
            </w:r>
            <w:r>
              <w:rPr>
                <w:rFonts w:hint="eastAsia" w:ascii="楷体" w:hAnsi="楷体" w:eastAsia="楷体" w:cs="楷体"/>
                <w:color w:val="auto"/>
                <w:sz w:val="24"/>
                <w:highlight w:val="none"/>
              </w:rPr>
              <w:t>认可内容一致的予以得分。</w:t>
            </w:r>
          </w:p>
        </w:tc>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0A442DC">
            <w:pPr>
              <w:pageBreakBefore w:val="0"/>
              <w:kinsoku/>
              <w:overflowPunct/>
              <w:topLinePunct w:val="0"/>
              <w:autoSpaceDE/>
              <w:autoSpaceDN/>
              <w:bidi w:val="0"/>
              <w:spacing w:line="360" w:lineRule="auto"/>
              <w:ind w:left="0" w:leftChars="0" w:right="0" w:rightChars="0"/>
              <w:jc w:val="center"/>
              <w:rPr>
                <w:rFonts w:hint="eastAsia" w:ascii="楷体" w:hAnsi="楷体" w:eastAsia="楷体" w:cs="楷体"/>
                <w:color w:val="auto"/>
                <w:sz w:val="24"/>
                <w:szCs w:val="32"/>
                <w:lang w:val="en-US" w:eastAsia="zh-CN"/>
              </w:rPr>
            </w:pPr>
            <w:r>
              <w:rPr>
                <w:rFonts w:hint="eastAsia" w:ascii="楷体" w:hAnsi="楷体" w:eastAsia="楷体" w:cs="楷体"/>
                <w:color w:val="auto"/>
                <w:sz w:val="24"/>
                <w:highlight w:val="none"/>
              </w:rPr>
              <w:t>2</w:t>
            </w:r>
          </w:p>
        </w:tc>
      </w:tr>
    </w:tbl>
    <w:p w14:paraId="35F96F9C">
      <w:pPr>
        <w:keepNext w:val="0"/>
        <w:keepLines w:val="0"/>
        <w:pageBreakBefore w:val="0"/>
        <w:widowControl/>
        <w:numPr>
          <w:ilvl w:val="0"/>
          <w:numId w:val="14"/>
        </w:numPr>
        <w:kinsoku/>
        <w:wordWrap/>
        <w:overflowPunct/>
        <w:topLinePunct w:val="0"/>
        <w:autoSpaceDE/>
        <w:autoSpaceDN/>
        <w:bidi w:val="0"/>
        <w:adjustRightInd/>
        <w:snapToGrid/>
        <w:spacing w:before="181" w:beforeLines="50" w:after="181" w:afterLines="50" w:line="276" w:lineRule="auto"/>
        <w:ind w:left="0" w:firstLine="482" w:firstLineChars="200"/>
        <w:jc w:val="left"/>
        <w:textAlignment w:val="auto"/>
        <w:rPr>
          <w:rFonts w:hint="eastAsia" w:ascii="楷体" w:hAnsi="楷体" w:eastAsia="楷体" w:cs="楷体"/>
          <w:b/>
          <w:color w:val="auto"/>
          <w:sz w:val="24"/>
          <w:highlight w:val="white"/>
        </w:rPr>
      </w:pPr>
      <w:r>
        <w:rPr>
          <w:rFonts w:hint="eastAsia" w:ascii="楷体" w:hAnsi="楷体" w:eastAsia="楷体" w:cs="楷体"/>
          <w:b/>
          <w:color w:val="auto"/>
          <w:sz w:val="24"/>
          <w:highlight w:val="white"/>
        </w:rPr>
        <w:t xml:space="preserve"> </w:t>
      </w:r>
      <w:bookmarkEnd w:id="216"/>
      <w:r>
        <w:rPr>
          <w:rFonts w:hint="eastAsia" w:ascii="楷体" w:hAnsi="楷体" w:eastAsia="楷体" w:cs="楷体"/>
          <w:b/>
          <w:color w:val="auto"/>
          <w:sz w:val="24"/>
          <w:highlight w:val="white"/>
        </w:rPr>
        <w:t>价格评估</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4"/>
        <w:gridCol w:w="1095"/>
        <w:gridCol w:w="6255"/>
        <w:gridCol w:w="562"/>
      </w:tblGrid>
      <w:tr w14:paraId="38CF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B5F6101">
            <w:pPr>
              <w:pStyle w:val="261"/>
              <w:spacing w:line="276" w:lineRule="auto"/>
              <w:jc w:val="center"/>
              <w:rPr>
                <w:rFonts w:hint="eastAsia" w:ascii="楷体" w:hAnsi="楷体" w:eastAsia="楷体" w:cs="楷体"/>
                <w:color w:val="auto"/>
                <w:sz w:val="24"/>
                <w:szCs w:val="32"/>
              </w:rPr>
            </w:pPr>
            <w:bookmarkStart w:id="217" w:name="EB00ed059341e447b48aa4c095e09e7fc2"/>
            <w:r>
              <w:rPr>
                <w:rFonts w:hint="eastAsia" w:ascii="楷体" w:hAnsi="楷体" w:eastAsia="楷体" w:cs="楷体"/>
                <w:color w:val="auto"/>
                <w:sz w:val="24"/>
                <w:szCs w:val="32"/>
              </w:rPr>
              <w:t>序号</w:t>
            </w:r>
          </w:p>
        </w:tc>
        <w:tc>
          <w:tcPr>
            <w:tcW w:w="10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0B62ED2">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评审因素</w:t>
            </w:r>
          </w:p>
        </w:tc>
        <w:tc>
          <w:tcPr>
            <w:tcW w:w="626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9567E9F">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评审细则</w:t>
            </w:r>
          </w:p>
        </w:tc>
        <w:tc>
          <w:tcPr>
            <w:tcW w:w="5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4BA589">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分值</w:t>
            </w:r>
          </w:p>
        </w:tc>
      </w:tr>
      <w:tr w14:paraId="334E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0" w:type="dxa"/>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07A0D15">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报价评价</w:t>
            </w:r>
          </w:p>
        </w:tc>
        <w:tc>
          <w:tcPr>
            <w:tcW w:w="5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8060E26">
            <w:pPr>
              <w:pStyle w:val="261"/>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30</w:t>
            </w:r>
          </w:p>
        </w:tc>
      </w:tr>
      <w:tr w14:paraId="033F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60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DEB7F0">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lang w:val="en-US" w:eastAsia="zh-CN"/>
              </w:rPr>
              <w:t>3</w:t>
            </w:r>
            <w:r>
              <w:rPr>
                <w:rFonts w:hint="eastAsia" w:ascii="楷体" w:hAnsi="楷体" w:eastAsia="楷体" w:cs="楷体"/>
                <w:color w:val="auto"/>
                <w:sz w:val="24"/>
                <w:szCs w:val="32"/>
              </w:rPr>
              <w:t>.1</w:t>
            </w:r>
          </w:p>
        </w:tc>
        <w:tc>
          <w:tcPr>
            <w:tcW w:w="109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EE186BD">
            <w:pPr>
              <w:pStyle w:val="261"/>
              <w:spacing w:line="276" w:lineRule="auto"/>
              <w:jc w:val="center"/>
              <w:rPr>
                <w:rFonts w:hint="eastAsia" w:ascii="楷体" w:hAnsi="楷体" w:eastAsia="楷体" w:cs="楷体"/>
                <w:color w:val="auto"/>
                <w:sz w:val="24"/>
                <w:szCs w:val="32"/>
              </w:rPr>
            </w:pPr>
            <w:r>
              <w:rPr>
                <w:rFonts w:hint="eastAsia" w:ascii="楷体" w:hAnsi="楷体" w:eastAsia="楷体" w:cs="楷体"/>
                <w:color w:val="auto"/>
                <w:sz w:val="24"/>
                <w:szCs w:val="32"/>
              </w:rPr>
              <w:t>报价得分</w:t>
            </w:r>
          </w:p>
        </w:tc>
        <w:tc>
          <w:tcPr>
            <w:tcW w:w="626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FA0508F">
            <w:pPr>
              <w:pStyle w:val="261"/>
              <w:spacing w:line="276" w:lineRule="auto"/>
              <w:ind w:firstLine="480" w:firstLineChars="200"/>
              <w:jc w:val="both"/>
              <w:rPr>
                <w:rFonts w:hint="eastAsia" w:ascii="楷体" w:hAnsi="楷体" w:eastAsia="楷体" w:cs="楷体"/>
                <w:color w:val="auto"/>
                <w:sz w:val="24"/>
                <w:szCs w:val="32"/>
                <w:lang w:eastAsia="zh-CN"/>
              </w:rPr>
            </w:pPr>
            <w:r>
              <w:rPr>
                <w:rFonts w:hint="eastAsia" w:ascii="楷体" w:hAnsi="楷体" w:eastAsia="楷体" w:cs="楷体"/>
                <w:color w:val="auto"/>
                <w:sz w:val="24"/>
                <w:szCs w:val="32"/>
              </w:rPr>
              <w:t>综合评分法中的价格分采用低价优先法计算，即满足磋商文件要求且最后报价最低的供应商的价格为磋商基准价，其价格分为满分</w:t>
            </w:r>
            <w:r>
              <w:rPr>
                <w:rFonts w:hint="eastAsia" w:ascii="楷体" w:hAnsi="楷体" w:eastAsia="楷体" w:cs="楷体"/>
                <w:color w:val="auto"/>
                <w:sz w:val="24"/>
                <w:szCs w:val="32"/>
                <w:lang w:val="en-US" w:eastAsia="zh-CN"/>
              </w:rPr>
              <w:t>30</w:t>
            </w:r>
            <w:r>
              <w:rPr>
                <w:rFonts w:hint="eastAsia" w:ascii="楷体" w:hAnsi="楷体" w:eastAsia="楷体" w:cs="楷体"/>
                <w:color w:val="auto"/>
                <w:sz w:val="24"/>
                <w:szCs w:val="32"/>
              </w:rPr>
              <w:t>分。其他供应商的价格分统一按照下列公式计算：磋商报价得分= (磋商基准价／最后磋商报价)×</w:t>
            </w:r>
            <w:r>
              <w:rPr>
                <w:rFonts w:hint="eastAsia" w:ascii="楷体" w:hAnsi="楷体" w:eastAsia="楷体" w:cs="楷体"/>
                <w:color w:val="auto"/>
                <w:sz w:val="24"/>
                <w:szCs w:val="32"/>
                <w:lang w:val="en-US" w:eastAsia="zh-CN"/>
              </w:rPr>
              <w:t>30</w:t>
            </w:r>
            <w:r>
              <w:rPr>
                <w:rFonts w:hint="eastAsia" w:ascii="楷体" w:hAnsi="楷体" w:eastAsia="楷体" w:cs="楷体"/>
                <w:color w:val="auto"/>
                <w:sz w:val="24"/>
                <w:szCs w:val="32"/>
                <w:lang w:eastAsia="zh-CN"/>
              </w:rPr>
              <w:t>）</w:t>
            </w:r>
            <w:r>
              <w:rPr>
                <w:rFonts w:hint="eastAsia" w:ascii="楷体" w:hAnsi="楷体" w:eastAsia="楷体" w:cs="楷体"/>
                <w:color w:val="auto"/>
                <w:sz w:val="24"/>
                <w:szCs w:val="32"/>
              </w:rPr>
              <w:t>。</w:t>
            </w:r>
          </w:p>
        </w:tc>
        <w:tc>
          <w:tcPr>
            <w:tcW w:w="56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010D34F">
            <w:pPr>
              <w:pStyle w:val="261"/>
              <w:spacing w:line="276" w:lineRule="auto"/>
              <w:jc w:val="center"/>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30</w:t>
            </w:r>
          </w:p>
        </w:tc>
      </w:tr>
      <w:bookmarkEnd w:id="217"/>
    </w:tbl>
    <w:p w14:paraId="205C6524">
      <w:pPr>
        <w:pStyle w:val="196"/>
        <w:keepNext/>
        <w:keepLines/>
        <w:pageBreakBefore w:val="0"/>
        <w:widowControl w:val="0"/>
        <w:kinsoku/>
        <w:wordWrap/>
        <w:overflowPunct/>
        <w:topLinePunct w:val="0"/>
        <w:autoSpaceDE/>
        <w:autoSpaceDN/>
        <w:bidi w:val="0"/>
        <w:adjustRightInd/>
        <w:snapToGrid/>
        <w:spacing w:before="380" w:line="400" w:lineRule="exact"/>
        <w:ind w:firstLine="323"/>
        <w:jc w:val="left"/>
        <w:textAlignment w:val="auto"/>
        <w:rPr>
          <w:rFonts w:hint="eastAsia" w:ascii="楷体" w:hAnsi="楷体" w:eastAsia="楷体" w:cs="楷体"/>
          <w:color w:val="auto"/>
          <w:sz w:val="32"/>
        </w:rPr>
      </w:pPr>
      <w:bookmarkStart w:id="218" w:name="_Toc1199"/>
      <w:bookmarkStart w:id="219" w:name="_Toc73365520"/>
      <w:bookmarkStart w:id="220" w:name="_Toc73364907"/>
      <w:bookmarkStart w:id="221" w:name="_Toc20388"/>
      <w:bookmarkStart w:id="222" w:name="EBf60c0b78baae4cd4941a83c86b937dfd"/>
      <w:r>
        <w:rPr>
          <w:rFonts w:hint="eastAsia" w:ascii="楷体" w:hAnsi="楷体" w:eastAsia="楷体" w:cs="楷体"/>
          <w:color w:val="auto"/>
          <w:sz w:val="32"/>
          <w:highlight w:val="white"/>
        </w:rPr>
        <w:t>7．推荐成交供应商</w:t>
      </w:r>
      <w:bookmarkEnd w:id="218"/>
      <w:bookmarkEnd w:id="219"/>
      <w:bookmarkEnd w:id="220"/>
      <w:bookmarkEnd w:id="221"/>
    </w:p>
    <w:p w14:paraId="064A6BC5">
      <w:pPr>
        <w:spacing w:line="360" w:lineRule="auto"/>
        <w:ind w:firstLine="480"/>
        <w:rPr>
          <w:rFonts w:hint="eastAsia" w:ascii="楷体" w:hAnsi="楷体" w:eastAsia="楷体" w:cs="Times New Roman"/>
          <w:b w:val="0"/>
          <w:bCs w:val="0"/>
          <w:color w:val="auto"/>
          <w:sz w:val="24"/>
          <w:highlight w:val="none"/>
          <w:u w:val="none"/>
          <w:lang w:eastAsia="zh-CN"/>
        </w:rPr>
      </w:pPr>
      <w:r>
        <w:rPr>
          <w:rFonts w:hint="eastAsia" w:ascii="楷体" w:hAnsi="楷体" w:eastAsia="楷体" w:cs="楷体"/>
          <w:color w:val="auto"/>
          <w:sz w:val="24"/>
          <w:highlight w:val="white"/>
        </w:rPr>
        <w:t>磋商小组应当根据综合评分情况，按照评审得分由高到低顺序</w:t>
      </w:r>
      <w:r>
        <w:rPr>
          <w:rFonts w:hint="eastAsia" w:ascii="楷体" w:hAnsi="楷体" w:eastAsia="楷体" w:cs="楷体"/>
          <w:color w:val="auto"/>
          <w:sz w:val="24"/>
          <w:highlight w:val="white"/>
          <w:lang w:val="en-US" w:eastAsia="zh-CN"/>
        </w:rPr>
        <w:t>各</w:t>
      </w:r>
      <w:r>
        <w:rPr>
          <w:rFonts w:hint="eastAsia" w:ascii="楷体" w:hAnsi="楷体" w:eastAsia="楷体" w:cs="楷体"/>
          <w:color w:val="auto"/>
          <w:sz w:val="24"/>
          <w:highlight w:val="white"/>
        </w:rPr>
        <w:t>推荐3名成交候选供应商，并编写评审报告</w:t>
      </w:r>
      <w:r>
        <w:rPr>
          <w:rFonts w:hint="eastAsia" w:ascii="楷体" w:hAnsi="楷体" w:eastAsia="楷体" w:cs="楷体"/>
          <w:color w:val="auto"/>
          <w:sz w:val="24"/>
          <w:highlight w:val="white"/>
          <w:lang w:val="en-US" w:eastAsia="zh-CN"/>
        </w:rPr>
        <w:t>。</w:t>
      </w:r>
      <w:r>
        <w:rPr>
          <w:rFonts w:hint="eastAsia" w:ascii="楷体" w:hAnsi="楷体" w:eastAsia="楷体" w:cs="楷体"/>
          <w:color w:val="auto"/>
          <w:sz w:val="24"/>
          <w:highlight w:val="white"/>
        </w:rPr>
        <w:t>符合《政府采购竞争性磋商采购方式管理暂行办法》第二十一条第三款、《财政部关于政府采购竞争性磋商采购方式管理暂行办法有关问题的补充通知》规定情形的，可以推荐2家成交候选供应商。评审得分相同的，按照最后报价由低到高的顺序推荐。评审得分且最后报价相同的，按照技术指标优劣顺序推荐。</w:t>
      </w:r>
      <w:bookmarkEnd w:id="222"/>
    </w:p>
    <w:p w14:paraId="3BF8FAC7">
      <w:pPr>
        <w:pStyle w:val="196"/>
        <w:spacing w:line="400" w:lineRule="exact"/>
        <w:ind w:firstLine="321"/>
        <w:jc w:val="left"/>
        <w:rPr>
          <w:rFonts w:hint="eastAsia" w:ascii="楷体" w:hAnsi="楷体" w:eastAsia="楷体" w:cs="楷体"/>
          <w:color w:val="auto"/>
          <w:sz w:val="32"/>
          <w:highlight w:val="white"/>
        </w:rPr>
      </w:pPr>
      <w:bookmarkStart w:id="223" w:name="_Toc27555"/>
      <w:bookmarkStart w:id="224" w:name="_Toc5994"/>
      <w:bookmarkStart w:id="225" w:name="_Toc28832"/>
      <w:r>
        <w:rPr>
          <w:rFonts w:hint="eastAsia" w:ascii="楷体" w:hAnsi="楷体" w:eastAsia="楷体" w:cs="楷体"/>
          <w:color w:val="auto"/>
          <w:sz w:val="32"/>
          <w:highlight w:val="white"/>
          <w:lang w:val="en-US" w:eastAsia="zh-CN"/>
        </w:rPr>
        <w:t>8.</w:t>
      </w:r>
      <w:r>
        <w:rPr>
          <w:rFonts w:hint="eastAsia" w:ascii="楷体" w:hAnsi="楷体" w:eastAsia="楷体" w:cs="楷体"/>
          <w:color w:val="auto"/>
          <w:sz w:val="32"/>
          <w:highlight w:val="white"/>
        </w:rPr>
        <w:t>其他说明</w:t>
      </w:r>
      <w:bookmarkEnd w:id="223"/>
      <w:bookmarkEnd w:id="224"/>
      <w:bookmarkEnd w:id="225"/>
    </w:p>
    <w:p w14:paraId="4412D96E">
      <w:pPr>
        <w:spacing w:line="360" w:lineRule="auto"/>
        <w:ind w:firstLine="480" w:firstLineChars="200"/>
        <w:outlineLvl w:val="9"/>
        <w:rPr>
          <w:rFonts w:hint="eastAsia" w:ascii="楷体" w:hAnsi="楷体" w:eastAsia="楷体"/>
          <w:b w:val="0"/>
          <w:bCs w:val="0"/>
          <w:color w:val="auto"/>
          <w:sz w:val="24"/>
          <w:highlight w:val="none"/>
          <w:u w:val="none"/>
        </w:rPr>
      </w:pPr>
      <w:r>
        <w:rPr>
          <w:rFonts w:hint="eastAsia" w:ascii="楷体" w:hAnsi="楷体" w:eastAsia="楷体"/>
          <w:b w:val="0"/>
          <w:bCs w:val="0"/>
          <w:color w:val="auto"/>
          <w:sz w:val="24"/>
          <w:highlight w:val="none"/>
          <w:u w:val="none"/>
          <w:lang w:eastAsia="zh-CN"/>
        </w:rPr>
        <w:t>磋商</w:t>
      </w:r>
      <w:r>
        <w:rPr>
          <w:rFonts w:hint="eastAsia" w:ascii="楷体" w:hAnsi="楷体" w:eastAsia="楷体"/>
          <w:b w:val="0"/>
          <w:bCs w:val="0"/>
          <w:color w:val="auto"/>
          <w:sz w:val="24"/>
          <w:highlight w:val="none"/>
          <w:u w:val="none"/>
        </w:rPr>
        <w:t>小组保留对携带</w:t>
      </w:r>
      <w:r>
        <w:rPr>
          <w:rFonts w:hint="eastAsia" w:ascii="楷体" w:hAnsi="楷体" w:eastAsia="楷体"/>
          <w:b w:val="0"/>
          <w:bCs w:val="0"/>
          <w:color w:val="auto"/>
          <w:sz w:val="24"/>
          <w:highlight w:val="none"/>
          <w:u w:val="none"/>
          <w:lang w:val="en-US" w:eastAsia="zh-CN"/>
        </w:rPr>
        <w:t>证明材料</w:t>
      </w:r>
      <w:r>
        <w:rPr>
          <w:rFonts w:hint="eastAsia" w:ascii="楷体" w:hAnsi="楷体" w:eastAsia="楷体"/>
          <w:b w:val="0"/>
          <w:bCs w:val="0"/>
          <w:color w:val="auto"/>
          <w:sz w:val="24"/>
          <w:highlight w:val="none"/>
          <w:u w:val="none"/>
        </w:rPr>
        <w:t>原件资料的审核权，如在要求审核原件时未能提供，视同没有。对于</w:t>
      </w:r>
      <w:r>
        <w:rPr>
          <w:rFonts w:hint="eastAsia" w:ascii="楷体" w:hAnsi="楷体" w:eastAsia="楷体"/>
          <w:b w:val="0"/>
          <w:bCs w:val="0"/>
          <w:color w:val="auto"/>
          <w:sz w:val="24"/>
          <w:highlight w:val="none"/>
          <w:u w:val="none"/>
          <w:lang w:eastAsia="zh-CN"/>
        </w:rPr>
        <w:t>磋商</w:t>
      </w:r>
      <w:r>
        <w:rPr>
          <w:rFonts w:hint="eastAsia" w:ascii="楷体" w:hAnsi="楷体" w:eastAsia="楷体"/>
          <w:b w:val="0"/>
          <w:bCs w:val="0"/>
          <w:color w:val="auto"/>
          <w:sz w:val="24"/>
          <w:highlight w:val="none"/>
          <w:u w:val="none"/>
        </w:rPr>
        <w:t>文件要求供应商提供的资料，如出现未编入</w:t>
      </w:r>
      <w:r>
        <w:rPr>
          <w:rFonts w:hint="eastAsia" w:ascii="楷体" w:hAnsi="楷体" w:eastAsia="楷体"/>
          <w:b w:val="0"/>
          <w:bCs w:val="0"/>
          <w:color w:val="auto"/>
          <w:sz w:val="24"/>
          <w:highlight w:val="none"/>
          <w:u w:val="none"/>
          <w:lang w:eastAsia="zh-CN"/>
        </w:rPr>
        <w:t>磋商</w:t>
      </w:r>
      <w:r>
        <w:rPr>
          <w:rFonts w:hint="eastAsia" w:ascii="楷体" w:hAnsi="楷体" w:eastAsia="楷体"/>
          <w:b w:val="0"/>
          <w:bCs w:val="0"/>
          <w:color w:val="auto"/>
          <w:sz w:val="24"/>
          <w:highlight w:val="none"/>
          <w:u w:val="none"/>
        </w:rPr>
        <w:t>响应文件的，一律视同没有（在</w:t>
      </w:r>
      <w:r>
        <w:rPr>
          <w:rFonts w:hint="eastAsia" w:ascii="楷体" w:hAnsi="楷体" w:eastAsia="楷体"/>
          <w:b w:val="0"/>
          <w:bCs w:val="0"/>
          <w:color w:val="auto"/>
          <w:sz w:val="24"/>
          <w:highlight w:val="none"/>
          <w:u w:val="none"/>
          <w:lang w:eastAsia="zh-CN"/>
        </w:rPr>
        <w:t>磋商</w:t>
      </w:r>
      <w:r>
        <w:rPr>
          <w:rFonts w:hint="eastAsia" w:ascii="楷体" w:hAnsi="楷体" w:eastAsia="楷体"/>
          <w:b w:val="0"/>
          <w:bCs w:val="0"/>
          <w:color w:val="auto"/>
          <w:sz w:val="24"/>
          <w:highlight w:val="none"/>
          <w:u w:val="none"/>
        </w:rPr>
        <w:t>过程中</w:t>
      </w:r>
      <w:r>
        <w:rPr>
          <w:rFonts w:hint="eastAsia" w:ascii="楷体" w:hAnsi="楷体" w:eastAsia="楷体"/>
          <w:b w:val="0"/>
          <w:bCs w:val="0"/>
          <w:color w:val="auto"/>
          <w:sz w:val="24"/>
          <w:highlight w:val="none"/>
          <w:u w:val="none"/>
          <w:lang w:eastAsia="zh-CN"/>
        </w:rPr>
        <w:t>磋商</w:t>
      </w:r>
      <w:r>
        <w:rPr>
          <w:rFonts w:hint="eastAsia" w:ascii="楷体" w:hAnsi="楷体" w:eastAsia="楷体"/>
          <w:b w:val="0"/>
          <w:bCs w:val="0"/>
          <w:color w:val="auto"/>
          <w:sz w:val="24"/>
          <w:highlight w:val="none"/>
          <w:u w:val="none"/>
        </w:rPr>
        <w:t>小组统一要求所有供应商追加提供的资料除外）。</w:t>
      </w:r>
    </w:p>
    <w:p w14:paraId="36FE6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white"/>
        </w:rPr>
      </w:pPr>
      <w:r>
        <w:rPr>
          <w:rFonts w:hint="eastAsia" w:ascii="楷体" w:hAnsi="楷体" w:eastAsia="楷体"/>
          <w:b w:val="0"/>
          <w:bCs w:val="0"/>
          <w:color w:val="auto"/>
          <w:sz w:val="24"/>
          <w:szCs w:val="24"/>
          <w:highlight w:val="none"/>
          <w:u w:val="none"/>
          <w:lang w:val="en-US" w:eastAsia="zh-CN"/>
        </w:rPr>
        <w:t>供应商应根据本企业的成本自行决定报价，但不得以低于其企业成本进行磋商报价；磋商时，磋商小组认为供应商的磋商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p>
    <w:p w14:paraId="09942BE8">
      <w:pPr>
        <w:pStyle w:val="195"/>
        <w:pageBreakBefore/>
        <w:jc w:val="center"/>
        <w:rPr>
          <w:rFonts w:hint="eastAsia" w:ascii="楷体" w:hAnsi="楷体" w:eastAsia="楷体" w:cs="楷体"/>
          <w:color w:val="auto"/>
        </w:rPr>
      </w:pPr>
      <w:bookmarkStart w:id="226" w:name="_Toc256000063"/>
      <w:bookmarkStart w:id="227" w:name="_Toc4828"/>
      <w:bookmarkStart w:id="228" w:name="_Toc73965913"/>
      <w:r>
        <w:rPr>
          <w:rFonts w:hint="eastAsia" w:ascii="楷体" w:hAnsi="楷体" w:eastAsia="楷体" w:cs="楷体"/>
          <w:color w:val="auto"/>
          <w:highlight w:val="white"/>
        </w:rPr>
        <w:t xml:space="preserve">第六部分  </w:t>
      </w:r>
      <w:r>
        <w:rPr>
          <w:rFonts w:hint="eastAsia" w:ascii="楷体" w:hAnsi="楷体" w:eastAsia="楷体" w:cs="楷体"/>
          <w:color w:val="auto"/>
          <w:highlight w:val="white"/>
          <w:lang w:eastAsia="zh-CN"/>
        </w:rPr>
        <w:t>磋商</w:t>
      </w:r>
      <w:r>
        <w:rPr>
          <w:rFonts w:hint="eastAsia" w:ascii="楷体" w:hAnsi="楷体" w:eastAsia="楷体" w:cs="楷体"/>
          <w:color w:val="auto"/>
          <w:highlight w:val="white"/>
        </w:rPr>
        <w:t>响应文件（格式）</w:t>
      </w:r>
      <w:bookmarkEnd w:id="226"/>
      <w:bookmarkEnd w:id="227"/>
      <w:bookmarkEnd w:id="228"/>
    </w:p>
    <w:p w14:paraId="7A9BA5EE">
      <w:pPr>
        <w:pStyle w:val="258"/>
        <w:rPr>
          <w:rFonts w:hint="eastAsia" w:ascii="楷体" w:hAnsi="楷体" w:eastAsia="楷体" w:cs="楷体"/>
          <w:color w:val="auto"/>
          <w:lang w:eastAsia="zh-CN"/>
        </w:rPr>
      </w:pPr>
    </w:p>
    <w:p w14:paraId="434DD8C6">
      <w:pPr>
        <w:pStyle w:val="258"/>
        <w:keepNext w:val="0"/>
        <w:keepLines w:val="0"/>
        <w:pageBreakBefore w:val="0"/>
        <w:widowControl/>
        <w:kinsoku/>
        <w:wordWrap/>
        <w:overflowPunct/>
        <w:topLinePunct w:val="0"/>
        <w:autoSpaceDE/>
        <w:autoSpaceDN/>
        <w:bidi w:val="0"/>
        <w:adjustRightInd/>
        <w:snapToGrid/>
        <w:spacing w:before="540" w:after="540"/>
        <w:ind w:left="1470" w:leftChars="700" w:right="1470" w:rightChars="700"/>
        <w:jc w:val="distribute"/>
        <w:textAlignment w:val="auto"/>
        <w:rPr>
          <w:rFonts w:hint="eastAsia" w:ascii="楷体" w:hAnsi="楷体" w:eastAsia="楷体" w:cs="楷体"/>
          <w:color w:val="auto"/>
          <w:sz w:val="54"/>
          <w:szCs w:val="54"/>
        </w:rPr>
      </w:pPr>
      <w:r>
        <w:rPr>
          <w:rFonts w:hint="eastAsia" w:ascii="楷体" w:hAnsi="楷体" w:eastAsia="楷体" w:cs="楷体"/>
          <w:color w:val="auto"/>
          <w:sz w:val="54"/>
          <w:szCs w:val="54"/>
          <w:lang w:eastAsia="zh-CN"/>
        </w:rPr>
        <w:t>磋商</w:t>
      </w:r>
      <w:r>
        <w:rPr>
          <w:rFonts w:hint="eastAsia" w:ascii="楷体" w:hAnsi="楷体" w:eastAsia="楷体" w:cs="楷体"/>
          <w:color w:val="auto"/>
          <w:sz w:val="54"/>
          <w:szCs w:val="54"/>
        </w:rPr>
        <w:t>响应文件</w:t>
      </w:r>
    </w:p>
    <w:p w14:paraId="07D109DB">
      <w:pPr>
        <w:pStyle w:val="258"/>
        <w:spacing w:before="240" w:after="240"/>
        <w:rPr>
          <w:rFonts w:hint="eastAsia" w:ascii="楷体" w:hAnsi="楷体" w:eastAsia="楷体" w:cs="楷体"/>
          <w:color w:val="auto"/>
        </w:rPr>
      </w:pPr>
    </w:p>
    <w:p w14:paraId="0235F330">
      <w:pPr>
        <w:pStyle w:val="258"/>
        <w:spacing w:before="400" w:after="400"/>
        <w:jc w:val="center"/>
        <w:rPr>
          <w:rFonts w:hint="eastAsia" w:ascii="楷体" w:hAnsi="楷体" w:eastAsia="楷体" w:cs="楷体"/>
          <w:color w:val="auto"/>
          <w:sz w:val="40"/>
          <w:szCs w:val="40"/>
          <w:lang w:eastAsia="zh-CN"/>
        </w:rPr>
      </w:pPr>
    </w:p>
    <w:p w14:paraId="1E8BA8E5">
      <w:pPr>
        <w:pStyle w:val="258"/>
        <w:keepNext w:val="0"/>
        <w:keepLines w:val="0"/>
        <w:pageBreakBefore w:val="0"/>
        <w:widowControl/>
        <w:kinsoku/>
        <w:wordWrap/>
        <w:overflowPunct/>
        <w:topLinePunct w:val="0"/>
        <w:autoSpaceDE/>
        <w:autoSpaceDN/>
        <w:bidi w:val="0"/>
        <w:adjustRightInd/>
        <w:snapToGrid/>
        <w:spacing w:before="360" w:after="360"/>
        <w:ind w:left="1050" w:leftChars="500"/>
        <w:jc w:val="both"/>
        <w:textAlignment w:val="auto"/>
        <w:rPr>
          <w:rFonts w:hint="default" w:ascii="楷体" w:hAnsi="楷体" w:eastAsia="楷体" w:cs="楷体"/>
          <w:color w:val="auto"/>
          <w:sz w:val="36"/>
          <w:szCs w:val="36"/>
          <w:lang w:val="en-US" w:eastAsia="zh-CN"/>
        </w:rPr>
      </w:pPr>
      <w:r>
        <w:rPr>
          <w:rFonts w:hint="eastAsia" w:ascii="楷体" w:hAnsi="楷体" w:eastAsia="楷体" w:cs="楷体"/>
          <w:color w:val="auto"/>
          <w:sz w:val="36"/>
          <w:szCs w:val="36"/>
        </w:rPr>
        <w:t>项目编号：</w:t>
      </w:r>
      <w:r>
        <w:rPr>
          <w:rFonts w:hint="eastAsia" w:ascii="楷体" w:hAnsi="楷体" w:eastAsia="楷体" w:cs="楷体"/>
          <w:color w:val="auto"/>
          <w:sz w:val="36"/>
          <w:szCs w:val="36"/>
          <w:lang w:eastAsia="zh-CN"/>
        </w:rPr>
        <w:t>JSZH-202</w:t>
      </w:r>
      <w:r>
        <w:rPr>
          <w:rFonts w:hint="eastAsia" w:ascii="楷体" w:hAnsi="楷体" w:eastAsia="楷体" w:cs="楷体"/>
          <w:color w:val="auto"/>
          <w:sz w:val="36"/>
          <w:szCs w:val="36"/>
          <w:lang w:val="en-US" w:eastAsia="zh-CN"/>
        </w:rPr>
        <w:t>6</w:t>
      </w:r>
      <w:r>
        <w:rPr>
          <w:rFonts w:hint="eastAsia" w:ascii="楷体" w:hAnsi="楷体" w:eastAsia="楷体" w:cs="楷体"/>
          <w:color w:val="auto"/>
          <w:sz w:val="36"/>
          <w:szCs w:val="36"/>
          <w:lang w:eastAsia="zh-CN"/>
        </w:rPr>
        <w:t>-0</w:t>
      </w:r>
      <w:r>
        <w:rPr>
          <w:rFonts w:hint="eastAsia" w:ascii="楷体" w:hAnsi="楷体" w:eastAsia="楷体" w:cs="楷体"/>
          <w:color w:val="auto"/>
          <w:sz w:val="36"/>
          <w:szCs w:val="36"/>
          <w:lang w:val="en-US" w:eastAsia="zh-CN"/>
        </w:rPr>
        <w:t>07号</w:t>
      </w:r>
    </w:p>
    <w:p w14:paraId="3F855103">
      <w:pPr>
        <w:pStyle w:val="258"/>
        <w:keepNext w:val="0"/>
        <w:keepLines w:val="0"/>
        <w:pageBreakBefore w:val="0"/>
        <w:widowControl/>
        <w:kinsoku/>
        <w:wordWrap/>
        <w:overflowPunct/>
        <w:topLinePunct w:val="0"/>
        <w:autoSpaceDE/>
        <w:autoSpaceDN/>
        <w:bidi w:val="0"/>
        <w:adjustRightInd/>
        <w:snapToGrid/>
        <w:spacing w:before="360" w:after="360"/>
        <w:ind w:left="2850" w:leftChars="500" w:hanging="1800" w:hangingChars="500"/>
        <w:jc w:val="both"/>
        <w:textAlignment w:val="auto"/>
        <w:rPr>
          <w:rFonts w:hint="eastAsia" w:ascii="楷体" w:hAnsi="楷体" w:eastAsia="楷体" w:cs="楷体"/>
          <w:color w:val="auto"/>
          <w:sz w:val="36"/>
          <w:szCs w:val="36"/>
        </w:rPr>
      </w:pPr>
      <w:r>
        <w:rPr>
          <w:rFonts w:hint="eastAsia" w:ascii="楷体" w:hAnsi="楷体" w:eastAsia="楷体" w:cs="楷体"/>
          <w:color w:val="auto"/>
          <w:sz w:val="36"/>
          <w:szCs w:val="36"/>
        </w:rPr>
        <w:t>项目名称：</w:t>
      </w:r>
      <w:r>
        <w:rPr>
          <w:rFonts w:hint="eastAsia" w:ascii="楷体" w:hAnsi="楷体" w:eastAsia="楷体" w:cs="楷体"/>
          <w:color w:val="auto"/>
          <w:sz w:val="36"/>
          <w:szCs w:val="36"/>
          <w:lang w:eastAsia="zh-CN"/>
        </w:rPr>
        <w:t>句容市养老护理院户外设施增设项目</w:t>
      </w:r>
    </w:p>
    <w:p w14:paraId="53489341">
      <w:pPr>
        <w:pStyle w:val="258"/>
        <w:spacing w:before="360" w:after="360"/>
        <w:jc w:val="center"/>
        <w:rPr>
          <w:rFonts w:hint="eastAsia" w:ascii="楷体" w:hAnsi="楷体" w:eastAsia="楷体" w:cs="楷体"/>
          <w:color w:val="auto"/>
          <w:sz w:val="36"/>
          <w:szCs w:val="36"/>
        </w:rPr>
      </w:pPr>
    </w:p>
    <w:p w14:paraId="70408363">
      <w:pPr>
        <w:pStyle w:val="258"/>
        <w:spacing w:before="360" w:after="360"/>
        <w:jc w:val="center"/>
        <w:rPr>
          <w:rFonts w:hint="eastAsia" w:ascii="楷体" w:hAnsi="楷体" w:eastAsia="楷体" w:cs="楷体"/>
          <w:color w:val="auto"/>
          <w:sz w:val="36"/>
          <w:szCs w:val="36"/>
        </w:rPr>
      </w:pPr>
    </w:p>
    <w:p w14:paraId="7457CCB7">
      <w:pPr>
        <w:pStyle w:val="258"/>
        <w:spacing w:before="360" w:after="360"/>
        <w:jc w:val="center"/>
        <w:rPr>
          <w:rFonts w:hint="eastAsia" w:ascii="楷体" w:hAnsi="楷体" w:eastAsia="楷体" w:cs="楷体"/>
          <w:color w:val="auto"/>
          <w:sz w:val="36"/>
          <w:szCs w:val="36"/>
          <w:lang w:eastAsia="zh-CN"/>
        </w:rPr>
      </w:pPr>
    </w:p>
    <w:p w14:paraId="0E0A817A">
      <w:pPr>
        <w:pStyle w:val="258"/>
        <w:spacing w:before="360" w:after="360"/>
        <w:jc w:val="center"/>
        <w:rPr>
          <w:rFonts w:hint="eastAsia" w:ascii="楷体" w:hAnsi="楷体" w:eastAsia="楷体" w:cs="楷体"/>
          <w:color w:val="auto"/>
          <w:sz w:val="36"/>
          <w:szCs w:val="36"/>
          <w:lang w:eastAsia="zh-CN"/>
        </w:rPr>
      </w:pPr>
      <w:r>
        <w:rPr>
          <w:rFonts w:hint="eastAsia" w:ascii="楷体" w:hAnsi="楷体" w:eastAsia="楷体" w:cs="楷体"/>
          <w:color w:val="auto"/>
          <w:sz w:val="36"/>
          <w:szCs w:val="36"/>
        </w:rPr>
        <w:t>供应商（加盖公章）</w:t>
      </w:r>
      <w:r>
        <w:rPr>
          <w:rFonts w:hint="eastAsia" w:ascii="楷体" w:hAnsi="楷体" w:eastAsia="楷体" w:cs="楷体"/>
          <w:color w:val="auto"/>
          <w:sz w:val="36"/>
          <w:szCs w:val="36"/>
          <w:lang w:eastAsia="zh-CN"/>
        </w:rPr>
        <w:t>：</w:t>
      </w:r>
    </w:p>
    <w:p w14:paraId="0195E455">
      <w:pPr>
        <w:pStyle w:val="258"/>
        <w:spacing w:before="360" w:after="360"/>
        <w:jc w:val="center"/>
        <w:rPr>
          <w:rFonts w:hint="eastAsia" w:ascii="楷体" w:hAnsi="楷体" w:eastAsia="楷体" w:cs="楷体"/>
          <w:color w:val="auto"/>
          <w:sz w:val="36"/>
          <w:szCs w:val="36"/>
        </w:rPr>
      </w:pPr>
      <w:r>
        <w:rPr>
          <w:rFonts w:hint="eastAsia" w:ascii="楷体" w:hAnsi="楷体" w:eastAsia="楷体" w:cs="楷体"/>
          <w:color w:val="auto"/>
          <w:sz w:val="32"/>
          <w:szCs w:val="32"/>
        </w:rPr>
        <w:t>日期</w:t>
      </w:r>
      <w:r>
        <w:rPr>
          <w:rFonts w:hint="eastAsia" w:ascii="楷体" w:hAnsi="楷体" w:eastAsia="楷体" w:cs="楷体"/>
          <w:color w:val="auto"/>
          <w:sz w:val="36"/>
          <w:szCs w:val="36"/>
        </w:rPr>
        <w:t>：</w:t>
      </w:r>
    </w:p>
    <w:p w14:paraId="5D267C59">
      <w:pPr>
        <w:rPr>
          <w:rFonts w:hint="eastAsia" w:ascii="楷体" w:hAnsi="楷体" w:eastAsia="楷体" w:cs="楷体"/>
          <w:color w:val="auto"/>
          <w:sz w:val="32"/>
        </w:rPr>
      </w:pPr>
      <w:bookmarkStart w:id="229" w:name="_Toc256000064"/>
      <w:r>
        <w:rPr>
          <w:rFonts w:hint="eastAsia" w:ascii="楷体" w:hAnsi="楷体" w:eastAsia="楷体" w:cs="楷体"/>
          <w:color w:val="auto"/>
          <w:sz w:val="32"/>
        </w:rPr>
        <w:br w:type="page"/>
      </w:r>
    </w:p>
    <w:p w14:paraId="6D57842D">
      <w:pPr>
        <w:pStyle w:val="258"/>
        <w:spacing w:before="360" w:after="360"/>
        <w:jc w:val="center"/>
        <w:outlineLvl w:val="1"/>
        <w:rPr>
          <w:rFonts w:hint="eastAsia" w:ascii="楷体" w:hAnsi="楷体" w:eastAsia="楷体" w:cs="楷体"/>
          <w:b/>
          <w:bCs/>
          <w:color w:val="auto"/>
        </w:rPr>
      </w:pPr>
      <w:bookmarkStart w:id="230" w:name="_Toc7718"/>
      <w:r>
        <w:rPr>
          <w:rFonts w:hint="eastAsia" w:ascii="楷体" w:hAnsi="楷体" w:eastAsia="楷体" w:cs="楷体"/>
          <w:b/>
          <w:bCs/>
          <w:color w:val="auto"/>
          <w:sz w:val="32"/>
        </w:rPr>
        <w:t>一、资格部分</w:t>
      </w:r>
      <w:bookmarkEnd w:id="229"/>
      <w:bookmarkEnd w:id="230"/>
    </w:p>
    <w:p w14:paraId="4C9B2B71">
      <w:pPr>
        <w:pStyle w:val="260"/>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lang w:eastAsia="zh-CN"/>
        </w:rPr>
      </w:pPr>
      <w:bookmarkStart w:id="231" w:name="_Toc24978"/>
      <w:bookmarkStart w:id="232" w:name="_Toc256000065"/>
      <w:r>
        <w:rPr>
          <w:rFonts w:hint="eastAsia" w:ascii="楷体" w:hAnsi="楷体" w:eastAsia="楷体" w:cs="楷体"/>
          <w:color w:val="auto"/>
          <w:sz w:val="28"/>
        </w:rPr>
        <w:t>(一)</w:t>
      </w:r>
      <w:r>
        <w:rPr>
          <w:rFonts w:hint="eastAsia" w:ascii="楷体" w:hAnsi="楷体" w:eastAsia="楷体" w:cs="楷体"/>
          <w:color w:val="auto"/>
          <w:sz w:val="28"/>
          <w:lang w:eastAsia="zh-CN"/>
        </w:rPr>
        <w:t>磋商</w:t>
      </w:r>
      <w:r>
        <w:rPr>
          <w:rFonts w:hint="eastAsia" w:ascii="楷体" w:hAnsi="楷体" w:eastAsia="楷体" w:cs="楷体"/>
          <w:color w:val="auto"/>
          <w:sz w:val="28"/>
        </w:rPr>
        <w:t>承诺函</w:t>
      </w:r>
      <w:bookmarkEnd w:id="231"/>
      <w:bookmarkEnd w:id="232"/>
    </w:p>
    <w:p w14:paraId="3C089CB1">
      <w:pPr>
        <w:pStyle w:val="261"/>
        <w:spacing w:before="240" w:after="240" w:line="276" w:lineRule="auto"/>
        <w:rPr>
          <w:rFonts w:hint="eastAsia" w:ascii="楷体" w:hAnsi="楷体" w:eastAsia="楷体" w:cs="楷体"/>
          <w:color w:val="auto"/>
        </w:rPr>
      </w:pPr>
      <w:r>
        <w:rPr>
          <w:rFonts w:hint="eastAsia" w:ascii="楷体" w:hAnsi="楷体" w:eastAsia="楷体" w:cs="楷体"/>
          <w:color w:val="auto"/>
        </w:rPr>
        <w:t>致：（</w:t>
      </w:r>
      <w:r>
        <w:rPr>
          <w:rFonts w:hint="eastAsia" w:ascii="楷体" w:hAnsi="楷体" w:eastAsia="楷体" w:cs="楷体"/>
          <w:color w:val="auto"/>
          <w:lang w:val="en-US" w:eastAsia="zh-CN"/>
        </w:rPr>
        <w:t>采购</w:t>
      </w:r>
      <w:r>
        <w:rPr>
          <w:rFonts w:hint="eastAsia" w:ascii="楷体" w:hAnsi="楷体" w:eastAsia="楷体" w:cs="楷体"/>
          <w:color w:val="auto"/>
        </w:rPr>
        <w:t xml:space="preserve">组织方）  </w:t>
      </w:r>
    </w:p>
    <w:p w14:paraId="27595C72">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根据贵方关于</w:t>
      </w:r>
      <w:r>
        <w:rPr>
          <w:rFonts w:hint="eastAsia" w:ascii="楷体" w:hAnsi="楷体" w:eastAsia="楷体" w:cs="楷体"/>
          <w:color w:val="auto"/>
          <w:u w:val="single"/>
          <w:lang w:eastAsia="zh-CN"/>
        </w:rPr>
        <w:t xml:space="preserve">       </w:t>
      </w:r>
      <w:r>
        <w:rPr>
          <w:rFonts w:hint="eastAsia" w:ascii="楷体" w:hAnsi="楷体" w:eastAsia="楷体" w:cs="楷体"/>
          <w:color w:val="auto"/>
          <w:u w:val="single"/>
        </w:rPr>
        <w:t>（项目编号：</w:t>
      </w:r>
      <w:r>
        <w:rPr>
          <w:rFonts w:hint="eastAsia" w:ascii="楷体" w:hAnsi="楷体" w:eastAsia="楷体" w:cs="楷体"/>
          <w:color w:val="auto"/>
          <w:u w:val="single"/>
          <w:lang w:val="en-US" w:eastAsia="zh-CN"/>
        </w:rPr>
        <w:t xml:space="preserve">  </w:t>
      </w:r>
      <w:r>
        <w:rPr>
          <w:rFonts w:hint="eastAsia" w:ascii="楷体" w:hAnsi="楷体" w:eastAsia="楷体" w:cs="楷体"/>
          <w:color w:val="auto"/>
          <w:u w:val="single"/>
        </w:rPr>
        <w:t>）</w:t>
      </w:r>
      <w:r>
        <w:rPr>
          <w:rFonts w:hint="eastAsia" w:ascii="楷体" w:hAnsi="楷体" w:eastAsia="楷体" w:cs="楷体"/>
          <w:color w:val="auto"/>
        </w:rPr>
        <w:t>的</w:t>
      </w:r>
      <w:r>
        <w:rPr>
          <w:rFonts w:hint="eastAsia" w:ascii="楷体" w:hAnsi="楷体" w:eastAsia="楷体" w:cs="楷体"/>
          <w:color w:val="auto"/>
          <w:lang w:eastAsia="zh-CN"/>
        </w:rPr>
        <w:t>磋商</w:t>
      </w:r>
      <w:r>
        <w:rPr>
          <w:rFonts w:hint="eastAsia" w:ascii="楷体" w:hAnsi="楷体" w:eastAsia="楷体" w:cs="楷体"/>
          <w:color w:val="auto"/>
        </w:rPr>
        <w:t>邀请，我方已完全理解</w:t>
      </w:r>
      <w:r>
        <w:rPr>
          <w:rFonts w:hint="eastAsia" w:ascii="楷体" w:hAnsi="楷体" w:eastAsia="楷体" w:cs="楷体"/>
          <w:color w:val="auto"/>
          <w:lang w:eastAsia="zh-CN"/>
        </w:rPr>
        <w:t>磋商</w:t>
      </w:r>
      <w:r>
        <w:rPr>
          <w:rFonts w:hint="eastAsia" w:ascii="楷体" w:hAnsi="楷体" w:eastAsia="楷体" w:cs="楷体"/>
          <w:color w:val="auto"/>
        </w:rPr>
        <w:t>文件的所有内容。</w:t>
      </w:r>
    </w:p>
    <w:p w14:paraId="5AFE65DC">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据此函，我方兹宣布同意如下：</w:t>
      </w:r>
    </w:p>
    <w:p w14:paraId="1F3DE89F">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1．我方承诺：我方完全具备《政府采购法》第二十二条第一款规定的条件以及本项目</w:t>
      </w:r>
      <w:r>
        <w:rPr>
          <w:rFonts w:hint="eastAsia" w:ascii="楷体" w:hAnsi="楷体" w:eastAsia="楷体" w:cs="楷体"/>
          <w:color w:val="auto"/>
          <w:lang w:eastAsia="zh-CN"/>
        </w:rPr>
        <w:t>磋商</w:t>
      </w:r>
      <w:r>
        <w:rPr>
          <w:rFonts w:hint="eastAsia" w:ascii="楷体" w:hAnsi="楷体" w:eastAsia="楷体" w:cs="楷体"/>
          <w:color w:val="auto"/>
        </w:rPr>
        <w:t>文件规定的参加</w:t>
      </w:r>
      <w:r>
        <w:rPr>
          <w:rFonts w:hint="eastAsia" w:ascii="楷体" w:hAnsi="楷体" w:eastAsia="楷体" w:cs="楷体"/>
          <w:color w:val="auto"/>
          <w:lang w:eastAsia="zh-CN"/>
        </w:rPr>
        <w:t>磋商</w:t>
      </w:r>
      <w:r>
        <w:rPr>
          <w:rFonts w:hint="eastAsia" w:ascii="楷体" w:hAnsi="楷体" w:eastAsia="楷体" w:cs="楷体"/>
          <w:color w:val="auto"/>
        </w:rPr>
        <w:t>供应商须满足的特定条件。</w:t>
      </w:r>
    </w:p>
    <w:p w14:paraId="5E1480E8">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2. 我方承诺：参加本次采购活动前三年内，在经营活动中没有重大违法记录。</w:t>
      </w:r>
    </w:p>
    <w:p w14:paraId="58093CA6">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3. 我方承诺：我方信用记录中没有被列入失信被执行人、没有被列入重大税收违法案件名单、没有被列入政府采购违法失信行为记录名单。</w:t>
      </w:r>
    </w:p>
    <w:p w14:paraId="6D34F7D3">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4. 我方承诺按</w:t>
      </w:r>
      <w:r>
        <w:rPr>
          <w:rFonts w:hint="eastAsia" w:ascii="楷体" w:hAnsi="楷体" w:eastAsia="楷体" w:cs="楷体"/>
          <w:color w:val="auto"/>
          <w:lang w:eastAsia="zh-CN"/>
        </w:rPr>
        <w:t>磋商</w:t>
      </w:r>
      <w:r>
        <w:rPr>
          <w:rFonts w:hint="eastAsia" w:ascii="楷体" w:hAnsi="楷体" w:eastAsia="楷体" w:cs="楷体"/>
          <w:color w:val="auto"/>
        </w:rPr>
        <w:t>文件要求提供的货物（服务）的</w:t>
      </w:r>
      <w:r>
        <w:rPr>
          <w:rFonts w:hint="eastAsia" w:ascii="楷体" w:hAnsi="楷体" w:eastAsia="楷体" w:cs="楷体"/>
          <w:color w:val="auto"/>
          <w:lang w:eastAsia="zh-CN"/>
        </w:rPr>
        <w:t>磋商</w:t>
      </w:r>
      <w:r>
        <w:rPr>
          <w:rFonts w:hint="eastAsia" w:ascii="楷体" w:hAnsi="楷体" w:eastAsia="楷体" w:cs="楷体"/>
          <w:color w:val="auto"/>
        </w:rPr>
        <w:t>报价见报价一览表。</w:t>
      </w:r>
    </w:p>
    <w:p w14:paraId="292C3AE9">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5．我方承诺根据</w:t>
      </w:r>
      <w:r>
        <w:rPr>
          <w:rFonts w:hint="eastAsia" w:ascii="楷体" w:hAnsi="楷体" w:eastAsia="楷体" w:cs="楷体"/>
          <w:color w:val="auto"/>
          <w:lang w:eastAsia="zh-CN"/>
        </w:rPr>
        <w:t>磋商</w:t>
      </w:r>
      <w:r>
        <w:rPr>
          <w:rFonts w:hint="eastAsia" w:ascii="楷体" w:hAnsi="楷体" w:eastAsia="楷体" w:cs="楷体"/>
          <w:color w:val="auto"/>
        </w:rPr>
        <w:t>文件的规定，完成合同义务，并承担责任（如有偏离，在响应文件中另作说明）。</w:t>
      </w:r>
    </w:p>
    <w:p w14:paraId="1163B05F">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6．我方已详读全部</w:t>
      </w:r>
      <w:r>
        <w:rPr>
          <w:rFonts w:hint="eastAsia" w:ascii="楷体" w:hAnsi="楷体" w:eastAsia="楷体" w:cs="楷体"/>
          <w:color w:val="auto"/>
          <w:lang w:eastAsia="zh-CN"/>
        </w:rPr>
        <w:t>磋商</w:t>
      </w:r>
      <w:r>
        <w:rPr>
          <w:rFonts w:hint="eastAsia" w:ascii="楷体" w:hAnsi="楷体" w:eastAsia="楷体" w:cs="楷体"/>
          <w:color w:val="auto"/>
        </w:rPr>
        <w:t>文件，包括</w:t>
      </w:r>
      <w:r>
        <w:rPr>
          <w:rFonts w:hint="eastAsia" w:ascii="楷体" w:hAnsi="楷体" w:eastAsia="楷体" w:cs="楷体"/>
          <w:color w:val="auto"/>
          <w:lang w:eastAsia="zh-CN"/>
        </w:rPr>
        <w:t>磋商</w:t>
      </w:r>
      <w:r>
        <w:rPr>
          <w:rFonts w:hint="eastAsia" w:ascii="楷体" w:hAnsi="楷体" w:eastAsia="楷体" w:cs="楷体"/>
          <w:color w:val="auto"/>
        </w:rPr>
        <w:t>文件书面修改通知（如有），我方完全理解并同意放弃对这方面不明及误解的权利。</w:t>
      </w:r>
    </w:p>
    <w:p w14:paraId="73900663">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7．我方承诺响应文件及所有材料的完整、真实、合法、有效，并对其负责。承诺在</w:t>
      </w:r>
      <w:r>
        <w:rPr>
          <w:rFonts w:hint="eastAsia" w:ascii="楷体" w:hAnsi="楷体" w:eastAsia="楷体" w:cs="楷体"/>
          <w:color w:val="auto"/>
          <w:lang w:eastAsia="zh-CN"/>
        </w:rPr>
        <w:t>磋商</w:t>
      </w:r>
      <w:r>
        <w:rPr>
          <w:rFonts w:hint="eastAsia" w:ascii="楷体" w:hAnsi="楷体" w:eastAsia="楷体" w:cs="楷体"/>
          <w:color w:val="auto"/>
        </w:rPr>
        <w:t>期间，如</w:t>
      </w:r>
      <w:r>
        <w:rPr>
          <w:rFonts w:hint="eastAsia" w:ascii="楷体" w:hAnsi="楷体" w:eastAsia="楷体" w:cs="楷体"/>
          <w:color w:val="auto"/>
          <w:lang w:eastAsia="zh-CN"/>
        </w:rPr>
        <w:t>磋商</w:t>
      </w:r>
      <w:r>
        <w:rPr>
          <w:rFonts w:hint="eastAsia" w:ascii="楷体" w:hAnsi="楷体" w:eastAsia="楷体" w:cs="楷体"/>
          <w:color w:val="auto"/>
        </w:rPr>
        <w:t>小组对我方提出澄清要求，将及时作出响应，否则自行承担后果。</w:t>
      </w:r>
    </w:p>
    <w:p w14:paraId="4941A4EC">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8．我方同意从规定的</w:t>
      </w:r>
      <w:r>
        <w:rPr>
          <w:rFonts w:hint="eastAsia" w:ascii="楷体" w:hAnsi="楷体" w:eastAsia="楷体" w:cs="楷体"/>
          <w:color w:val="auto"/>
          <w:lang w:eastAsia="zh-CN"/>
        </w:rPr>
        <w:t>磋商</w:t>
      </w:r>
      <w:r>
        <w:rPr>
          <w:rFonts w:hint="eastAsia" w:ascii="楷体" w:hAnsi="楷体" w:eastAsia="楷体" w:cs="楷体"/>
          <w:color w:val="auto"/>
        </w:rPr>
        <w:t>日期起遵循本</w:t>
      </w:r>
      <w:r>
        <w:rPr>
          <w:rFonts w:hint="eastAsia" w:ascii="楷体" w:hAnsi="楷体" w:eastAsia="楷体" w:cs="楷体"/>
          <w:color w:val="auto"/>
          <w:lang w:eastAsia="zh-CN"/>
        </w:rPr>
        <w:t>磋商</w:t>
      </w:r>
      <w:r>
        <w:rPr>
          <w:rFonts w:hint="eastAsia" w:ascii="楷体" w:hAnsi="楷体" w:eastAsia="楷体" w:cs="楷体"/>
          <w:color w:val="auto"/>
        </w:rPr>
        <w:t>文件，并在规定的</w:t>
      </w:r>
      <w:r>
        <w:rPr>
          <w:rFonts w:hint="eastAsia" w:ascii="楷体" w:hAnsi="楷体" w:eastAsia="楷体" w:cs="楷体"/>
          <w:color w:val="auto"/>
          <w:lang w:eastAsia="zh-CN"/>
        </w:rPr>
        <w:t>磋商</w:t>
      </w:r>
      <w:r>
        <w:rPr>
          <w:rFonts w:hint="eastAsia" w:ascii="楷体" w:hAnsi="楷体" w:eastAsia="楷体" w:cs="楷体"/>
          <w:color w:val="auto"/>
        </w:rPr>
        <w:t>有效期期满之前均具有约束力。</w:t>
      </w:r>
    </w:p>
    <w:p w14:paraId="4E2A3B95">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9．我方同意向贵方提供贵方可能要求的与本</w:t>
      </w:r>
      <w:r>
        <w:rPr>
          <w:rFonts w:hint="eastAsia" w:ascii="楷体" w:hAnsi="楷体" w:eastAsia="楷体" w:cs="楷体"/>
          <w:color w:val="auto"/>
          <w:lang w:eastAsia="zh-CN"/>
        </w:rPr>
        <w:t>磋商</w:t>
      </w:r>
      <w:r>
        <w:rPr>
          <w:rFonts w:hint="eastAsia" w:ascii="楷体" w:hAnsi="楷体" w:eastAsia="楷体" w:cs="楷体"/>
          <w:color w:val="auto"/>
        </w:rPr>
        <w:t>有关的任何证据或资料。</w:t>
      </w:r>
    </w:p>
    <w:p w14:paraId="3B72AC30">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10. 我方知道如用虚假材料或恶意方式向贵方提出质疑，将承担相应的法律责任。同时承诺：我方如果有上述行为，将无条件承担贵方相关的调查论证费用。</w:t>
      </w:r>
    </w:p>
    <w:p w14:paraId="51EAC6E6">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11．本次响应文件内容与</w:t>
      </w:r>
      <w:r>
        <w:rPr>
          <w:rFonts w:hint="eastAsia" w:ascii="楷体" w:hAnsi="楷体" w:eastAsia="楷体" w:cs="楷体"/>
          <w:color w:val="auto"/>
          <w:lang w:eastAsia="zh-CN"/>
        </w:rPr>
        <w:t>磋商</w:t>
      </w:r>
      <w:r>
        <w:rPr>
          <w:rFonts w:hint="eastAsia" w:ascii="楷体" w:hAnsi="楷体" w:eastAsia="楷体" w:cs="楷体"/>
          <w:color w:val="auto"/>
        </w:rPr>
        <w:t>文件内容偏离见</w:t>
      </w:r>
      <w:r>
        <w:rPr>
          <w:rFonts w:hint="eastAsia" w:ascii="楷体" w:hAnsi="楷体" w:eastAsia="楷体" w:cs="楷体"/>
          <w:color w:val="auto"/>
          <w:lang w:eastAsia="zh-CN"/>
        </w:rPr>
        <w:t>磋商</w:t>
      </w:r>
      <w:r>
        <w:rPr>
          <w:rFonts w:hint="eastAsia" w:ascii="楷体" w:hAnsi="楷体" w:eastAsia="楷体" w:cs="楷体"/>
          <w:color w:val="auto"/>
        </w:rPr>
        <w:t>偏离表（如果有）。</w:t>
      </w:r>
    </w:p>
    <w:p w14:paraId="46BE5958">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12．遵守</w:t>
      </w:r>
      <w:r>
        <w:rPr>
          <w:rFonts w:hint="eastAsia" w:ascii="楷体" w:hAnsi="楷体" w:eastAsia="楷体" w:cs="楷体"/>
          <w:color w:val="auto"/>
          <w:lang w:eastAsia="zh-CN"/>
        </w:rPr>
        <w:t>磋商</w:t>
      </w:r>
      <w:r>
        <w:rPr>
          <w:rFonts w:hint="eastAsia" w:ascii="楷体" w:hAnsi="楷体" w:eastAsia="楷体" w:cs="楷体"/>
          <w:color w:val="auto"/>
        </w:rPr>
        <w:t>文件中要求的收费项目和标准。</w:t>
      </w:r>
    </w:p>
    <w:p w14:paraId="1899F91D">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13．我方将严格遵守《中华人民共和国政府采购法》，若存在违法违规行为，自愿承担相应的法律后果。</w:t>
      </w:r>
    </w:p>
    <w:p w14:paraId="1350CFBC">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14．与本</w:t>
      </w:r>
      <w:r>
        <w:rPr>
          <w:rFonts w:hint="eastAsia" w:ascii="楷体" w:hAnsi="楷体" w:eastAsia="楷体" w:cs="楷体"/>
          <w:color w:val="auto"/>
          <w:lang w:eastAsia="zh-CN"/>
        </w:rPr>
        <w:t>磋商</w:t>
      </w:r>
      <w:r>
        <w:rPr>
          <w:rFonts w:hint="eastAsia" w:ascii="楷体" w:hAnsi="楷体" w:eastAsia="楷体" w:cs="楷体"/>
          <w:color w:val="auto"/>
        </w:rPr>
        <w:t>有关的一切正式往来通讯请寄：</w:t>
      </w:r>
    </w:p>
    <w:p w14:paraId="0F49DF17">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 xml:space="preserve">地　　址： </w:t>
      </w:r>
      <w:r>
        <w:rPr>
          <w:rFonts w:hint="eastAsia" w:ascii="楷体" w:hAnsi="楷体" w:eastAsia="楷体" w:cs="楷体"/>
          <w:color w:val="auto"/>
          <w:lang w:val="en-US" w:eastAsia="zh-CN"/>
        </w:rPr>
        <w:t xml:space="preserve">                   </w:t>
      </w:r>
      <w:r>
        <w:rPr>
          <w:rFonts w:hint="eastAsia" w:ascii="楷体" w:hAnsi="楷体" w:eastAsia="楷体" w:cs="楷体"/>
          <w:color w:val="auto"/>
        </w:rPr>
        <w:t xml:space="preserve">电　　话： </w:t>
      </w:r>
    </w:p>
    <w:p w14:paraId="3B60C1A4">
      <w:pPr>
        <w:pStyle w:val="261"/>
        <w:spacing w:before="240" w:after="240" w:line="276" w:lineRule="auto"/>
        <w:ind w:firstLine="480"/>
        <w:rPr>
          <w:rFonts w:hint="eastAsia" w:ascii="楷体" w:hAnsi="楷体" w:eastAsia="楷体" w:cs="楷体"/>
          <w:color w:val="auto"/>
          <w:lang w:eastAsia="zh-CN"/>
        </w:rPr>
      </w:pPr>
      <w:r>
        <w:rPr>
          <w:rFonts w:hint="eastAsia" w:ascii="楷体" w:hAnsi="楷体" w:eastAsia="楷体" w:cs="楷体"/>
          <w:color w:val="auto"/>
        </w:rPr>
        <w:t xml:space="preserve">传　　真： </w:t>
      </w:r>
      <w:r>
        <w:rPr>
          <w:rFonts w:hint="eastAsia" w:ascii="楷体" w:hAnsi="楷体" w:eastAsia="楷体" w:cs="楷体"/>
          <w:color w:val="auto"/>
          <w:lang w:val="en-US" w:eastAsia="zh-CN"/>
        </w:rPr>
        <w:t xml:space="preserve">                   </w:t>
      </w:r>
      <w:r>
        <w:rPr>
          <w:rFonts w:hint="eastAsia" w:ascii="楷体" w:hAnsi="楷体" w:eastAsia="楷体" w:cs="楷体"/>
          <w:color w:val="auto"/>
        </w:rPr>
        <w:t xml:space="preserve">邮政编码： </w:t>
      </w:r>
    </w:p>
    <w:p w14:paraId="57AEC9DB">
      <w:pPr>
        <w:pStyle w:val="261"/>
        <w:spacing w:before="240" w:after="240" w:line="276" w:lineRule="auto"/>
        <w:ind w:firstLine="480"/>
        <w:rPr>
          <w:rFonts w:hint="eastAsia" w:ascii="楷体" w:hAnsi="楷体" w:eastAsia="楷体" w:cs="楷体"/>
          <w:color w:val="auto"/>
          <w:lang w:eastAsia="zh-CN"/>
        </w:rPr>
      </w:pPr>
      <w:r>
        <w:rPr>
          <w:rFonts w:hint="eastAsia" w:ascii="楷体" w:hAnsi="楷体" w:eastAsia="楷体" w:cs="楷体"/>
          <w:color w:val="auto"/>
        </w:rPr>
        <w:t>供应商（公章）：</w:t>
      </w:r>
    </w:p>
    <w:p w14:paraId="74B4817C">
      <w:pPr>
        <w:pStyle w:val="261"/>
        <w:spacing w:before="240" w:after="240" w:line="276" w:lineRule="auto"/>
        <w:ind w:firstLine="480"/>
        <w:rPr>
          <w:rFonts w:hint="eastAsia" w:ascii="楷体" w:hAnsi="楷体" w:eastAsia="楷体" w:cs="楷体"/>
          <w:color w:val="auto"/>
          <w:lang w:eastAsia="zh-CN"/>
        </w:rPr>
      </w:pPr>
      <w:r>
        <w:rPr>
          <w:rFonts w:hint="eastAsia" w:ascii="楷体" w:hAnsi="楷体" w:eastAsia="楷体" w:cs="楷体"/>
          <w:color w:val="auto"/>
        </w:rPr>
        <w:t>法定代表人签章：</w:t>
      </w:r>
    </w:p>
    <w:p w14:paraId="7EDB6583">
      <w:pPr>
        <w:pStyle w:val="261"/>
        <w:spacing w:before="240" w:after="240" w:line="276" w:lineRule="auto"/>
        <w:ind w:firstLine="480"/>
        <w:rPr>
          <w:rFonts w:hint="eastAsia" w:ascii="楷体" w:hAnsi="楷体" w:eastAsia="楷体" w:cs="楷体"/>
          <w:color w:val="auto"/>
        </w:rPr>
      </w:pPr>
      <w:r>
        <w:rPr>
          <w:rFonts w:hint="eastAsia" w:ascii="楷体" w:hAnsi="楷体" w:eastAsia="楷体" w:cs="楷体"/>
          <w:color w:val="auto"/>
        </w:rPr>
        <w:t xml:space="preserve">日　　期： </w:t>
      </w:r>
    </w:p>
    <w:p w14:paraId="468A3AC5">
      <w:pPr>
        <w:pStyle w:val="262"/>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r>
        <w:rPr>
          <w:rFonts w:hint="eastAsia" w:ascii="楷体" w:hAnsi="楷体" w:eastAsia="楷体" w:cs="楷体"/>
          <w:color w:val="auto"/>
        </w:rPr>
        <w:br w:type="page" w:clear="all"/>
      </w:r>
      <w:bookmarkStart w:id="233" w:name="_Toc256000066"/>
      <w:bookmarkStart w:id="234" w:name="_Toc3295"/>
      <w:r>
        <w:rPr>
          <w:rFonts w:hint="eastAsia" w:ascii="楷体" w:hAnsi="楷体" w:eastAsia="楷体" w:cs="楷体"/>
          <w:color w:val="auto"/>
          <w:sz w:val="28"/>
          <w:szCs w:val="24"/>
          <w:lang w:bidi="ar-SA"/>
        </w:rPr>
        <w:t>(二)独立承担民事责任的能力</w:t>
      </w:r>
      <w:bookmarkEnd w:id="233"/>
      <w:bookmarkEnd w:id="234"/>
    </w:p>
    <w:p w14:paraId="2D3679FC">
      <w:pPr>
        <w:spacing w:line="440" w:lineRule="exact"/>
        <w:ind w:firstLine="480"/>
        <w:rPr>
          <w:rFonts w:hint="eastAsia" w:ascii="楷体" w:hAnsi="楷体" w:eastAsia="楷体" w:cs="楷体"/>
          <w:color w:val="auto"/>
          <w:sz w:val="24"/>
          <w:szCs w:val="28"/>
          <w:highlight w:val="white"/>
        </w:rPr>
      </w:pPr>
      <w:r>
        <w:rPr>
          <w:rFonts w:hint="eastAsia" w:ascii="楷体" w:hAnsi="楷体" w:eastAsia="楷体" w:cs="楷体"/>
          <w:color w:val="auto"/>
          <w:sz w:val="24"/>
          <w:szCs w:val="28"/>
          <w:highlight w:val="white"/>
        </w:rPr>
        <w:t>提供法人或者其他组织的营业执照等证明文件扫描件；</w:t>
      </w:r>
      <w:r>
        <w:rPr>
          <w:rFonts w:hint="eastAsia" w:ascii="楷体" w:hAnsi="楷体" w:eastAsia="楷体" w:cs="楷体"/>
          <w:color w:val="auto"/>
          <w:sz w:val="24"/>
          <w:szCs w:val="28"/>
          <w:highlight w:val="white"/>
          <w:lang w:eastAsia="zh-CN"/>
        </w:rPr>
        <w:t>供应商</w:t>
      </w:r>
      <w:r>
        <w:rPr>
          <w:rFonts w:hint="eastAsia" w:ascii="楷体" w:hAnsi="楷体" w:eastAsia="楷体" w:cs="楷体"/>
          <w:color w:val="auto"/>
          <w:sz w:val="24"/>
          <w:szCs w:val="28"/>
          <w:highlight w:val="white"/>
        </w:rPr>
        <w:t>为自然人的，提供其身份证扫描件。</w:t>
      </w:r>
    </w:p>
    <w:p w14:paraId="1F7AA079">
      <w:pPr>
        <w:pStyle w:val="264"/>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r>
        <w:rPr>
          <w:rFonts w:hint="eastAsia" w:ascii="楷体" w:hAnsi="楷体" w:eastAsia="楷体" w:cs="楷体"/>
          <w:color w:val="auto"/>
        </w:rPr>
        <w:br w:type="page" w:clear="all"/>
      </w:r>
      <w:bookmarkStart w:id="235" w:name="_Toc256000067"/>
      <w:bookmarkStart w:id="236" w:name="_Toc31225"/>
      <w:r>
        <w:rPr>
          <w:rFonts w:hint="eastAsia" w:ascii="楷体" w:hAnsi="楷体" w:eastAsia="楷体" w:cs="楷体"/>
          <w:color w:val="auto"/>
          <w:sz w:val="28"/>
        </w:rPr>
        <w:t>(三)良好的商业信誉和健全的财务会计制度</w:t>
      </w:r>
      <w:bookmarkEnd w:id="235"/>
      <w:bookmarkEnd w:id="236"/>
    </w:p>
    <w:p w14:paraId="07FF0C04">
      <w:pPr>
        <w:spacing w:line="440" w:lineRule="exact"/>
        <w:ind w:firstLine="420"/>
        <w:rPr>
          <w:rFonts w:hint="eastAsia" w:ascii="楷体" w:hAnsi="楷体" w:eastAsia="楷体" w:cs="楷体"/>
          <w:color w:val="auto"/>
          <w:sz w:val="24"/>
          <w:szCs w:val="28"/>
          <w:highlight w:val="white"/>
        </w:rPr>
      </w:pPr>
      <w:r>
        <w:rPr>
          <w:rFonts w:hint="eastAsia" w:ascii="楷体" w:hAnsi="楷体" w:eastAsia="楷体" w:cs="楷体"/>
          <w:color w:val="auto"/>
        </w:rPr>
        <w:t xml:space="preserve"> </w:t>
      </w:r>
      <w:r>
        <w:rPr>
          <w:rFonts w:hint="eastAsia" w:ascii="楷体" w:hAnsi="楷体" w:eastAsia="楷体" w:cs="楷体"/>
          <w:color w:val="auto"/>
          <w:sz w:val="24"/>
          <w:szCs w:val="28"/>
          <w:highlight w:val="white"/>
        </w:rPr>
        <w:t>[提供</w:t>
      </w:r>
      <w:r>
        <w:rPr>
          <w:rFonts w:hint="eastAsia" w:ascii="楷体" w:hAnsi="楷体" w:eastAsia="楷体" w:cs="楷体"/>
          <w:color w:val="auto"/>
          <w:sz w:val="24"/>
          <w:szCs w:val="28"/>
          <w:highlight w:val="white"/>
          <w:lang w:eastAsia="zh-CN"/>
        </w:rPr>
        <w:t>2024年度</w:t>
      </w:r>
      <w:r>
        <w:rPr>
          <w:rFonts w:hint="eastAsia" w:ascii="楷体" w:hAnsi="楷体" w:eastAsia="楷体" w:cs="楷体"/>
          <w:color w:val="auto"/>
          <w:sz w:val="24"/>
          <w:szCs w:val="28"/>
          <w:highlight w:val="white"/>
        </w:rPr>
        <w:t>财务报告、成立不满一年的提供至少一个月财务报告，或银行出具的资信证明，或财政部门认可的政府采购专业担保机构出具的投标担保函等，或资格承诺函（格式见第六部分）]；</w:t>
      </w:r>
    </w:p>
    <w:p w14:paraId="7A85EB4A">
      <w:pPr>
        <w:pStyle w:val="265"/>
        <w:rPr>
          <w:rFonts w:hint="eastAsia" w:ascii="楷体" w:hAnsi="楷体" w:eastAsia="楷体" w:cs="楷体"/>
          <w:color w:val="auto"/>
        </w:rPr>
      </w:pPr>
    </w:p>
    <w:p w14:paraId="5B0A1EAF">
      <w:pPr>
        <w:pStyle w:val="266"/>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sz w:val="28"/>
          <w:lang w:eastAsia="zh-CN"/>
        </w:rPr>
      </w:pPr>
      <w:r>
        <w:rPr>
          <w:rFonts w:hint="eastAsia" w:ascii="楷体" w:hAnsi="楷体" w:eastAsia="楷体" w:cs="楷体"/>
          <w:color w:val="auto"/>
        </w:rPr>
        <w:br w:type="page" w:clear="all"/>
      </w:r>
      <w:bookmarkStart w:id="237" w:name="_Toc13980"/>
      <w:bookmarkStart w:id="238" w:name="_Toc256000068"/>
      <w:r>
        <w:rPr>
          <w:rFonts w:hint="eastAsia" w:ascii="楷体" w:hAnsi="楷体" w:eastAsia="楷体" w:cs="楷体"/>
          <w:color w:val="auto"/>
          <w:sz w:val="28"/>
        </w:rPr>
        <w:t>(四)履行合同所必需的设备和专业技术能力</w:t>
      </w:r>
      <w:bookmarkEnd w:id="237"/>
      <w:bookmarkEnd w:id="238"/>
    </w:p>
    <w:p w14:paraId="586E38B8">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填写下述表格或提供资格承诺函（见本部分资格承诺函）</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6"/>
        <w:gridCol w:w="1422"/>
        <w:gridCol w:w="1278"/>
        <w:gridCol w:w="370"/>
        <w:gridCol w:w="361"/>
        <w:gridCol w:w="673"/>
        <w:gridCol w:w="1043"/>
        <w:gridCol w:w="277"/>
        <w:gridCol w:w="813"/>
        <w:gridCol w:w="1213"/>
      </w:tblGrid>
      <w:tr w14:paraId="3BB6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101" w:type="dxa"/>
            <w:shd w:val="clear" w:color="auto" w:fill="D9D9D9"/>
            <w:noWrap w:val="0"/>
            <w:vAlign w:val="center"/>
          </w:tcPr>
          <w:p w14:paraId="45183A26">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一</w:t>
            </w:r>
          </w:p>
        </w:tc>
        <w:tc>
          <w:tcPr>
            <w:tcW w:w="8481" w:type="dxa"/>
            <w:gridSpan w:val="9"/>
            <w:shd w:val="clear" w:color="auto" w:fill="D9D9D9"/>
            <w:noWrap w:val="0"/>
            <w:vAlign w:val="center"/>
          </w:tcPr>
          <w:p w14:paraId="4F0FFCE7">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公司基本信息</w:t>
            </w:r>
          </w:p>
        </w:tc>
      </w:tr>
      <w:tr w14:paraId="7769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101" w:type="dxa"/>
            <w:noWrap w:val="0"/>
            <w:vAlign w:val="center"/>
          </w:tcPr>
          <w:p w14:paraId="25C0C65D">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1</w:t>
            </w:r>
          </w:p>
        </w:tc>
        <w:tc>
          <w:tcPr>
            <w:tcW w:w="1489" w:type="dxa"/>
            <w:noWrap w:val="0"/>
            <w:vAlign w:val="center"/>
          </w:tcPr>
          <w:p w14:paraId="537AEF88">
            <w:pPr>
              <w:pStyle w:val="267"/>
              <w:spacing w:line="360" w:lineRule="auto"/>
              <w:rPr>
                <w:rFonts w:hint="eastAsia" w:ascii="楷体" w:hAnsi="楷体" w:eastAsia="楷体" w:cs="楷体"/>
                <w:color w:val="auto"/>
                <w:sz w:val="24"/>
                <w:szCs w:val="20"/>
              </w:rPr>
            </w:pPr>
            <w:r>
              <w:rPr>
                <w:rFonts w:hint="eastAsia" w:ascii="楷体" w:hAnsi="楷体" w:eastAsia="楷体" w:cs="楷体"/>
                <w:color w:val="auto"/>
                <w:sz w:val="24"/>
                <w:szCs w:val="20"/>
              </w:rPr>
              <w:t>公司名称</w:t>
            </w:r>
          </w:p>
        </w:tc>
        <w:tc>
          <w:tcPr>
            <w:tcW w:w="6992" w:type="dxa"/>
            <w:gridSpan w:val="8"/>
            <w:noWrap w:val="0"/>
            <w:vAlign w:val="center"/>
          </w:tcPr>
          <w:p w14:paraId="4ACE4018">
            <w:pPr>
              <w:pStyle w:val="267"/>
              <w:spacing w:line="360" w:lineRule="auto"/>
              <w:jc w:val="center"/>
              <w:rPr>
                <w:rFonts w:hint="eastAsia" w:ascii="楷体" w:hAnsi="楷体" w:eastAsia="楷体" w:cs="楷体"/>
                <w:color w:val="auto"/>
                <w:sz w:val="24"/>
                <w:szCs w:val="20"/>
              </w:rPr>
            </w:pPr>
          </w:p>
        </w:tc>
      </w:tr>
      <w:tr w14:paraId="4413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01" w:type="dxa"/>
            <w:noWrap w:val="0"/>
            <w:vAlign w:val="center"/>
          </w:tcPr>
          <w:p w14:paraId="1805A4C1">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2</w:t>
            </w:r>
          </w:p>
        </w:tc>
        <w:tc>
          <w:tcPr>
            <w:tcW w:w="1489" w:type="dxa"/>
            <w:noWrap w:val="0"/>
            <w:vAlign w:val="center"/>
          </w:tcPr>
          <w:p w14:paraId="26122E7D">
            <w:pPr>
              <w:pStyle w:val="267"/>
              <w:spacing w:line="360" w:lineRule="auto"/>
              <w:rPr>
                <w:rFonts w:hint="eastAsia" w:ascii="楷体" w:hAnsi="楷体" w:eastAsia="楷体" w:cs="楷体"/>
                <w:color w:val="auto"/>
                <w:sz w:val="24"/>
                <w:szCs w:val="20"/>
              </w:rPr>
            </w:pPr>
            <w:r>
              <w:rPr>
                <w:rFonts w:hint="eastAsia" w:ascii="楷体" w:hAnsi="楷体" w:eastAsia="楷体" w:cs="楷体"/>
                <w:color w:val="auto"/>
                <w:sz w:val="24"/>
                <w:szCs w:val="20"/>
              </w:rPr>
              <w:t>注册资金</w:t>
            </w:r>
          </w:p>
        </w:tc>
        <w:tc>
          <w:tcPr>
            <w:tcW w:w="1570" w:type="dxa"/>
            <w:noWrap w:val="0"/>
            <w:vAlign w:val="center"/>
          </w:tcPr>
          <w:p w14:paraId="7DD1BAEC">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78923A4C">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3</w:t>
            </w:r>
          </w:p>
        </w:tc>
        <w:tc>
          <w:tcPr>
            <w:tcW w:w="2217" w:type="dxa"/>
            <w:gridSpan w:val="3"/>
            <w:noWrap w:val="0"/>
            <w:vAlign w:val="center"/>
          </w:tcPr>
          <w:p w14:paraId="518D90BD">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公司地址</w:t>
            </w:r>
          </w:p>
        </w:tc>
        <w:tc>
          <w:tcPr>
            <w:tcW w:w="2390" w:type="dxa"/>
            <w:gridSpan w:val="2"/>
            <w:noWrap w:val="0"/>
            <w:vAlign w:val="center"/>
          </w:tcPr>
          <w:p w14:paraId="3BC031A6">
            <w:pPr>
              <w:pStyle w:val="267"/>
              <w:spacing w:line="360" w:lineRule="auto"/>
              <w:jc w:val="center"/>
              <w:rPr>
                <w:rFonts w:hint="eastAsia" w:ascii="楷体" w:hAnsi="楷体" w:eastAsia="楷体" w:cs="楷体"/>
                <w:color w:val="auto"/>
                <w:sz w:val="24"/>
                <w:szCs w:val="20"/>
              </w:rPr>
            </w:pPr>
          </w:p>
        </w:tc>
      </w:tr>
      <w:tr w14:paraId="7CF2E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101" w:type="dxa"/>
            <w:noWrap w:val="0"/>
            <w:vAlign w:val="center"/>
          </w:tcPr>
          <w:p w14:paraId="39F3955A">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4</w:t>
            </w:r>
          </w:p>
        </w:tc>
        <w:tc>
          <w:tcPr>
            <w:tcW w:w="1489" w:type="dxa"/>
            <w:noWrap w:val="0"/>
            <w:vAlign w:val="center"/>
          </w:tcPr>
          <w:p w14:paraId="538C0BB9">
            <w:pPr>
              <w:pStyle w:val="267"/>
              <w:spacing w:line="360" w:lineRule="auto"/>
              <w:rPr>
                <w:rFonts w:hint="eastAsia" w:ascii="楷体" w:hAnsi="楷体" w:eastAsia="楷体" w:cs="楷体"/>
                <w:color w:val="auto"/>
                <w:sz w:val="24"/>
                <w:szCs w:val="20"/>
              </w:rPr>
            </w:pPr>
            <w:r>
              <w:rPr>
                <w:rFonts w:hint="eastAsia" w:ascii="楷体" w:hAnsi="楷体" w:eastAsia="楷体" w:cs="楷体"/>
                <w:color w:val="auto"/>
                <w:sz w:val="24"/>
                <w:szCs w:val="20"/>
              </w:rPr>
              <w:t>从业人数</w:t>
            </w:r>
          </w:p>
        </w:tc>
        <w:tc>
          <w:tcPr>
            <w:tcW w:w="1570" w:type="dxa"/>
            <w:noWrap w:val="0"/>
            <w:vAlign w:val="center"/>
          </w:tcPr>
          <w:p w14:paraId="5C3C0C0D">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38DA6E39">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5</w:t>
            </w:r>
          </w:p>
        </w:tc>
        <w:tc>
          <w:tcPr>
            <w:tcW w:w="2217" w:type="dxa"/>
            <w:gridSpan w:val="3"/>
            <w:noWrap w:val="0"/>
            <w:vAlign w:val="center"/>
          </w:tcPr>
          <w:p w14:paraId="078F8AE4">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法定代表人</w:t>
            </w:r>
          </w:p>
        </w:tc>
        <w:tc>
          <w:tcPr>
            <w:tcW w:w="2390" w:type="dxa"/>
            <w:gridSpan w:val="2"/>
            <w:noWrap w:val="0"/>
            <w:vAlign w:val="center"/>
          </w:tcPr>
          <w:p w14:paraId="6701083E">
            <w:pPr>
              <w:pStyle w:val="267"/>
              <w:spacing w:line="360" w:lineRule="auto"/>
              <w:jc w:val="center"/>
              <w:rPr>
                <w:rFonts w:hint="eastAsia" w:ascii="楷体" w:hAnsi="楷体" w:eastAsia="楷体" w:cs="楷体"/>
                <w:color w:val="auto"/>
                <w:sz w:val="24"/>
                <w:szCs w:val="20"/>
              </w:rPr>
            </w:pPr>
          </w:p>
        </w:tc>
      </w:tr>
      <w:tr w14:paraId="7D2F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01" w:type="dxa"/>
            <w:noWrap w:val="0"/>
            <w:vAlign w:val="center"/>
          </w:tcPr>
          <w:p w14:paraId="704BF81A">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6</w:t>
            </w:r>
          </w:p>
        </w:tc>
        <w:tc>
          <w:tcPr>
            <w:tcW w:w="1489" w:type="dxa"/>
            <w:noWrap w:val="0"/>
            <w:vAlign w:val="center"/>
          </w:tcPr>
          <w:p w14:paraId="28CDD717">
            <w:pPr>
              <w:pStyle w:val="267"/>
              <w:spacing w:line="360" w:lineRule="auto"/>
              <w:rPr>
                <w:rFonts w:hint="eastAsia" w:ascii="楷体" w:hAnsi="楷体" w:eastAsia="楷体" w:cs="楷体"/>
                <w:color w:val="auto"/>
                <w:sz w:val="24"/>
                <w:szCs w:val="20"/>
              </w:rPr>
            </w:pPr>
            <w:r>
              <w:rPr>
                <w:rFonts w:hint="eastAsia" w:ascii="楷体" w:hAnsi="楷体" w:eastAsia="楷体" w:cs="楷体"/>
                <w:color w:val="auto"/>
                <w:sz w:val="24"/>
                <w:szCs w:val="20"/>
              </w:rPr>
              <w:t>开户银行</w:t>
            </w:r>
          </w:p>
        </w:tc>
        <w:tc>
          <w:tcPr>
            <w:tcW w:w="1570" w:type="dxa"/>
            <w:noWrap w:val="0"/>
            <w:vAlign w:val="center"/>
          </w:tcPr>
          <w:p w14:paraId="0127EED8">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4B33E852">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7</w:t>
            </w:r>
          </w:p>
        </w:tc>
        <w:tc>
          <w:tcPr>
            <w:tcW w:w="2217" w:type="dxa"/>
            <w:gridSpan w:val="3"/>
            <w:noWrap w:val="0"/>
            <w:vAlign w:val="center"/>
          </w:tcPr>
          <w:p w14:paraId="730642CE">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账号</w:t>
            </w:r>
          </w:p>
        </w:tc>
        <w:tc>
          <w:tcPr>
            <w:tcW w:w="2390" w:type="dxa"/>
            <w:gridSpan w:val="2"/>
            <w:noWrap w:val="0"/>
            <w:vAlign w:val="center"/>
          </w:tcPr>
          <w:p w14:paraId="364FF0A4">
            <w:pPr>
              <w:pStyle w:val="267"/>
              <w:spacing w:line="360" w:lineRule="auto"/>
              <w:jc w:val="center"/>
              <w:rPr>
                <w:rFonts w:hint="eastAsia" w:ascii="楷体" w:hAnsi="楷体" w:eastAsia="楷体" w:cs="楷体"/>
                <w:color w:val="auto"/>
                <w:sz w:val="24"/>
                <w:szCs w:val="20"/>
              </w:rPr>
            </w:pPr>
          </w:p>
        </w:tc>
      </w:tr>
      <w:tr w14:paraId="5AB9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01" w:type="dxa"/>
            <w:tcBorders>
              <w:bottom w:val="single" w:color="000000" w:sz="4" w:space="0"/>
            </w:tcBorders>
            <w:noWrap w:val="0"/>
            <w:vAlign w:val="center"/>
          </w:tcPr>
          <w:p w14:paraId="12AB43EE">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8</w:t>
            </w:r>
          </w:p>
        </w:tc>
        <w:tc>
          <w:tcPr>
            <w:tcW w:w="1489" w:type="dxa"/>
            <w:tcBorders>
              <w:bottom w:val="single" w:color="000000" w:sz="4" w:space="0"/>
            </w:tcBorders>
            <w:noWrap w:val="0"/>
            <w:vAlign w:val="center"/>
          </w:tcPr>
          <w:p w14:paraId="03B5EDCC">
            <w:pPr>
              <w:pStyle w:val="267"/>
              <w:spacing w:line="360" w:lineRule="auto"/>
              <w:rPr>
                <w:rFonts w:hint="eastAsia" w:ascii="楷体" w:hAnsi="楷体" w:eastAsia="楷体" w:cs="楷体"/>
                <w:color w:val="auto"/>
                <w:sz w:val="24"/>
                <w:szCs w:val="20"/>
              </w:rPr>
            </w:pPr>
            <w:r>
              <w:rPr>
                <w:rFonts w:hint="eastAsia" w:ascii="楷体" w:hAnsi="楷体" w:eastAsia="楷体" w:cs="楷体"/>
                <w:color w:val="auto"/>
                <w:sz w:val="24"/>
                <w:szCs w:val="20"/>
              </w:rPr>
              <w:t>项目联系人</w:t>
            </w:r>
          </w:p>
        </w:tc>
        <w:tc>
          <w:tcPr>
            <w:tcW w:w="1570" w:type="dxa"/>
            <w:tcBorders>
              <w:bottom w:val="single" w:color="000000" w:sz="4" w:space="0"/>
            </w:tcBorders>
            <w:noWrap w:val="0"/>
            <w:vAlign w:val="center"/>
          </w:tcPr>
          <w:p w14:paraId="6626BEDB">
            <w:pPr>
              <w:pStyle w:val="267"/>
              <w:spacing w:line="360" w:lineRule="auto"/>
              <w:jc w:val="center"/>
              <w:rPr>
                <w:rFonts w:hint="eastAsia" w:ascii="楷体" w:hAnsi="楷体" w:eastAsia="楷体" w:cs="楷体"/>
                <w:color w:val="auto"/>
                <w:sz w:val="24"/>
                <w:szCs w:val="20"/>
              </w:rPr>
            </w:pPr>
          </w:p>
        </w:tc>
        <w:tc>
          <w:tcPr>
            <w:tcW w:w="815" w:type="dxa"/>
            <w:gridSpan w:val="2"/>
            <w:tcBorders>
              <w:bottom w:val="single" w:color="000000" w:sz="4" w:space="0"/>
            </w:tcBorders>
            <w:noWrap w:val="0"/>
            <w:vAlign w:val="center"/>
          </w:tcPr>
          <w:p w14:paraId="51DCACE2">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9</w:t>
            </w:r>
          </w:p>
        </w:tc>
        <w:tc>
          <w:tcPr>
            <w:tcW w:w="2217" w:type="dxa"/>
            <w:gridSpan w:val="3"/>
            <w:tcBorders>
              <w:bottom w:val="single" w:color="000000" w:sz="4" w:space="0"/>
            </w:tcBorders>
            <w:noWrap w:val="0"/>
            <w:vAlign w:val="center"/>
          </w:tcPr>
          <w:p w14:paraId="714D2F6C">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联系电话</w:t>
            </w:r>
          </w:p>
        </w:tc>
        <w:tc>
          <w:tcPr>
            <w:tcW w:w="2390" w:type="dxa"/>
            <w:gridSpan w:val="2"/>
            <w:tcBorders>
              <w:bottom w:val="single" w:color="000000" w:sz="4" w:space="0"/>
            </w:tcBorders>
            <w:noWrap w:val="0"/>
            <w:vAlign w:val="center"/>
          </w:tcPr>
          <w:p w14:paraId="2EEF0438">
            <w:pPr>
              <w:pStyle w:val="267"/>
              <w:spacing w:line="360" w:lineRule="auto"/>
              <w:jc w:val="center"/>
              <w:rPr>
                <w:rFonts w:hint="eastAsia" w:ascii="楷体" w:hAnsi="楷体" w:eastAsia="楷体" w:cs="楷体"/>
                <w:color w:val="auto"/>
                <w:sz w:val="24"/>
                <w:szCs w:val="20"/>
              </w:rPr>
            </w:pPr>
          </w:p>
        </w:tc>
      </w:tr>
      <w:tr w14:paraId="1232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01" w:type="dxa"/>
            <w:shd w:val="clear" w:color="auto" w:fill="D9D9D9"/>
            <w:noWrap w:val="0"/>
            <w:vAlign w:val="center"/>
          </w:tcPr>
          <w:p w14:paraId="61800982">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二</w:t>
            </w:r>
          </w:p>
        </w:tc>
        <w:tc>
          <w:tcPr>
            <w:tcW w:w="8481" w:type="dxa"/>
            <w:gridSpan w:val="9"/>
            <w:shd w:val="clear" w:color="auto" w:fill="D9D9D9"/>
            <w:noWrap w:val="0"/>
            <w:vAlign w:val="center"/>
          </w:tcPr>
          <w:p w14:paraId="10A54449">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公司财务状况</w:t>
            </w:r>
          </w:p>
        </w:tc>
      </w:tr>
      <w:tr w14:paraId="7725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01" w:type="dxa"/>
            <w:noWrap w:val="0"/>
            <w:vAlign w:val="center"/>
          </w:tcPr>
          <w:p w14:paraId="4ECF941A">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（一）</w:t>
            </w:r>
          </w:p>
        </w:tc>
        <w:tc>
          <w:tcPr>
            <w:tcW w:w="8481" w:type="dxa"/>
            <w:gridSpan w:val="9"/>
            <w:noWrap w:val="0"/>
            <w:vAlign w:val="center"/>
          </w:tcPr>
          <w:p w14:paraId="5495B806">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u w:val="single"/>
              </w:rPr>
              <w:t>××××</w:t>
            </w:r>
            <w:r>
              <w:rPr>
                <w:rFonts w:hint="eastAsia" w:ascii="楷体" w:hAnsi="楷体" w:eastAsia="楷体" w:cs="楷体"/>
                <w:b/>
                <w:color w:val="auto"/>
                <w:sz w:val="24"/>
                <w:szCs w:val="20"/>
              </w:rPr>
              <w:t>年度财务状况</w:t>
            </w:r>
          </w:p>
        </w:tc>
      </w:tr>
      <w:tr w14:paraId="15C8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01" w:type="dxa"/>
            <w:noWrap w:val="0"/>
            <w:vAlign w:val="center"/>
          </w:tcPr>
          <w:p w14:paraId="07391401">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1</w:t>
            </w:r>
          </w:p>
        </w:tc>
        <w:tc>
          <w:tcPr>
            <w:tcW w:w="1489" w:type="dxa"/>
            <w:noWrap w:val="0"/>
            <w:vAlign w:val="center"/>
          </w:tcPr>
          <w:p w14:paraId="0D4F8F05">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营业收入（万）：</w:t>
            </w:r>
          </w:p>
        </w:tc>
        <w:tc>
          <w:tcPr>
            <w:tcW w:w="1570" w:type="dxa"/>
            <w:noWrap w:val="0"/>
            <w:vAlign w:val="center"/>
          </w:tcPr>
          <w:p w14:paraId="26CCB50C">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0BB18DD3">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2</w:t>
            </w:r>
          </w:p>
        </w:tc>
        <w:tc>
          <w:tcPr>
            <w:tcW w:w="2217" w:type="dxa"/>
            <w:gridSpan w:val="3"/>
            <w:noWrap w:val="0"/>
            <w:vAlign w:val="center"/>
          </w:tcPr>
          <w:p w14:paraId="4D2B8E36">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利润总额（万）</w:t>
            </w:r>
          </w:p>
        </w:tc>
        <w:tc>
          <w:tcPr>
            <w:tcW w:w="2390" w:type="dxa"/>
            <w:gridSpan w:val="2"/>
            <w:noWrap w:val="0"/>
            <w:vAlign w:val="center"/>
          </w:tcPr>
          <w:p w14:paraId="4A3F801A">
            <w:pPr>
              <w:pStyle w:val="267"/>
              <w:spacing w:line="360" w:lineRule="auto"/>
              <w:jc w:val="center"/>
              <w:rPr>
                <w:rFonts w:hint="eastAsia" w:ascii="楷体" w:hAnsi="楷体" w:eastAsia="楷体" w:cs="楷体"/>
                <w:color w:val="auto"/>
                <w:sz w:val="24"/>
                <w:szCs w:val="20"/>
              </w:rPr>
            </w:pPr>
          </w:p>
        </w:tc>
      </w:tr>
      <w:tr w14:paraId="10FB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1101" w:type="dxa"/>
            <w:noWrap w:val="0"/>
            <w:vAlign w:val="center"/>
          </w:tcPr>
          <w:p w14:paraId="4B826685">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3</w:t>
            </w:r>
          </w:p>
        </w:tc>
        <w:tc>
          <w:tcPr>
            <w:tcW w:w="1489" w:type="dxa"/>
            <w:noWrap w:val="0"/>
            <w:vAlign w:val="center"/>
          </w:tcPr>
          <w:p w14:paraId="32E86EF8">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年末“固定资产合计”（万）</w:t>
            </w:r>
          </w:p>
        </w:tc>
        <w:tc>
          <w:tcPr>
            <w:tcW w:w="1570" w:type="dxa"/>
            <w:noWrap w:val="0"/>
            <w:vAlign w:val="center"/>
          </w:tcPr>
          <w:p w14:paraId="29988151">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0F1016EB">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4</w:t>
            </w:r>
          </w:p>
        </w:tc>
        <w:tc>
          <w:tcPr>
            <w:tcW w:w="2217" w:type="dxa"/>
            <w:gridSpan w:val="3"/>
            <w:noWrap w:val="0"/>
            <w:vAlign w:val="center"/>
          </w:tcPr>
          <w:p w14:paraId="42E9ADC6">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年末“流动资产”余额（万）</w:t>
            </w:r>
          </w:p>
        </w:tc>
        <w:tc>
          <w:tcPr>
            <w:tcW w:w="2390" w:type="dxa"/>
            <w:gridSpan w:val="2"/>
            <w:noWrap w:val="0"/>
            <w:vAlign w:val="center"/>
          </w:tcPr>
          <w:p w14:paraId="395E372B">
            <w:pPr>
              <w:pStyle w:val="267"/>
              <w:spacing w:line="360" w:lineRule="auto"/>
              <w:jc w:val="center"/>
              <w:rPr>
                <w:rFonts w:hint="eastAsia" w:ascii="楷体" w:hAnsi="楷体" w:eastAsia="楷体" w:cs="楷体"/>
                <w:color w:val="auto"/>
                <w:sz w:val="24"/>
                <w:szCs w:val="20"/>
              </w:rPr>
            </w:pPr>
          </w:p>
        </w:tc>
      </w:tr>
      <w:tr w14:paraId="2C53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1101" w:type="dxa"/>
            <w:noWrap w:val="0"/>
            <w:vAlign w:val="center"/>
          </w:tcPr>
          <w:p w14:paraId="31C9BA9C">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5</w:t>
            </w:r>
          </w:p>
        </w:tc>
        <w:tc>
          <w:tcPr>
            <w:tcW w:w="1489" w:type="dxa"/>
            <w:noWrap w:val="0"/>
            <w:vAlign w:val="center"/>
          </w:tcPr>
          <w:p w14:paraId="1B90C716">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年末“短期负债”余额（万）</w:t>
            </w:r>
          </w:p>
        </w:tc>
        <w:tc>
          <w:tcPr>
            <w:tcW w:w="1570" w:type="dxa"/>
            <w:noWrap w:val="0"/>
            <w:vAlign w:val="center"/>
          </w:tcPr>
          <w:p w14:paraId="59E2C14E">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38E144E0">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6</w:t>
            </w:r>
          </w:p>
        </w:tc>
        <w:tc>
          <w:tcPr>
            <w:tcW w:w="2217" w:type="dxa"/>
            <w:gridSpan w:val="3"/>
            <w:noWrap w:val="0"/>
            <w:vAlign w:val="center"/>
          </w:tcPr>
          <w:p w14:paraId="5D5C3E78">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年末“长期负债”余额（万）</w:t>
            </w:r>
          </w:p>
        </w:tc>
        <w:tc>
          <w:tcPr>
            <w:tcW w:w="2390" w:type="dxa"/>
            <w:gridSpan w:val="2"/>
            <w:noWrap w:val="0"/>
            <w:vAlign w:val="center"/>
          </w:tcPr>
          <w:p w14:paraId="0F470274">
            <w:pPr>
              <w:pStyle w:val="267"/>
              <w:spacing w:line="360" w:lineRule="auto"/>
              <w:jc w:val="center"/>
              <w:rPr>
                <w:rFonts w:hint="eastAsia" w:ascii="楷体" w:hAnsi="楷体" w:eastAsia="楷体" w:cs="楷体"/>
                <w:color w:val="auto"/>
                <w:sz w:val="24"/>
                <w:szCs w:val="20"/>
              </w:rPr>
            </w:pPr>
          </w:p>
        </w:tc>
      </w:tr>
      <w:tr w14:paraId="3739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1101" w:type="dxa"/>
            <w:noWrap w:val="0"/>
            <w:vAlign w:val="center"/>
          </w:tcPr>
          <w:p w14:paraId="21F2B7ED">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7</w:t>
            </w:r>
          </w:p>
        </w:tc>
        <w:tc>
          <w:tcPr>
            <w:tcW w:w="1489" w:type="dxa"/>
            <w:noWrap w:val="0"/>
            <w:vAlign w:val="center"/>
          </w:tcPr>
          <w:p w14:paraId="459A89D4">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年末“资产总计”余额（万）</w:t>
            </w:r>
          </w:p>
        </w:tc>
        <w:tc>
          <w:tcPr>
            <w:tcW w:w="1570" w:type="dxa"/>
            <w:noWrap w:val="0"/>
            <w:vAlign w:val="center"/>
          </w:tcPr>
          <w:p w14:paraId="7C57568C">
            <w:pPr>
              <w:pStyle w:val="267"/>
              <w:spacing w:line="360" w:lineRule="auto"/>
              <w:jc w:val="center"/>
              <w:rPr>
                <w:rFonts w:hint="eastAsia" w:ascii="楷体" w:hAnsi="楷体" w:eastAsia="楷体" w:cs="楷体"/>
                <w:color w:val="auto"/>
                <w:sz w:val="24"/>
                <w:szCs w:val="20"/>
              </w:rPr>
            </w:pPr>
          </w:p>
        </w:tc>
        <w:tc>
          <w:tcPr>
            <w:tcW w:w="815" w:type="dxa"/>
            <w:gridSpan w:val="2"/>
            <w:noWrap w:val="0"/>
            <w:vAlign w:val="center"/>
          </w:tcPr>
          <w:p w14:paraId="11A4616D">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8</w:t>
            </w:r>
          </w:p>
        </w:tc>
        <w:tc>
          <w:tcPr>
            <w:tcW w:w="2217" w:type="dxa"/>
            <w:gridSpan w:val="3"/>
            <w:noWrap w:val="0"/>
            <w:vAlign w:val="center"/>
          </w:tcPr>
          <w:p w14:paraId="66D26069">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年末“货币资金”余额（万）</w:t>
            </w:r>
          </w:p>
        </w:tc>
        <w:tc>
          <w:tcPr>
            <w:tcW w:w="2390" w:type="dxa"/>
            <w:gridSpan w:val="2"/>
            <w:noWrap w:val="0"/>
            <w:vAlign w:val="center"/>
          </w:tcPr>
          <w:p w14:paraId="3DAA16F7">
            <w:pPr>
              <w:pStyle w:val="267"/>
              <w:spacing w:line="360" w:lineRule="auto"/>
              <w:jc w:val="center"/>
              <w:rPr>
                <w:rFonts w:hint="eastAsia" w:ascii="楷体" w:hAnsi="楷体" w:eastAsia="楷体" w:cs="楷体"/>
                <w:color w:val="auto"/>
                <w:sz w:val="24"/>
                <w:szCs w:val="20"/>
              </w:rPr>
            </w:pPr>
          </w:p>
        </w:tc>
      </w:tr>
      <w:tr w14:paraId="0A426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101" w:type="dxa"/>
            <w:shd w:val="clear" w:color="auto" w:fill="D9D9D9"/>
            <w:noWrap w:val="0"/>
            <w:vAlign w:val="center"/>
          </w:tcPr>
          <w:p w14:paraId="46C98774">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三</w:t>
            </w:r>
          </w:p>
        </w:tc>
        <w:tc>
          <w:tcPr>
            <w:tcW w:w="8481" w:type="dxa"/>
            <w:gridSpan w:val="9"/>
            <w:shd w:val="clear" w:color="auto" w:fill="D9D9D9"/>
            <w:noWrap w:val="0"/>
            <w:vAlign w:val="center"/>
          </w:tcPr>
          <w:p w14:paraId="19441BFB">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供应商其他信息</w:t>
            </w:r>
          </w:p>
        </w:tc>
      </w:tr>
      <w:tr w14:paraId="42B5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trPr>
        <w:tc>
          <w:tcPr>
            <w:tcW w:w="1101" w:type="dxa"/>
            <w:noWrap w:val="0"/>
            <w:vAlign w:val="center"/>
          </w:tcPr>
          <w:p w14:paraId="30941D8A">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（一）</w:t>
            </w:r>
          </w:p>
        </w:tc>
        <w:tc>
          <w:tcPr>
            <w:tcW w:w="1489" w:type="dxa"/>
            <w:noWrap w:val="0"/>
            <w:vAlign w:val="center"/>
          </w:tcPr>
          <w:p w14:paraId="58322F65">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公司取得的相关资质及等级：</w:t>
            </w:r>
          </w:p>
        </w:tc>
        <w:tc>
          <w:tcPr>
            <w:tcW w:w="6992" w:type="dxa"/>
            <w:gridSpan w:val="8"/>
            <w:noWrap w:val="0"/>
            <w:vAlign w:val="center"/>
          </w:tcPr>
          <w:p w14:paraId="30081F3C">
            <w:pPr>
              <w:pStyle w:val="267"/>
              <w:spacing w:line="360" w:lineRule="auto"/>
              <w:jc w:val="center"/>
              <w:rPr>
                <w:rFonts w:hint="eastAsia" w:ascii="楷体" w:hAnsi="楷体" w:eastAsia="楷体" w:cs="楷体"/>
                <w:color w:val="auto"/>
                <w:sz w:val="24"/>
                <w:szCs w:val="20"/>
              </w:rPr>
            </w:pPr>
          </w:p>
        </w:tc>
      </w:tr>
      <w:tr w14:paraId="4C49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trPr>
        <w:tc>
          <w:tcPr>
            <w:tcW w:w="1101" w:type="dxa"/>
            <w:noWrap w:val="0"/>
            <w:vAlign w:val="center"/>
          </w:tcPr>
          <w:p w14:paraId="760DBE45">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（二）</w:t>
            </w:r>
          </w:p>
        </w:tc>
        <w:tc>
          <w:tcPr>
            <w:tcW w:w="1489" w:type="dxa"/>
            <w:noWrap w:val="0"/>
            <w:vAlign w:val="center"/>
          </w:tcPr>
          <w:p w14:paraId="4A5A91C7">
            <w:pPr>
              <w:pStyle w:val="267"/>
              <w:spacing w:line="360" w:lineRule="auto"/>
              <w:jc w:val="center"/>
              <w:rPr>
                <w:rFonts w:hint="eastAsia" w:ascii="楷体" w:hAnsi="楷体" w:eastAsia="楷体" w:cs="楷体"/>
                <w:color w:val="auto"/>
                <w:sz w:val="24"/>
                <w:szCs w:val="20"/>
              </w:rPr>
            </w:pPr>
            <w:r>
              <w:rPr>
                <w:rFonts w:hint="eastAsia" w:ascii="楷体" w:hAnsi="楷体" w:eastAsia="楷体" w:cs="楷体"/>
                <w:color w:val="auto"/>
                <w:sz w:val="24"/>
                <w:szCs w:val="20"/>
              </w:rPr>
              <w:t>公司</w:t>
            </w:r>
            <w:r>
              <w:rPr>
                <w:rFonts w:hint="eastAsia" w:ascii="楷体" w:hAnsi="楷体" w:eastAsia="楷体" w:cs="楷体"/>
                <w:b/>
                <w:color w:val="auto"/>
                <w:sz w:val="24"/>
                <w:szCs w:val="20"/>
                <w:u w:val="single"/>
              </w:rPr>
              <w:t>××××</w:t>
            </w:r>
            <w:r>
              <w:rPr>
                <w:rFonts w:hint="eastAsia" w:ascii="楷体" w:hAnsi="楷体" w:eastAsia="楷体" w:cs="楷体"/>
                <w:color w:val="auto"/>
                <w:sz w:val="24"/>
                <w:szCs w:val="20"/>
              </w:rPr>
              <w:t>年度后获得的荣誉及表彰情况</w:t>
            </w:r>
          </w:p>
        </w:tc>
        <w:tc>
          <w:tcPr>
            <w:tcW w:w="6992" w:type="dxa"/>
            <w:gridSpan w:val="8"/>
            <w:noWrap w:val="0"/>
            <w:vAlign w:val="center"/>
          </w:tcPr>
          <w:p w14:paraId="1EE2F652">
            <w:pPr>
              <w:pStyle w:val="267"/>
              <w:spacing w:line="360" w:lineRule="auto"/>
              <w:jc w:val="center"/>
              <w:rPr>
                <w:rFonts w:hint="eastAsia" w:ascii="楷体" w:hAnsi="楷体" w:eastAsia="楷体" w:cs="楷体"/>
                <w:color w:val="auto"/>
                <w:sz w:val="24"/>
                <w:szCs w:val="20"/>
              </w:rPr>
            </w:pPr>
          </w:p>
        </w:tc>
      </w:tr>
      <w:tr w14:paraId="10ED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101" w:type="dxa"/>
            <w:shd w:val="clear" w:color="auto" w:fill="BFBFBF"/>
            <w:noWrap w:val="0"/>
            <w:vAlign w:val="center"/>
          </w:tcPr>
          <w:p w14:paraId="16888933">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四</w:t>
            </w:r>
          </w:p>
        </w:tc>
        <w:tc>
          <w:tcPr>
            <w:tcW w:w="8481" w:type="dxa"/>
            <w:gridSpan w:val="9"/>
            <w:shd w:val="clear" w:color="auto" w:fill="BFBFBF"/>
            <w:noWrap w:val="0"/>
            <w:vAlign w:val="center"/>
          </w:tcPr>
          <w:p w14:paraId="2B85E3D1">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 xml:space="preserve">提供本项目服务所必须的专业设备一览表 </w:t>
            </w:r>
          </w:p>
        </w:tc>
      </w:tr>
      <w:tr w14:paraId="65C84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101" w:type="dxa"/>
            <w:shd w:val="clear" w:color="auto" w:fill="FFFFFF"/>
            <w:noWrap w:val="0"/>
            <w:vAlign w:val="center"/>
          </w:tcPr>
          <w:p w14:paraId="5C0C4676">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序号</w:t>
            </w:r>
          </w:p>
        </w:tc>
        <w:tc>
          <w:tcPr>
            <w:tcW w:w="3473" w:type="dxa"/>
            <w:gridSpan w:val="3"/>
            <w:shd w:val="clear" w:color="auto" w:fill="FFFFFF"/>
            <w:noWrap w:val="0"/>
            <w:vAlign w:val="center"/>
          </w:tcPr>
          <w:p w14:paraId="649EDC5C">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品牌、型号及主要参数配置简述</w:t>
            </w:r>
          </w:p>
        </w:tc>
        <w:tc>
          <w:tcPr>
            <w:tcW w:w="1194" w:type="dxa"/>
            <w:gridSpan w:val="2"/>
            <w:shd w:val="clear" w:color="auto" w:fill="FFFFFF"/>
            <w:noWrap w:val="0"/>
            <w:vAlign w:val="center"/>
          </w:tcPr>
          <w:p w14:paraId="65FDEF81">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购置年份</w:t>
            </w:r>
          </w:p>
        </w:tc>
        <w:tc>
          <w:tcPr>
            <w:tcW w:w="1127" w:type="dxa"/>
            <w:shd w:val="clear" w:color="auto" w:fill="FFFFFF"/>
            <w:noWrap w:val="0"/>
            <w:vAlign w:val="center"/>
          </w:tcPr>
          <w:p w14:paraId="0A1D596B">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价格</w:t>
            </w:r>
          </w:p>
        </w:tc>
        <w:tc>
          <w:tcPr>
            <w:tcW w:w="1265" w:type="dxa"/>
            <w:gridSpan w:val="2"/>
            <w:shd w:val="clear" w:color="auto" w:fill="FFFFFF"/>
            <w:noWrap w:val="0"/>
            <w:vAlign w:val="center"/>
          </w:tcPr>
          <w:p w14:paraId="560435A9">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数量</w:t>
            </w:r>
          </w:p>
        </w:tc>
        <w:tc>
          <w:tcPr>
            <w:tcW w:w="1422" w:type="dxa"/>
            <w:shd w:val="clear" w:color="auto" w:fill="FFFFFF"/>
            <w:noWrap w:val="0"/>
            <w:vAlign w:val="center"/>
          </w:tcPr>
          <w:p w14:paraId="28A159FC">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用途</w:t>
            </w:r>
          </w:p>
        </w:tc>
      </w:tr>
      <w:tr w14:paraId="1EDD0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1101" w:type="dxa"/>
            <w:shd w:val="clear" w:color="auto" w:fill="FFFFFF"/>
            <w:noWrap w:val="0"/>
            <w:vAlign w:val="center"/>
          </w:tcPr>
          <w:p w14:paraId="496741DA">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1</w:t>
            </w:r>
          </w:p>
        </w:tc>
        <w:tc>
          <w:tcPr>
            <w:tcW w:w="3473" w:type="dxa"/>
            <w:gridSpan w:val="3"/>
            <w:shd w:val="clear" w:color="auto" w:fill="FFFFFF"/>
            <w:noWrap w:val="0"/>
            <w:vAlign w:val="center"/>
          </w:tcPr>
          <w:p w14:paraId="28C32667">
            <w:pPr>
              <w:pStyle w:val="267"/>
              <w:spacing w:line="360" w:lineRule="auto"/>
              <w:jc w:val="center"/>
              <w:rPr>
                <w:rFonts w:hint="eastAsia" w:ascii="楷体" w:hAnsi="楷体" w:eastAsia="楷体" w:cs="楷体"/>
                <w:b/>
                <w:color w:val="auto"/>
                <w:sz w:val="24"/>
                <w:szCs w:val="20"/>
              </w:rPr>
            </w:pPr>
          </w:p>
        </w:tc>
        <w:tc>
          <w:tcPr>
            <w:tcW w:w="1194" w:type="dxa"/>
            <w:gridSpan w:val="2"/>
            <w:shd w:val="clear" w:color="auto" w:fill="FFFFFF"/>
            <w:noWrap w:val="0"/>
            <w:vAlign w:val="center"/>
          </w:tcPr>
          <w:p w14:paraId="05C9D62F">
            <w:pPr>
              <w:pStyle w:val="267"/>
              <w:spacing w:line="360" w:lineRule="auto"/>
              <w:jc w:val="center"/>
              <w:rPr>
                <w:rFonts w:hint="eastAsia" w:ascii="楷体" w:hAnsi="楷体" w:eastAsia="楷体" w:cs="楷体"/>
                <w:b/>
                <w:color w:val="auto"/>
                <w:sz w:val="24"/>
                <w:szCs w:val="20"/>
              </w:rPr>
            </w:pPr>
          </w:p>
        </w:tc>
        <w:tc>
          <w:tcPr>
            <w:tcW w:w="1127" w:type="dxa"/>
            <w:shd w:val="clear" w:color="auto" w:fill="FFFFFF"/>
            <w:noWrap w:val="0"/>
            <w:vAlign w:val="center"/>
          </w:tcPr>
          <w:p w14:paraId="0E844EE6">
            <w:pPr>
              <w:pStyle w:val="267"/>
              <w:spacing w:line="360" w:lineRule="auto"/>
              <w:jc w:val="center"/>
              <w:rPr>
                <w:rFonts w:hint="eastAsia" w:ascii="楷体" w:hAnsi="楷体" w:eastAsia="楷体" w:cs="楷体"/>
                <w:b/>
                <w:color w:val="auto"/>
                <w:sz w:val="24"/>
                <w:szCs w:val="20"/>
              </w:rPr>
            </w:pPr>
          </w:p>
        </w:tc>
        <w:tc>
          <w:tcPr>
            <w:tcW w:w="1265" w:type="dxa"/>
            <w:gridSpan w:val="2"/>
            <w:shd w:val="clear" w:color="auto" w:fill="FFFFFF"/>
            <w:noWrap w:val="0"/>
            <w:vAlign w:val="center"/>
          </w:tcPr>
          <w:p w14:paraId="1B523CCE">
            <w:pPr>
              <w:pStyle w:val="267"/>
              <w:spacing w:line="360" w:lineRule="auto"/>
              <w:jc w:val="center"/>
              <w:rPr>
                <w:rFonts w:hint="eastAsia" w:ascii="楷体" w:hAnsi="楷体" w:eastAsia="楷体" w:cs="楷体"/>
                <w:b/>
                <w:color w:val="auto"/>
                <w:sz w:val="24"/>
                <w:szCs w:val="20"/>
              </w:rPr>
            </w:pPr>
          </w:p>
        </w:tc>
        <w:tc>
          <w:tcPr>
            <w:tcW w:w="1422" w:type="dxa"/>
            <w:shd w:val="clear" w:color="auto" w:fill="FFFFFF"/>
            <w:noWrap w:val="0"/>
            <w:vAlign w:val="center"/>
          </w:tcPr>
          <w:p w14:paraId="038B5DA4">
            <w:pPr>
              <w:pStyle w:val="267"/>
              <w:spacing w:line="360" w:lineRule="auto"/>
              <w:jc w:val="center"/>
              <w:rPr>
                <w:rFonts w:hint="eastAsia" w:ascii="楷体" w:hAnsi="楷体" w:eastAsia="楷体" w:cs="楷体"/>
                <w:b/>
                <w:color w:val="auto"/>
                <w:sz w:val="24"/>
                <w:szCs w:val="20"/>
              </w:rPr>
            </w:pPr>
          </w:p>
        </w:tc>
      </w:tr>
      <w:tr w14:paraId="7DEDE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101" w:type="dxa"/>
            <w:shd w:val="clear" w:color="auto" w:fill="FFFFFF"/>
            <w:noWrap w:val="0"/>
            <w:vAlign w:val="center"/>
          </w:tcPr>
          <w:p w14:paraId="35F2E109">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2</w:t>
            </w:r>
          </w:p>
        </w:tc>
        <w:tc>
          <w:tcPr>
            <w:tcW w:w="3473" w:type="dxa"/>
            <w:gridSpan w:val="3"/>
            <w:shd w:val="clear" w:color="auto" w:fill="FFFFFF"/>
            <w:noWrap w:val="0"/>
            <w:vAlign w:val="center"/>
          </w:tcPr>
          <w:p w14:paraId="655A84A1">
            <w:pPr>
              <w:pStyle w:val="267"/>
              <w:spacing w:line="360" w:lineRule="auto"/>
              <w:jc w:val="center"/>
              <w:rPr>
                <w:rFonts w:hint="eastAsia" w:ascii="楷体" w:hAnsi="楷体" w:eastAsia="楷体" w:cs="楷体"/>
                <w:b/>
                <w:color w:val="auto"/>
                <w:sz w:val="24"/>
                <w:szCs w:val="20"/>
              </w:rPr>
            </w:pPr>
          </w:p>
        </w:tc>
        <w:tc>
          <w:tcPr>
            <w:tcW w:w="1194" w:type="dxa"/>
            <w:gridSpan w:val="2"/>
            <w:shd w:val="clear" w:color="auto" w:fill="FFFFFF"/>
            <w:noWrap w:val="0"/>
            <w:vAlign w:val="center"/>
          </w:tcPr>
          <w:p w14:paraId="24A34FCB">
            <w:pPr>
              <w:pStyle w:val="267"/>
              <w:spacing w:line="360" w:lineRule="auto"/>
              <w:jc w:val="center"/>
              <w:rPr>
                <w:rFonts w:hint="eastAsia" w:ascii="楷体" w:hAnsi="楷体" w:eastAsia="楷体" w:cs="楷体"/>
                <w:b/>
                <w:color w:val="auto"/>
                <w:sz w:val="24"/>
                <w:szCs w:val="20"/>
              </w:rPr>
            </w:pPr>
          </w:p>
        </w:tc>
        <w:tc>
          <w:tcPr>
            <w:tcW w:w="1127" w:type="dxa"/>
            <w:shd w:val="clear" w:color="auto" w:fill="FFFFFF"/>
            <w:noWrap w:val="0"/>
            <w:vAlign w:val="center"/>
          </w:tcPr>
          <w:p w14:paraId="63654646">
            <w:pPr>
              <w:pStyle w:val="267"/>
              <w:spacing w:line="360" w:lineRule="auto"/>
              <w:jc w:val="center"/>
              <w:rPr>
                <w:rFonts w:hint="eastAsia" w:ascii="楷体" w:hAnsi="楷体" w:eastAsia="楷体" w:cs="楷体"/>
                <w:b/>
                <w:color w:val="auto"/>
                <w:sz w:val="24"/>
                <w:szCs w:val="20"/>
              </w:rPr>
            </w:pPr>
          </w:p>
        </w:tc>
        <w:tc>
          <w:tcPr>
            <w:tcW w:w="1265" w:type="dxa"/>
            <w:gridSpan w:val="2"/>
            <w:shd w:val="clear" w:color="auto" w:fill="FFFFFF"/>
            <w:noWrap w:val="0"/>
            <w:vAlign w:val="center"/>
          </w:tcPr>
          <w:p w14:paraId="621384EF">
            <w:pPr>
              <w:pStyle w:val="267"/>
              <w:spacing w:line="360" w:lineRule="auto"/>
              <w:jc w:val="center"/>
              <w:rPr>
                <w:rFonts w:hint="eastAsia" w:ascii="楷体" w:hAnsi="楷体" w:eastAsia="楷体" w:cs="楷体"/>
                <w:b/>
                <w:color w:val="auto"/>
                <w:sz w:val="24"/>
                <w:szCs w:val="20"/>
              </w:rPr>
            </w:pPr>
          </w:p>
        </w:tc>
        <w:tc>
          <w:tcPr>
            <w:tcW w:w="1422" w:type="dxa"/>
            <w:shd w:val="clear" w:color="auto" w:fill="FFFFFF"/>
            <w:noWrap w:val="0"/>
            <w:vAlign w:val="center"/>
          </w:tcPr>
          <w:p w14:paraId="0E9F68D7">
            <w:pPr>
              <w:pStyle w:val="267"/>
              <w:spacing w:line="360" w:lineRule="auto"/>
              <w:jc w:val="center"/>
              <w:rPr>
                <w:rFonts w:hint="eastAsia" w:ascii="楷体" w:hAnsi="楷体" w:eastAsia="楷体" w:cs="楷体"/>
                <w:b/>
                <w:color w:val="auto"/>
                <w:sz w:val="24"/>
                <w:szCs w:val="20"/>
              </w:rPr>
            </w:pPr>
          </w:p>
        </w:tc>
      </w:tr>
      <w:tr w14:paraId="4E8A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01" w:type="dxa"/>
            <w:shd w:val="clear" w:color="auto" w:fill="FFFFFF"/>
            <w:noWrap w:val="0"/>
            <w:vAlign w:val="center"/>
          </w:tcPr>
          <w:p w14:paraId="47F40DCE">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3</w:t>
            </w:r>
          </w:p>
        </w:tc>
        <w:tc>
          <w:tcPr>
            <w:tcW w:w="3473" w:type="dxa"/>
            <w:gridSpan w:val="3"/>
            <w:shd w:val="clear" w:color="auto" w:fill="FFFFFF"/>
            <w:noWrap w:val="0"/>
            <w:vAlign w:val="center"/>
          </w:tcPr>
          <w:p w14:paraId="3A6A6920">
            <w:pPr>
              <w:pStyle w:val="267"/>
              <w:spacing w:line="360" w:lineRule="auto"/>
              <w:jc w:val="center"/>
              <w:rPr>
                <w:rFonts w:hint="eastAsia" w:ascii="楷体" w:hAnsi="楷体" w:eastAsia="楷体" w:cs="楷体"/>
                <w:b/>
                <w:color w:val="auto"/>
                <w:sz w:val="24"/>
                <w:szCs w:val="20"/>
              </w:rPr>
            </w:pPr>
          </w:p>
        </w:tc>
        <w:tc>
          <w:tcPr>
            <w:tcW w:w="1194" w:type="dxa"/>
            <w:gridSpan w:val="2"/>
            <w:shd w:val="clear" w:color="auto" w:fill="FFFFFF"/>
            <w:noWrap w:val="0"/>
            <w:vAlign w:val="center"/>
          </w:tcPr>
          <w:p w14:paraId="7E20313F">
            <w:pPr>
              <w:pStyle w:val="267"/>
              <w:spacing w:line="360" w:lineRule="auto"/>
              <w:jc w:val="center"/>
              <w:rPr>
                <w:rFonts w:hint="eastAsia" w:ascii="楷体" w:hAnsi="楷体" w:eastAsia="楷体" w:cs="楷体"/>
                <w:b/>
                <w:color w:val="auto"/>
                <w:sz w:val="24"/>
                <w:szCs w:val="20"/>
              </w:rPr>
            </w:pPr>
          </w:p>
        </w:tc>
        <w:tc>
          <w:tcPr>
            <w:tcW w:w="1127" w:type="dxa"/>
            <w:shd w:val="clear" w:color="auto" w:fill="FFFFFF"/>
            <w:noWrap w:val="0"/>
            <w:vAlign w:val="center"/>
          </w:tcPr>
          <w:p w14:paraId="2E8BA139">
            <w:pPr>
              <w:pStyle w:val="267"/>
              <w:spacing w:line="360" w:lineRule="auto"/>
              <w:jc w:val="center"/>
              <w:rPr>
                <w:rFonts w:hint="eastAsia" w:ascii="楷体" w:hAnsi="楷体" w:eastAsia="楷体" w:cs="楷体"/>
                <w:b/>
                <w:color w:val="auto"/>
                <w:sz w:val="24"/>
                <w:szCs w:val="20"/>
              </w:rPr>
            </w:pPr>
          </w:p>
        </w:tc>
        <w:tc>
          <w:tcPr>
            <w:tcW w:w="1265" w:type="dxa"/>
            <w:gridSpan w:val="2"/>
            <w:shd w:val="clear" w:color="auto" w:fill="FFFFFF"/>
            <w:noWrap w:val="0"/>
            <w:vAlign w:val="center"/>
          </w:tcPr>
          <w:p w14:paraId="794649B4">
            <w:pPr>
              <w:pStyle w:val="267"/>
              <w:spacing w:line="360" w:lineRule="auto"/>
              <w:jc w:val="center"/>
              <w:rPr>
                <w:rFonts w:hint="eastAsia" w:ascii="楷体" w:hAnsi="楷体" w:eastAsia="楷体" w:cs="楷体"/>
                <w:b/>
                <w:color w:val="auto"/>
                <w:sz w:val="24"/>
                <w:szCs w:val="20"/>
              </w:rPr>
            </w:pPr>
          </w:p>
        </w:tc>
        <w:tc>
          <w:tcPr>
            <w:tcW w:w="1422" w:type="dxa"/>
            <w:shd w:val="clear" w:color="auto" w:fill="FFFFFF"/>
            <w:noWrap w:val="0"/>
            <w:vAlign w:val="center"/>
          </w:tcPr>
          <w:p w14:paraId="2DF610D7">
            <w:pPr>
              <w:pStyle w:val="267"/>
              <w:spacing w:line="360" w:lineRule="auto"/>
              <w:jc w:val="center"/>
              <w:rPr>
                <w:rFonts w:hint="eastAsia" w:ascii="楷体" w:hAnsi="楷体" w:eastAsia="楷体" w:cs="楷体"/>
                <w:b/>
                <w:color w:val="auto"/>
                <w:sz w:val="24"/>
                <w:szCs w:val="20"/>
              </w:rPr>
            </w:pPr>
          </w:p>
        </w:tc>
      </w:tr>
      <w:tr w14:paraId="7E156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101" w:type="dxa"/>
            <w:tcBorders>
              <w:bottom w:val="single" w:color="000000" w:sz="4" w:space="0"/>
            </w:tcBorders>
            <w:shd w:val="clear" w:color="auto" w:fill="FFFFFF"/>
            <w:noWrap w:val="0"/>
            <w:vAlign w:val="center"/>
          </w:tcPr>
          <w:p w14:paraId="1C5BFF73">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w:t>
            </w:r>
          </w:p>
        </w:tc>
        <w:tc>
          <w:tcPr>
            <w:tcW w:w="3473" w:type="dxa"/>
            <w:gridSpan w:val="3"/>
            <w:tcBorders>
              <w:bottom w:val="single" w:color="000000" w:sz="4" w:space="0"/>
            </w:tcBorders>
            <w:shd w:val="clear" w:color="auto" w:fill="FFFFFF"/>
            <w:noWrap w:val="0"/>
            <w:vAlign w:val="center"/>
          </w:tcPr>
          <w:p w14:paraId="0ACE1282">
            <w:pPr>
              <w:pStyle w:val="267"/>
              <w:spacing w:line="360" w:lineRule="auto"/>
              <w:jc w:val="center"/>
              <w:rPr>
                <w:rFonts w:hint="eastAsia" w:ascii="楷体" w:hAnsi="楷体" w:eastAsia="楷体" w:cs="楷体"/>
                <w:b/>
                <w:color w:val="auto"/>
                <w:sz w:val="24"/>
                <w:szCs w:val="20"/>
              </w:rPr>
            </w:pPr>
          </w:p>
        </w:tc>
        <w:tc>
          <w:tcPr>
            <w:tcW w:w="1194" w:type="dxa"/>
            <w:gridSpan w:val="2"/>
            <w:tcBorders>
              <w:bottom w:val="single" w:color="000000" w:sz="4" w:space="0"/>
            </w:tcBorders>
            <w:shd w:val="clear" w:color="auto" w:fill="FFFFFF"/>
            <w:noWrap w:val="0"/>
            <w:vAlign w:val="center"/>
          </w:tcPr>
          <w:p w14:paraId="570AC4FC">
            <w:pPr>
              <w:pStyle w:val="267"/>
              <w:spacing w:line="360" w:lineRule="auto"/>
              <w:jc w:val="center"/>
              <w:rPr>
                <w:rFonts w:hint="eastAsia" w:ascii="楷体" w:hAnsi="楷体" w:eastAsia="楷体" w:cs="楷体"/>
                <w:b/>
                <w:color w:val="auto"/>
                <w:sz w:val="24"/>
                <w:szCs w:val="20"/>
              </w:rPr>
            </w:pPr>
          </w:p>
        </w:tc>
        <w:tc>
          <w:tcPr>
            <w:tcW w:w="1127" w:type="dxa"/>
            <w:tcBorders>
              <w:bottom w:val="single" w:color="000000" w:sz="4" w:space="0"/>
            </w:tcBorders>
            <w:shd w:val="clear" w:color="auto" w:fill="FFFFFF"/>
            <w:noWrap w:val="0"/>
            <w:vAlign w:val="center"/>
          </w:tcPr>
          <w:p w14:paraId="33BD24FE">
            <w:pPr>
              <w:pStyle w:val="267"/>
              <w:spacing w:line="360" w:lineRule="auto"/>
              <w:jc w:val="center"/>
              <w:rPr>
                <w:rFonts w:hint="eastAsia" w:ascii="楷体" w:hAnsi="楷体" w:eastAsia="楷体" w:cs="楷体"/>
                <w:b/>
                <w:color w:val="auto"/>
                <w:sz w:val="24"/>
                <w:szCs w:val="20"/>
              </w:rPr>
            </w:pPr>
          </w:p>
        </w:tc>
        <w:tc>
          <w:tcPr>
            <w:tcW w:w="1265" w:type="dxa"/>
            <w:gridSpan w:val="2"/>
            <w:tcBorders>
              <w:bottom w:val="single" w:color="000000" w:sz="4" w:space="0"/>
            </w:tcBorders>
            <w:shd w:val="clear" w:color="auto" w:fill="FFFFFF"/>
            <w:noWrap w:val="0"/>
            <w:vAlign w:val="center"/>
          </w:tcPr>
          <w:p w14:paraId="748A2E3E">
            <w:pPr>
              <w:pStyle w:val="267"/>
              <w:spacing w:line="360" w:lineRule="auto"/>
              <w:jc w:val="center"/>
              <w:rPr>
                <w:rFonts w:hint="eastAsia" w:ascii="楷体" w:hAnsi="楷体" w:eastAsia="楷体" w:cs="楷体"/>
                <w:b/>
                <w:color w:val="auto"/>
                <w:sz w:val="24"/>
                <w:szCs w:val="20"/>
              </w:rPr>
            </w:pPr>
          </w:p>
        </w:tc>
        <w:tc>
          <w:tcPr>
            <w:tcW w:w="1422" w:type="dxa"/>
            <w:tcBorders>
              <w:bottom w:val="single" w:color="000000" w:sz="4" w:space="0"/>
            </w:tcBorders>
            <w:shd w:val="clear" w:color="auto" w:fill="FFFFFF"/>
            <w:noWrap w:val="0"/>
            <w:vAlign w:val="center"/>
          </w:tcPr>
          <w:p w14:paraId="08EA6D13">
            <w:pPr>
              <w:pStyle w:val="267"/>
              <w:spacing w:line="360" w:lineRule="auto"/>
              <w:jc w:val="center"/>
              <w:rPr>
                <w:rFonts w:hint="eastAsia" w:ascii="楷体" w:hAnsi="楷体" w:eastAsia="楷体" w:cs="楷体"/>
                <w:b/>
                <w:color w:val="auto"/>
                <w:sz w:val="24"/>
                <w:szCs w:val="20"/>
              </w:rPr>
            </w:pPr>
          </w:p>
        </w:tc>
      </w:tr>
      <w:tr w14:paraId="5576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101" w:type="dxa"/>
            <w:shd w:val="clear" w:color="auto" w:fill="BFBFBF"/>
            <w:noWrap w:val="0"/>
            <w:vAlign w:val="center"/>
          </w:tcPr>
          <w:p w14:paraId="3BC56713">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五</w:t>
            </w:r>
          </w:p>
        </w:tc>
        <w:tc>
          <w:tcPr>
            <w:tcW w:w="8481" w:type="dxa"/>
            <w:gridSpan w:val="9"/>
            <w:shd w:val="clear" w:color="auto" w:fill="BFBFBF"/>
            <w:noWrap w:val="0"/>
            <w:vAlign w:val="center"/>
          </w:tcPr>
          <w:p w14:paraId="2EEFBBC6">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提供本项目服务所必须的专业技术能力</w:t>
            </w:r>
          </w:p>
        </w:tc>
      </w:tr>
      <w:tr w14:paraId="79F7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trPr>
        <w:tc>
          <w:tcPr>
            <w:tcW w:w="9582" w:type="dxa"/>
            <w:gridSpan w:val="10"/>
            <w:shd w:val="clear" w:color="auto" w:fill="FFFFFF"/>
            <w:noWrap w:val="0"/>
            <w:vAlign w:val="center"/>
          </w:tcPr>
          <w:p w14:paraId="46AC2281">
            <w:pPr>
              <w:pStyle w:val="267"/>
              <w:spacing w:line="360" w:lineRule="auto"/>
              <w:jc w:val="center"/>
              <w:rPr>
                <w:rFonts w:hint="eastAsia" w:ascii="楷体" w:hAnsi="楷体" w:eastAsia="楷体" w:cs="楷体"/>
                <w:b/>
                <w:color w:val="auto"/>
                <w:sz w:val="24"/>
                <w:szCs w:val="20"/>
              </w:rPr>
            </w:pPr>
            <w:r>
              <w:rPr>
                <w:rFonts w:hint="eastAsia" w:ascii="楷体" w:hAnsi="楷体" w:eastAsia="楷体" w:cs="楷体"/>
                <w:b/>
                <w:color w:val="auto"/>
                <w:sz w:val="24"/>
                <w:szCs w:val="20"/>
              </w:rPr>
              <w:t xml:space="preserve"> </w:t>
            </w:r>
          </w:p>
        </w:tc>
      </w:tr>
    </w:tbl>
    <w:p w14:paraId="191D925B">
      <w:pPr>
        <w:pStyle w:val="267"/>
        <w:widowControl/>
        <w:spacing w:line="400" w:lineRule="exact"/>
        <w:jc w:val="left"/>
        <w:rPr>
          <w:rFonts w:hint="eastAsia" w:ascii="楷体" w:hAnsi="楷体" w:eastAsia="楷体" w:cs="楷体"/>
          <w:b/>
          <w:bCs/>
          <w:color w:val="auto"/>
          <w:sz w:val="32"/>
          <w:szCs w:val="32"/>
        </w:rPr>
      </w:pPr>
    </w:p>
    <w:p w14:paraId="0C2737A6">
      <w:pPr>
        <w:pStyle w:val="267"/>
        <w:spacing w:line="360" w:lineRule="auto"/>
        <w:rPr>
          <w:rFonts w:hint="eastAsia" w:ascii="楷体" w:hAnsi="楷体" w:eastAsia="楷体" w:cs="楷体"/>
          <w:color w:val="auto"/>
          <w:sz w:val="24"/>
          <w:u w:val="single"/>
        </w:rPr>
      </w:pPr>
      <w:r>
        <w:rPr>
          <w:rFonts w:hint="eastAsia" w:ascii="楷体" w:hAnsi="楷体" w:eastAsia="楷体" w:cs="楷体"/>
          <w:color w:val="auto"/>
          <w:sz w:val="24"/>
        </w:rPr>
        <w:t>注：1、</w:t>
      </w:r>
      <w:r>
        <w:rPr>
          <w:rFonts w:hint="eastAsia" w:ascii="楷体" w:hAnsi="楷体" w:eastAsia="楷体" w:cs="楷体"/>
          <w:color w:val="auto"/>
          <w:sz w:val="24"/>
          <w:u w:val="single"/>
        </w:rPr>
        <w:t>如行数不够请自行添加。</w:t>
      </w:r>
    </w:p>
    <w:p w14:paraId="482FBF9A">
      <w:pPr>
        <w:pStyle w:val="268"/>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r>
        <w:rPr>
          <w:rFonts w:hint="eastAsia" w:ascii="楷体" w:hAnsi="楷体" w:eastAsia="楷体" w:cs="楷体"/>
          <w:color w:val="auto"/>
        </w:rPr>
        <w:br w:type="page" w:clear="all"/>
      </w:r>
      <w:bookmarkStart w:id="239" w:name="_Toc256000069"/>
      <w:bookmarkStart w:id="240" w:name="_Toc16911"/>
      <w:r>
        <w:rPr>
          <w:rFonts w:hint="eastAsia" w:ascii="楷体" w:hAnsi="楷体" w:eastAsia="楷体" w:cs="楷体"/>
          <w:color w:val="auto"/>
          <w:sz w:val="28"/>
        </w:rPr>
        <w:t>(五)依法缴纳税收和社会保障资金的良好记录</w:t>
      </w:r>
      <w:bookmarkEnd w:id="239"/>
      <w:bookmarkEnd w:id="240"/>
    </w:p>
    <w:p w14:paraId="697CDFFD">
      <w:pPr>
        <w:spacing w:line="440" w:lineRule="exact"/>
        <w:ind w:firstLine="420"/>
        <w:rPr>
          <w:rFonts w:hint="eastAsia" w:ascii="楷体" w:hAnsi="楷体" w:eastAsia="楷体" w:cs="楷体"/>
          <w:color w:val="auto"/>
          <w:sz w:val="24"/>
          <w:szCs w:val="28"/>
          <w:highlight w:val="white"/>
        </w:rPr>
      </w:pPr>
      <w:r>
        <w:rPr>
          <w:rFonts w:hint="eastAsia" w:ascii="楷体" w:hAnsi="楷体" w:eastAsia="楷体" w:cs="楷体"/>
          <w:color w:val="auto"/>
        </w:rPr>
        <w:t xml:space="preserve"> </w:t>
      </w:r>
      <w:r>
        <w:rPr>
          <w:rFonts w:hint="eastAsia" w:ascii="楷体" w:hAnsi="楷体" w:eastAsia="楷体" w:cs="楷体"/>
          <w:color w:val="auto"/>
          <w:sz w:val="24"/>
          <w:szCs w:val="28"/>
          <w:highlight w:val="white"/>
        </w:rPr>
        <w:t>[提供参加本次采购活动前半年内至少一个月依法缴纳税收和社会保险的凭据或资格承诺函（格式见第六部分）]；</w:t>
      </w:r>
    </w:p>
    <w:p w14:paraId="5C057E84">
      <w:pPr>
        <w:pStyle w:val="269"/>
        <w:rPr>
          <w:rFonts w:hint="eastAsia" w:ascii="楷体" w:hAnsi="楷体" w:eastAsia="楷体" w:cs="楷体"/>
          <w:color w:val="auto"/>
        </w:rPr>
      </w:pPr>
    </w:p>
    <w:p w14:paraId="5390009A">
      <w:pPr>
        <w:keepNext w:val="0"/>
        <w:keepLines w:val="0"/>
        <w:pageBreakBefore w:val="0"/>
        <w:widowControl w:val="0"/>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r>
        <w:rPr>
          <w:rFonts w:hint="eastAsia" w:ascii="楷体" w:hAnsi="楷体" w:eastAsia="楷体" w:cs="楷体"/>
          <w:color w:val="auto"/>
        </w:rPr>
        <w:br w:type="page" w:clear="all"/>
      </w:r>
      <w:bookmarkStart w:id="241" w:name="_Toc256000071"/>
      <w:bookmarkStart w:id="242" w:name="_Toc13330"/>
      <w:r>
        <w:rPr>
          <w:rFonts w:hint="eastAsia" w:ascii="楷体" w:hAnsi="楷体" w:eastAsia="楷体" w:cs="楷体"/>
          <w:color w:val="auto"/>
          <w:sz w:val="28"/>
          <w:szCs w:val="24"/>
          <w:lang w:bidi="ar-SA"/>
        </w:rPr>
        <w:t>(</w:t>
      </w:r>
      <w:r>
        <w:rPr>
          <w:rFonts w:hint="eastAsia" w:ascii="楷体" w:hAnsi="楷体" w:eastAsia="楷体" w:cs="楷体"/>
          <w:color w:val="auto"/>
          <w:sz w:val="28"/>
          <w:szCs w:val="24"/>
          <w:lang w:eastAsia="zh-CN" w:bidi="ar-SA"/>
        </w:rPr>
        <w:t>六</w:t>
      </w:r>
      <w:r>
        <w:rPr>
          <w:rFonts w:hint="eastAsia" w:ascii="楷体" w:hAnsi="楷体" w:eastAsia="楷体" w:cs="楷体"/>
          <w:color w:val="auto"/>
          <w:sz w:val="28"/>
          <w:szCs w:val="24"/>
          <w:lang w:bidi="ar-SA"/>
        </w:rPr>
        <w:t>)</w:t>
      </w:r>
      <w:bookmarkEnd w:id="241"/>
      <w:bookmarkStart w:id="243" w:name="_Toc256000073"/>
      <w:r>
        <w:rPr>
          <w:rFonts w:hint="eastAsia" w:ascii="楷体" w:hAnsi="楷体" w:eastAsia="楷体" w:cs="楷体"/>
          <w:color w:val="auto"/>
          <w:sz w:val="28"/>
          <w:szCs w:val="24"/>
          <w:lang w:eastAsia="zh-CN" w:bidi="ar-SA"/>
        </w:rPr>
        <w:t>资格承诺函</w:t>
      </w:r>
      <w:bookmarkEnd w:id="242"/>
    </w:p>
    <w:p w14:paraId="3FEC5A7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 w:hAnsi="楷体" w:eastAsia="楷体" w:cs="楷体"/>
          <w:color w:val="auto"/>
          <w:sz w:val="24"/>
          <w:szCs w:val="24"/>
        </w:rPr>
      </w:pPr>
    </w:p>
    <w:p w14:paraId="5DC787A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资格承诺函</w:t>
      </w:r>
    </w:p>
    <w:p w14:paraId="0709F21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u w:val="single"/>
        </w:rPr>
        <w:t>致： （采购人、采购代理机构）</w:t>
      </w:r>
      <w:r>
        <w:rPr>
          <w:rFonts w:hint="eastAsia" w:ascii="楷体" w:hAnsi="楷体" w:eastAsia="楷体" w:cs="楷体"/>
          <w:color w:val="auto"/>
          <w:sz w:val="28"/>
          <w:szCs w:val="28"/>
        </w:rPr>
        <w:t xml:space="preserve"> </w:t>
      </w:r>
    </w:p>
    <w:p w14:paraId="1B85B948">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p>
    <w:p w14:paraId="5F54FAA3">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我单位参与</w:t>
      </w:r>
      <w:r>
        <w:rPr>
          <w:rFonts w:hint="eastAsia" w:ascii="楷体" w:hAnsi="楷体" w:eastAsia="楷体" w:cs="楷体"/>
          <w:color w:val="auto"/>
          <w:sz w:val="28"/>
          <w:szCs w:val="28"/>
          <w:u w:val="single"/>
        </w:rPr>
        <w:t xml:space="preserve"> （项目名称） （项目编号： ）</w:t>
      </w:r>
      <w:r>
        <w:rPr>
          <w:rFonts w:hint="eastAsia" w:ascii="楷体" w:hAnsi="楷体" w:eastAsia="楷体" w:cs="楷体"/>
          <w:color w:val="auto"/>
          <w:sz w:val="28"/>
          <w:szCs w:val="28"/>
        </w:rPr>
        <w:t xml:space="preserve">项目的采购活动， </w:t>
      </w:r>
    </w:p>
    <w:p w14:paraId="49711D00">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现承诺如下： </w:t>
      </w:r>
    </w:p>
    <w:p w14:paraId="32B8EE41">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1.我方具有良好的商业信誉和健全的财务会计制度。 </w:t>
      </w:r>
    </w:p>
    <w:p w14:paraId="108DAFAC">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2.我方具有履行合同所必需的设备和专业技术能力。 </w:t>
      </w:r>
    </w:p>
    <w:p w14:paraId="3072E56A">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3.我方具有依法缴纳税收和社会保障资金的良好记录。 </w:t>
      </w:r>
    </w:p>
    <w:p w14:paraId="5C25A66C">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4.我方参加本项目采购活动前三年内，在经营活动中没有重大违法记录。 </w:t>
      </w:r>
    </w:p>
    <w:p w14:paraId="710A13F2">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若我单位承诺不实，自愿承担提供虚假材料谋取中标、成交的法律责任。 </w:t>
      </w:r>
    </w:p>
    <w:p w14:paraId="1D232F81">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rPr>
      </w:pPr>
    </w:p>
    <w:p w14:paraId="04910EAD">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u w:val="single"/>
        </w:rPr>
      </w:pPr>
      <w:r>
        <w:rPr>
          <w:rFonts w:hint="eastAsia" w:ascii="楷体" w:hAnsi="楷体" w:eastAsia="楷体" w:cs="楷体"/>
          <w:color w:val="auto"/>
          <w:sz w:val="28"/>
          <w:szCs w:val="28"/>
        </w:rPr>
        <w:t>供应商（全称并盖章）：</w:t>
      </w:r>
      <w:r>
        <w:rPr>
          <w:rFonts w:hint="eastAsia" w:ascii="楷体" w:hAnsi="楷体" w:eastAsia="楷体" w:cs="楷体"/>
          <w:color w:val="auto"/>
          <w:sz w:val="28"/>
          <w:szCs w:val="28"/>
          <w:u w:val="single"/>
        </w:rPr>
        <w:t xml:space="preserve">             </w:t>
      </w:r>
    </w:p>
    <w:p w14:paraId="16F3015E">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u w:val="single"/>
        </w:rPr>
      </w:pPr>
      <w:r>
        <w:rPr>
          <w:rFonts w:hint="eastAsia" w:ascii="楷体" w:hAnsi="楷体" w:eastAsia="楷体" w:cs="楷体"/>
          <w:color w:val="auto"/>
          <w:sz w:val="28"/>
          <w:szCs w:val="28"/>
        </w:rPr>
        <w:t>供应商法定代表人或授权代表（签字或签章）：</w:t>
      </w:r>
      <w:r>
        <w:rPr>
          <w:rFonts w:hint="eastAsia" w:ascii="楷体" w:hAnsi="楷体" w:eastAsia="楷体" w:cs="楷体"/>
          <w:color w:val="auto"/>
          <w:sz w:val="28"/>
          <w:szCs w:val="28"/>
          <w:u w:val="single"/>
        </w:rPr>
        <w:t xml:space="preserve">                 </w:t>
      </w:r>
    </w:p>
    <w:p w14:paraId="39B47CC5">
      <w:pPr>
        <w:keepNext w:val="0"/>
        <w:keepLines w:val="0"/>
        <w:pageBreakBefore w:val="0"/>
        <w:widowControl/>
        <w:kinsoku/>
        <w:wordWrap/>
        <w:overflowPunct/>
        <w:topLinePunct w:val="0"/>
        <w:autoSpaceDE/>
        <w:autoSpaceDN/>
        <w:bidi w:val="0"/>
        <w:adjustRightInd/>
        <w:snapToGrid/>
        <w:spacing w:line="360" w:lineRule="auto"/>
        <w:ind w:firstLine="560"/>
        <w:textAlignment w:val="auto"/>
        <w:outlineLvl w:val="9"/>
        <w:rPr>
          <w:rFonts w:hint="eastAsia" w:ascii="楷体" w:hAnsi="楷体" w:eastAsia="楷体" w:cs="楷体"/>
          <w:color w:val="auto"/>
          <w:sz w:val="28"/>
          <w:szCs w:val="28"/>
          <w:u w:val="single"/>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p>
    <w:p w14:paraId="7FD07077">
      <w:pPr>
        <w:keepNext w:val="0"/>
        <w:keepLines w:val="0"/>
        <w:pageBreakBefore w:val="0"/>
        <w:widowControl/>
        <w:kinsoku/>
        <w:wordWrap/>
        <w:overflowPunct/>
        <w:topLinePunct w:val="0"/>
        <w:autoSpaceDE/>
        <w:autoSpaceDN/>
        <w:bidi w:val="0"/>
        <w:adjustRightInd/>
        <w:snapToGrid/>
        <w:textAlignment w:val="auto"/>
        <w:outlineLvl w:val="9"/>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14:paraId="05651B20">
      <w:pPr>
        <w:keepNext w:val="0"/>
        <w:keepLines w:val="0"/>
        <w:pageBreakBefore w:val="0"/>
        <w:widowControl/>
        <w:kinsoku/>
        <w:wordWrap/>
        <w:overflowPunct/>
        <w:topLinePunct w:val="0"/>
        <w:autoSpaceDE/>
        <w:autoSpaceDN/>
        <w:bidi w:val="0"/>
        <w:adjustRightInd/>
        <w:snapToGrid/>
        <w:textAlignment w:val="auto"/>
        <w:outlineLvl w:val="9"/>
        <w:rPr>
          <w:rFonts w:hint="eastAsia" w:ascii="楷体" w:hAnsi="楷体" w:eastAsia="楷体" w:cs="楷体"/>
          <w:color w:val="auto"/>
          <w:sz w:val="28"/>
          <w:szCs w:val="28"/>
        </w:rPr>
      </w:pPr>
    </w:p>
    <w:p w14:paraId="21762A1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说明：1.供应商可自行选择是否提供本承诺函，若不提供本承诺函的，应按采购文件要求提供相应的证明材料。 </w:t>
      </w:r>
    </w:p>
    <w:p w14:paraId="5FA47D9C">
      <w:pPr>
        <w:keepNext w:val="0"/>
        <w:keepLines w:val="0"/>
        <w:pageBreakBefore w:val="0"/>
        <w:kinsoku/>
        <w:wordWrap/>
        <w:overflowPunct/>
        <w:topLinePunct w:val="0"/>
        <w:autoSpaceDE/>
        <w:autoSpaceDN/>
        <w:bidi w:val="0"/>
        <w:adjustRightInd/>
        <w:snapToGrid/>
        <w:spacing w:line="360" w:lineRule="auto"/>
        <w:ind w:firstLine="72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2.供应商可删减承诺事项，删减的承诺事项须按采购文件要求提供相应的证明材料。 </w:t>
      </w:r>
    </w:p>
    <w:p w14:paraId="442C4EB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比如删去本承诺函第3 项的，则应按采购文件要求提供依法缴纳税收和社会保障资金的良好记录。</w:t>
      </w:r>
    </w:p>
    <w:p w14:paraId="29E1D5FE">
      <w:pPr>
        <w:pStyle w:val="276"/>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 w:hAnsi="楷体" w:eastAsia="楷体" w:cs="楷体"/>
          <w:color w:val="auto"/>
          <w:lang w:eastAsia="zh-CN"/>
        </w:rPr>
      </w:pPr>
    </w:p>
    <w:p w14:paraId="12E35262">
      <w:pPr>
        <w:rPr>
          <w:rFonts w:hint="eastAsia" w:ascii="楷体" w:hAnsi="楷体" w:eastAsia="楷体" w:cs="楷体"/>
          <w:color w:val="auto"/>
          <w:sz w:val="28"/>
        </w:rPr>
      </w:pPr>
      <w:r>
        <w:rPr>
          <w:rFonts w:hint="eastAsia" w:ascii="楷体" w:hAnsi="楷体" w:eastAsia="楷体" w:cs="楷体"/>
          <w:color w:val="auto"/>
          <w:sz w:val="28"/>
        </w:rPr>
        <w:br w:type="page"/>
      </w:r>
    </w:p>
    <w:p w14:paraId="1EE2484B">
      <w:pPr>
        <w:pStyle w:val="268"/>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sz w:val="28"/>
        </w:rPr>
      </w:pPr>
      <w:bookmarkStart w:id="244" w:name="_Toc22432"/>
      <w:r>
        <w:rPr>
          <w:rFonts w:hint="eastAsia" w:ascii="楷体" w:hAnsi="楷体" w:eastAsia="楷体" w:cs="楷体"/>
          <w:color w:val="auto"/>
          <w:sz w:val="28"/>
        </w:rPr>
        <w:t>(</w:t>
      </w:r>
      <w:r>
        <w:rPr>
          <w:rFonts w:hint="eastAsia" w:ascii="楷体" w:hAnsi="楷体" w:eastAsia="楷体" w:cs="楷体"/>
          <w:color w:val="auto"/>
          <w:sz w:val="28"/>
          <w:lang w:val="en-US" w:eastAsia="zh-CN"/>
        </w:rPr>
        <w:t>七</w:t>
      </w:r>
      <w:r>
        <w:rPr>
          <w:rFonts w:hint="eastAsia" w:ascii="楷体" w:hAnsi="楷体" w:eastAsia="楷体" w:cs="楷体"/>
          <w:color w:val="auto"/>
          <w:sz w:val="28"/>
        </w:rPr>
        <w:t>)本项目</w:t>
      </w:r>
      <w:r>
        <w:rPr>
          <w:rFonts w:hint="eastAsia" w:ascii="楷体" w:hAnsi="楷体" w:eastAsia="楷体" w:cs="楷体"/>
          <w:color w:val="auto"/>
          <w:sz w:val="28"/>
          <w:lang w:eastAsia="zh-CN"/>
        </w:rPr>
        <w:t>特定</w:t>
      </w:r>
      <w:r>
        <w:rPr>
          <w:rFonts w:hint="eastAsia" w:ascii="楷体" w:hAnsi="楷体" w:eastAsia="楷体" w:cs="楷体"/>
          <w:color w:val="auto"/>
          <w:sz w:val="28"/>
        </w:rPr>
        <w:t>资格要求</w:t>
      </w:r>
      <w:bookmarkEnd w:id="244"/>
    </w:p>
    <w:p w14:paraId="14A75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（1）供应商须具有有效期内</w:t>
      </w:r>
      <w:r>
        <w:rPr>
          <w:rFonts w:hint="eastAsia" w:ascii="楷体" w:hAnsi="楷体" w:eastAsia="楷体" w:cs="楷体"/>
          <w:color w:val="auto"/>
          <w:sz w:val="24"/>
          <w:szCs w:val="28"/>
          <w:lang w:eastAsia="zh-CN"/>
        </w:rPr>
        <w:t>的</w:t>
      </w:r>
      <w:r>
        <w:rPr>
          <w:rFonts w:hint="eastAsia" w:ascii="楷体" w:hAnsi="楷体" w:eastAsia="楷体" w:cs="楷体"/>
          <w:color w:val="auto"/>
          <w:sz w:val="24"/>
          <w:szCs w:val="28"/>
        </w:rPr>
        <w:t>建筑工程施工总承包三级及以上资质，并取得有效期内安全生产许可证（提供相关证明材料</w:t>
      </w:r>
      <w:r>
        <w:rPr>
          <w:rFonts w:hint="eastAsia" w:ascii="楷体" w:hAnsi="楷体" w:eastAsia="楷体" w:cs="楷体"/>
          <w:color w:val="auto"/>
          <w:sz w:val="24"/>
          <w:szCs w:val="28"/>
          <w:lang w:val="en-US" w:eastAsia="zh-CN"/>
        </w:rPr>
        <w:t>及供应商资质动态核查合格证明材料复印件</w:t>
      </w:r>
      <w:r>
        <w:rPr>
          <w:rFonts w:hint="eastAsia" w:ascii="楷体" w:hAnsi="楷体" w:eastAsia="楷体" w:cs="楷体"/>
          <w:color w:val="auto"/>
          <w:sz w:val="24"/>
          <w:szCs w:val="28"/>
        </w:rPr>
        <w:t>）。</w:t>
      </w:r>
    </w:p>
    <w:p w14:paraId="6A38E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（2）供应商拟派项目负责人须具备建筑工程专业二级及以上注册建造师资格，并具备有效的安全生产考核合格证B类证（提供相关证书及</w:t>
      </w:r>
      <w:r>
        <w:rPr>
          <w:rFonts w:hint="eastAsia" w:ascii="楷体" w:hAnsi="楷体" w:eastAsia="楷体" w:cs="楷体"/>
          <w:color w:val="auto"/>
          <w:sz w:val="24"/>
          <w:szCs w:val="28"/>
          <w:lang w:val="en-US" w:eastAsia="zh-CN"/>
        </w:rPr>
        <w:t>上述</w:t>
      </w:r>
      <w:r>
        <w:rPr>
          <w:rFonts w:hint="eastAsia" w:ascii="楷体" w:hAnsi="楷体" w:eastAsia="楷体" w:cs="楷体"/>
          <w:color w:val="auto"/>
          <w:sz w:val="24"/>
          <w:szCs w:val="28"/>
        </w:rPr>
        <w:t>社会保险证明材料</w:t>
      </w:r>
      <w:r>
        <w:rPr>
          <w:rFonts w:hint="eastAsia" w:ascii="楷体" w:hAnsi="楷体" w:eastAsia="楷体" w:cs="楷体"/>
          <w:color w:val="auto"/>
          <w:sz w:val="24"/>
          <w:szCs w:val="28"/>
          <w:lang w:val="en-US" w:eastAsia="zh-CN"/>
        </w:rPr>
        <w:t>复印件</w:t>
      </w:r>
      <w:r>
        <w:rPr>
          <w:rFonts w:hint="eastAsia" w:ascii="楷体" w:hAnsi="楷体" w:eastAsia="楷体" w:cs="楷体"/>
          <w:color w:val="auto"/>
          <w:sz w:val="24"/>
          <w:szCs w:val="28"/>
        </w:rPr>
        <w:t>）。</w:t>
      </w:r>
    </w:p>
    <w:p w14:paraId="66C06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（3）供应商承诺项目负责人无在建工程 (提供书面承诺书)。</w:t>
      </w:r>
    </w:p>
    <w:p w14:paraId="5B389928">
      <w:pPr>
        <w:rPr>
          <w:rFonts w:hint="eastAsia" w:ascii="楷体" w:hAnsi="楷体" w:eastAsia="楷体" w:cs="楷体"/>
          <w:b/>
          <w:bCs/>
          <w:color w:val="auto"/>
          <w:spacing w:val="-5"/>
          <w:sz w:val="30"/>
          <w:szCs w:val="30"/>
          <w:lang w:val="en-US" w:eastAsia="zh-CN"/>
        </w:rPr>
      </w:pPr>
      <w:r>
        <w:rPr>
          <w:rFonts w:hint="eastAsia" w:ascii="楷体" w:hAnsi="楷体" w:eastAsia="楷体" w:cs="楷体"/>
          <w:b/>
          <w:bCs/>
          <w:color w:val="auto"/>
          <w:spacing w:val="-5"/>
          <w:sz w:val="30"/>
          <w:szCs w:val="30"/>
        </w:rPr>
        <w:br w:type="page"/>
      </w:r>
      <w:r>
        <w:rPr>
          <w:rFonts w:hint="eastAsia" w:ascii="楷体" w:hAnsi="楷体" w:eastAsia="楷体" w:cs="楷体"/>
          <w:b/>
          <w:bCs/>
          <w:color w:val="auto"/>
          <w:spacing w:val="-5"/>
          <w:sz w:val="30"/>
          <w:szCs w:val="30"/>
          <w:lang w:val="en-US" w:eastAsia="zh-CN"/>
        </w:rPr>
        <w:t xml:space="preserve"> </w:t>
      </w:r>
    </w:p>
    <w:p w14:paraId="2E67034B">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楷体" w:hAnsi="楷体" w:eastAsia="楷体" w:cs="楷体"/>
          <w:color w:val="auto"/>
          <w:sz w:val="30"/>
          <w:szCs w:val="30"/>
        </w:rPr>
      </w:pPr>
      <w:r>
        <w:rPr>
          <w:rFonts w:hint="eastAsia" w:ascii="楷体" w:hAnsi="楷体" w:eastAsia="楷体" w:cs="楷体"/>
          <w:b/>
          <w:bCs/>
          <w:color w:val="auto"/>
          <w:spacing w:val="-5"/>
          <w:sz w:val="30"/>
          <w:szCs w:val="30"/>
        </w:rPr>
        <w:t>项目负责人简历表</w:t>
      </w:r>
    </w:p>
    <w:p w14:paraId="7D6B7532">
      <w:pPr>
        <w:keepNext w:val="0"/>
        <w:keepLines w:val="0"/>
        <w:pageBreakBefore w:val="0"/>
        <w:widowControl w:val="0"/>
        <w:kinsoku/>
        <w:wordWrap/>
        <w:overflowPunct/>
        <w:topLinePunct w:val="0"/>
        <w:autoSpaceDE/>
        <w:autoSpaceDN/>
        <w:bidi w:val="0"/>
        <w:adjustRightInd/>
        <w:snapToGrid/>
        <w:spacing w:line="106" w:lineRule="exact"/>
        <w:ind w:left="0" w:right="0" w:firstLine="0"/>
        <w:jc w:val="center"/>
        <w:textAlignment w:val="auto"/>
        <w:rPr>
          <w:rFonts w:hint="eastAsia" w:ascii="楷体" w:hAnsi="楷体" w:eastAsia="楷体" w:cs="楷体"/>
          <w:color w:val="auto"/>
        </w:rPr>
      </w:pPr>
    </w:p>
    <w:tbl>
      <w:tblPr>
        <w:tblStyle w:val="301"/>
        <w:tblW w:w="8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232"/>
        <w:gridCol w:w="392"/>
        <w:gridCol w:w="454"/>
        <w:gridCol w:w="573"/>
        <w:gridCol w:w="353"/>
        <w:gridCol w:w="620"/>
        <w:gridCol w:w="447"/>
        <w:gridCol w:w="1418"/>
        <w:gridCol w:w="200"/>
        <w:gridCol w:w="510"/>
        <w:gridCol w:w="709"/>
        <w:gridCol w:w="1428"/>
      </w:tblGrid>
      <w:tr w14:paraId="6829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88" w:type="dxa"/>
            <w:noWrap w:val="0"/>
            <w:vAlign w:val="top"/>
          </w:tcPr>
          <w:p w14:paraId="222C1D50">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rPr>
              <w:t>姓名</w:t>
            </w:r>
          </w:p>
        </w:tc>
        <w:tc>
          <w:tcPr>
            <w:tcW w:w="1078" w:type="dxa"/>
            <w:gridSpan w:val="3"/>
            <w:noWrap w:val="0"/>
            <w:vAlign w:val="top"/>
          </w:tcPr>
          <w:p w14:paraId="46F9677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926" w:type="dxa"/>
            <w:gridSpan w:val="2"/>
            <w:noWrap w:val="0"/>
            <w:vAlign w:val="top"/>
          </w:tcPr>
          <w:p w14:paraId="7190E1DE">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rPr>
              <w:t>年龄</w:t>
            </w:r>
          </w:p>
        </w:tc>
        <w:tc>
          <w:tcPr>
            <w:tcW w:w="1067" w:type="dxa"/>
            <w:gridSpan w:val="2"/>
            <w:noWrap w:val="0"/>
            <w:vAlign w:val="top"/>
          </w:tcPr>
          <w:p w14:paraId="09FA77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2128" w:type="dxa"/>
            <w:gridSpan w:val="3"/>
            <w:noWrap w:val="0"/>
            <w:vAlign w:val="top"/>
          </w:tcPr>
          <w:p w14:paraId="1D7A80A2">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7"/>
              </w:rPr>
              <w:t>身份证号码</w:t>
            </w:r>
          </w:p>
        </w:tc>
        <w:tc>
          <w:tcPr>
            <w:tcW w:w="2137" w:type="dxa"/>
            <w:gridSpan w:val="2"/>
            <w:noWrap w:val="0"/>
            <w:vAlign w:val="top"/>
          </w:tcPr>
          <w:p w14:paraId="2C5EE62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19EA6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88" w:type="dxa"/>
            <w:noWrap w:val="0"/>
            <w:vAlign w:val="top"/>
          </w:tcPr>
          <w:p w14:paraId="48615824">
            <w:pPr>
              <w:pStyle w:val="302"/>
              <w:keepNext w:val="0"/>
              <w:keepLines w:val="0"/>
              <w:pageBreakBefore w:val="0"/>
              <w:widowControl w:val="0"/>
              <w:kinsoku/>
              <w:wordWrap/>
              <w:overflowPunct/>
              <w:topLinePunct w:val="0"/>
              <w:autoSpaceDE/>
              <w:autoSpaceDN/>
              <w:bidi w:val="0"/>
              <w:adjustRightInd/>
              <w:snapToGrid/>
              <w:spacing w:line="230"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rPr>
              <w:t>职称</w:t>
            </w:r>
          </w:p>
        </w:tc>
        <w:tc>
          <w:tcPr>
            <w:tcW w:w="1078" w:type="dxa"/>
            <w:gridSpan w:val="3"/>
            <w:noWrap w:val="0"/>
            <w:vAlign w:val="top"/>
          </w:tcPr>
          <w:p w14:paraId="7362784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926" w:type="dxa"/>
            <w:gridSpan w:val="2"/>
            <w:noWrap w:val="0"/>
            <w:vAlign w:val="top"/>
          </w:tcPr>
          <w:p w14:paraId="1A0FD84F">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rPr>
              <w:t>职务</w:t>
            </w:r>
          </w:p>
        </w:tc>
        <w:tc>
          <w:tcPr>
            <w:tcW w:w="1067" w:type="dxa"/>
            <w:gridSpan w:val="2"/>
            <w:noWrap w:val="0"/>
            <w:vAlign w:val="top"/>
          </w:tcPr>
          <w:p w14:paraId="6710B8F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2128" w:type="dxa"/>
            <w:gridSpan w:val="3"/>
            <w:noWrap w:val="0"/>
            <w:vAlign w:val="top"/>
          </w:tcPr>
          <w:p w14:paraId="0D86851F">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7"/>
              </w:rPr>
              <w:t>养老保险</w:t>
            </w:r>
          </w:p>
        </w:tc>
        <w:tc>
          <w:tcPr>
            <w:tcW w:w="2137" w:type="dxa"/>
            <w:gridSpan w:val="2"/>
            <w:noWrap w:val="0"/>
            <w:vAlign w:val="top"/>
          </w:tcPr>
          <w:p w14:paraId="28BD07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51730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12" w:type="dxa"/>
            <w:gridSpan w:val="3"/>
            <w:noWrap w:val="0"/>
            <w:vAlign w:val="top"/>
          </w:tcPr>
          <w:p w14:paraId="76227474">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8"/>
              </w:rPr>
              <w:t>建造师专业等级</w:t>
            </w:r>
          </w:p>
        </w:tc>
        <w:tc>
          <w:tcPr>
            <w:tcW w:w="6712" w:type="dxa"/>
            <w:gridSpan w:val="10"/>
            <w:noWrap w:val="0"/>
            <w:vAlign w:val="top"/>
          </w:tcPr>
          <w:p w14:paraId="41EE95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555C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812" w:type="dxa"/>
            <w:gridSpan w:val="3"/>
            <w:noWrap w:val="0"/>
            <w:vAlign w:val="top"/>
          </w:tcPr>
          <w:p w14:paraId="6AF38CF4">
            <w:pPr>
              <w:pStyle w:val="302"/>
              <w:keepNext w:val="0"/>
              <w:keepLines w:val="0"/>
              <w:pageBreakBefore w:val="0"/>
              <w:widowControl w:val="0"/>
              <w:kinsoku/>
              <w:wordWrap/>
              <w:overflowPunct/>
              <w:topLinePunct w:val="0"/>
              <w:autoSpaceDE/>
              <w:autoSpaceDN/>
              <w:bidi w:val="0"/>
              <w:adjustRightInd/>
              <w:snapToGrid/>
              <w:spacing w:line="229"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2"/>
              </w:rPr>
              <w:t>学历</w:t>
            </w:r>
          </w:p>
        </w:tc>
        <w:tc>
          <w:tcPr>
            <w:tcW w:w="2000" w:type="dxa"/>
            <w:gridSpan w:val="4"/>
            <w:noWrap w:val="0"/>
            <w:vAlign w:val="top"/>
          </w:tcPr>
          <w:p w14:paraId="12D92B6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2065" w:type="dxa"/>
            <w:gridSpan w:val="3"/>
            <w:noWrap w:val="0"/>
            <w:vAlign w:val="top"/>
          </w:tcPr>
          <w:p w14:paraId="2AB4983A">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7"/>
              </w:rPr>
              <w:t>所学专业</w:t>
            </w:r>
          </w:p>
        </w:tc>
        <w:tc>
          <w:tcPr>
            <w:tcW w:w="2647" w:type="dxa"/>
            <w:gridSpan w:val="3"/>
            <w:noWrap w:val="0"/>
            <w:vAlign w:val="top"/>
          </w:tcPr>
          <w:p w14:paraId="20EFDEB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11CBF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12" w:type="dxa"/>
            <w:gridSpan w:val="3"/>
            <w:noWrap w:val="0"/>
            <w:vAlign w:val="top"/>
          </w:tcPr>
          <w:p w14:paraId="42DF47CA">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7"/>
              </w:rPr>
              <w:t>参加工作年限</w:t>
            </w:r>
          </w:p>
        </w:tc>
        <w:tc>
          <w:tcPr>
            <w:tcW w:w="2000" w:type="dxa"/>
            <w:gridSpan w:val="4"/>
            <w:noWrap w:val="0"/>
            <w:vAlign w:val="top"/>
          </w:tcPr>
          <w:p w14:paraId="2F158C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2065" w:type="dxa"/>
            <w:gridSpan w:val="3"/>
            <w:noWrap w:val="0"/>
            <w:vAlign w:val="top"/>
          </w:tcPr>
          <w:p w14:paraId="13379443">
            <w:pPr>
              <w:pStyle w:val="302"/>
              <w:keepNext w:val="0"/>
              <w:keepLines w:val="0"/>
              <w:pageBreakBefore w:val="0"/>
              <w:widowControl w:val="0"/>
              <w:kinsoku/>
              <w:wordWrap/>
              <w:overflowPunct/>
              <w:topLinePunct w:val="0"/>
              <w:autoSpaceDE/>
              <w:autoSpaceDN/>
              <w:bidi w:val="0"/>
              <w:adjustRightInd/>
              <w:snapToGrid/>
              <w:spacing w:line="322"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10"/>
              </w:rPr>
              <w:t>从事项目负责人年</w:t>
            </w:r>
            <w:r>
              <w:rPr>
                <w:rFonts w:hint="eastAsia" w:ascii="楷体" w:hAnsi="楷体" w:eastAsia="楷体" w:cs="楷体"/>
                <w:color w:val="auto"/>
              </w:rPr>
              <w:t>限</w:t>
            </w:r>
          </w:p>
        </w:tc>
        <w:tc>
          <w:tcPr>
            <w:tcW w:w="2647" w:type="dxa"/>
            <w:gridSpan w:val="3"/>
            <w:noWrap w:val="0"/>
            <w:vAlign w:val="top"/>
          </w:tcPr>
          <w:p w14:paraId="60E00E2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5DDE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524" w:type="dxa"/>
            <w:gridSpan w:val="13"/>
            <w:noWrap w:val="0"/>
            <w:vAlign w:val="top"/>
          </w:tcPr>
          <w:p w14:paraId="2483DBF9">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9"/>
              </w:rPr>
              <w:t>近年来完成的类似项目情况</w:t>
            </w:r>
          </w:p>
        </w:tc>
      </w:tr>
      <w:tr w14:paraId="57345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2D6AA4C5">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6"/>
              </w:rPr>
              <w:t>项目名称</w:t>
            </w:r>
          </w:p>
        </w:tc>
        <w:tc>
          <w:tcPr>
            <w:tcW w:w="1419" w:type="dxa"/>
            <w:gridSpan w:val="3"/>
            <w:noWrap w:val="0"/>
            <w:vAlign w:val="top"/>
          </w:tcPr>
          <w:p w14:paraId="36C5BF60">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6"/>
              </w:rPr>
              <w:t>建设规模</w:t>
            </w:r>
          </w:p>
        </w:tc>
        <w:tc>
          <w:tcPr>
            <w:tcW w:w="1420" w:type="dxa"/>
            <w:gridSpan w:val="3"/>
            <w:noWrap w:val="0"/>
            <w:vAlign w:val="top"/>
          </w:tcPr>
          <w:p w14:paraId="7AD17322">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2"/>
              </w:rPr>
              <w:t>开、竣工日期</w:t>
            </w:r>
          </w:p>
        </w:tc>
        <w:tc>
          <w:tcPr>
            <w:tcW w:w="1418" w:type="dxa"/>
            <w:noWrap w:val="0"/>
            <w:vAlign w:val="top"/>
          </w:tcPr>
          <w:p w14:paraId="180C9135">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6"/>
              </w:rPr>
              <w:t>项目描述</w:t>
            </w:r>
          </w:p>
        </w:tc>
        <w:tc>
          <w:tcPr>
            <w:tcW w:w="1419" w:type="dxa"/>
            <w:gridSpan w:val="3"/>
            <w:noWrap w:val="0"/>
            <w:vAlign w:val="top"/>
          </w:tcPr>
          <w:p w14:paraId="3A645DF3">
            <w:pPr>
              <w:pStyle w:val="302"/>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6"/>
              </w:rPr>
              <w:t>合同价</w:t>
            </w:r>
          </w:p>
        </w:tc>
        <w:tc>
          <w:tcPr>
            <w:tcW w:w="1428" w:type="dxa"/>
            <w:noWrap w:val="0"/>
            <w:vAlign w:val="top"/>
          </w:tcPr>
          <w:p w14:paraId="7764352B">
            <w:pPr>
              <w:pStyle w:val="302"/>
              <w:keepNext w:val="0"/>
              <w:keepLines w:val="0"/>
              <w:pageBreakBefore w:val="0"/>
              <w:widowControl w:val="0"/>
              <w:kinsoku/>
              <w:wordWrap/>
              <w:overflowPunct/>
              <w:topLinePunct w:val="0"/>
              <w:autoSpaceDE/>
              <w:autoSpaceDN/>
              <w:bidi w:val="0"/>
              <w:adjustRightInd/>
              <w:snapToGrid/>
              <w:spacing w:line="228" w:lineRule="auto"/>
              <w:ind w:left="0" w:right="0" w:firstLine="0"/>
              <w:jc w:val="center"/>
              <w:textAlignment w:val="auto"/>
              <w:rPr>
                <w:rFonts w:hint="eastAsia" w:ascii="楷体" w:hAnsi="楷体" w:eastAsia="楷体" w:cs="楷体"/>
                <w:color w:val="auto"/>
              </w:rPr>
            </w:pPr>
            <w:r>
              <w:rPr>
                <w:rFonts w:hint="eastAsia" w:ascii="楷体" w:hAnsi="楷体" w:eastAsia="楷体" w:cs="楷体"/>
                <w:color w:val="auto"/>
                <w:spacing w:val="7"/>
              </w:rPr>
              <w:t>其他说明</w:t>
            </w:r>
          </w:p>
        </w:tc>
      </w:tr>
      <w:tr w14:paraId="28BF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66EC859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4F5882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167902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37724B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78FA33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1D75399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2FBF0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54826F3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66B02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71A92E2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206E3C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91548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0660CE3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0B11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54EECAB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489D1AF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224F1C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7F79B6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76052A6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6434F2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106A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116A6CC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725EF8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7BA24C4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37B7514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3BAF52C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0EE541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3F95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4803CCA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8CDD2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4AC0872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01374F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2E304F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06662A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48B2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240A1D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97D13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6374612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4D8EA73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4FC1A5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288D69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6742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36D0F4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DB4519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43E4980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25924B6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8DB524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3719F65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669D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3E9E36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0EC166E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31D9096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0D8327B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276732A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5B8A34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1C63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0416D6C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33A135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4102F75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7D272A0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B3077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6246A65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6795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420" w:type="dxa"/>
            <w:gridSpan w:val="2"/>
            <w:noWrap w:val="0"/>
            <w:vAlign w:val="top"/>
          </w:tcPr>
          <w:p w14:paraId="62D0F61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024A46A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237AEBB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5175C61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2C46E21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58B73B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7806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61C273D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04D2E0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7961DF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6BBC537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74171DD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368A918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1EF0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61A627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7B5745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560E850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664788A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E588A8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489DEB4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48BB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4E03614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6EECD4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746E121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74BC20B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65DA1B1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2AB5D1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4C97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60616D9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0BBA6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2D37355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6A6F1F0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232F67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0997067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3154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0" w:type="dxa"/>
            <w:gridSpan w:val="2"/>
            <w:noWrap w:val="0"/>
            <w:vAlign w:val="top"/>
          </w:tcPr>
          <w:p w14:paraId="3695359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53D9601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4BC80A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257D24C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35F1119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015B36D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r w14:paraId="2445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420" w:type="dxa"/>
            <w:gridSpan w:val="2"/>
            <w:noWrap w:val="0"/>
            <w:vAlign w:val="top"/>
          </w:tcPr>
          <w:p w14:paraId="795876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4E8B47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0" w:type="dxa"/>
            <w:gridSpan w:val="3"/>
            <w:noWrap w:val="0"/>
            <w:vAlign w:val="top"/>
          </w:tcPr>
          <w:p w14:paraId="65DCC6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8" w:type="dxa"/>
            <w:noWrap w:val="0"/>
            <w:vAlign w:val="top"/>
          </w:tcPr>
          <w:p w14:paraId="7800548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19" w:type="dxa"/>
            <w:gridSpan w:val="3"/>
            <w:noWrap w:val="0"/>
            <w:vAlign w:val="top"/>
          </w:tcPr>
          <w:p w14:paraId="1914D4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c>
          <w:tcPr>
            <w:tcW w:w="1428" w:type="dxa"/>
            <w:noWrap w:val="0"/>
            <w:vAlign w:val="top"/>
          </w:tcPr>
          <w:p w14:paraId="11DB4B1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楷体" w:hAnsi="楷体" w:eastAsia="楷体" w:cs="楷体"/>
                <w:color w:val="auto"/>
                <w:sz w:val="21"/>
              </w:rPr>
            </w:pPr>
          </w:p>
        </w:tc>
      </w:tr>
    </w:tbl>
    <w:p w14:paraId="1A73E416">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楷体" w:hAnsi="楷体" w:eastAsia="楷体" w:cs="楷体"/>
          <w:b/>
          <w:bCs/>
          <w:color w:val="auto"/>
          <w:spacing w:val="-5"/>
          <w:sz w:val="30"/>
          <w:szCs w:val="30"/>
          <w:lang w:val="en-US" w:eastAsia="zh-CN"/>
        </w:rPr>
      </w:pPr>
      <w:r>
        <w:rPr>
          <w:rFonts w:hint="eastAsia" w:ascii="楷体" w:hAnsi="楷体" w:eastAsia="楷体" w:cs="楷体"/>
          <w:color w:val="auto"/>
          <w:kern w:val="0"/>
          <w:sz w:val="20"/>
          <w:szCs w:val="20"/>
          <w:lang w:val="en-US" w:eastAsia="zh-CN" w:bidi="ar"/>
        </w:rPr>
        <w:br w:type="page"/>
      </w:r>
      <w:r>
        <w:rPr>
          <w:rFonts w:hint="eastAsia" w:ascii="楷体" w:hAnsi="楷体" w:eastAsia="楷体" w:cs="楷体"/>
          <w:b/>
          <w:bCs/>
          <w:color w:val="auto"/>
          <w:spacing w:val="-5"/>
          <w:sz w:val="30"/>
          <w:szCs w:val="30"/>
          <w:lang w:val="en-US" w:eastAsia="zh-CN"/>
        </w:rPr>
        <w:t>项目负责人承诺书</w:t>
      </w:r>
    </w:p>
    <w:p w14:paraId="321E8327">
      <w:pPr>
        <w:spacing w:line="360" w:lineRule="auto"/>
        <w:rPr>
          <w:rFonts w:hint="eastAsia" w:ascii="楷体" w:hAnsi="楷体" w:eastAsia="楷体" w:cs="楷体"/>
          <w:color w:val="auto"/>
          <w:u w:val="single"/>
        </w:rPr>
      </w:pPr>
    </w:p>
    <w:p w14:paraId="0FF53564">
      <w:pPr>
        <w:spacing w:line="360" w:lineRule="auto"/>
        <w:rPr>
          <w:rFonts w:hint="eastAsia" w:ascii="楷体" w:hAnsi="楷体" w:eastAsia="楷体" w:cs="楷体"/>
          <w:color w:val="auto"/>
          <w:sz w:val="24"/>
          <w:szCs w:val="28"/>
        </w:rPr>
      </w:pPr>
      <w:r>
        <w:rPr>
          <w:rFonts w:hint="eastAsia" w:ascii="楷体" w:hAnsi="楷体" w:eastAsia="楷体" w:cs="楷体"/>
          <w:color w:val="auto"/>
          <w:sz w:val="24"/>
          <w:szCs w:val="28"/>
          <w:u w:val="single"/>
        </w:rPr>
        <w:tab/>
      </w:r>
      <w:r>
        <w:rPr>
          <w:rFonts w:hint="eastAsia" w:ascii="楷体" w:hAnsi="楷体" w:eastAsia="楷体" w:cs="楷体"/>
          <w:color w:val="auto"/>
          <w:sz w:val="24"/>
          <w:szCs w:val="28"/>
          <w:u w:val="single"/>
          <w:lang w:val="en-US" w:eastAsia="zh-CN"/>
        </w:rPr>
        <w:tab/>
      </w:r>
      <w:r>
        <w:rPr>
          <w:rFonts w:hint="eastAsia" w:ascii="楷体" w:hAnsi="楷体" w:eastAsia="楷体" w:cs="楷体"/>
          <w:color w:val="auto"/>
          <w:sz w:val="24"/>
          <w:szCs w:val="28"/>
          <w:u w:val="single"/>
          <w:lang w:val="en-US" w:eastAsia="zh-CN"/>
        </w:rPr>
        <w:tab/>
      </w:r>
      <w:r>
        <w:rPr>
          <w:rFonts w:hint="eastAsia" w:ascii="楷体" w:hAnsi="楷体" w:eastAsia="楷体" w:cs="楷体"/>
          <w:color w:val="auto"/>
          <w:sz w:val="24"/>
          <w:szCs w:val="28"/>
        </w:rPr>
        <w:t>（</w:t>
      </w:r>
      <w:r>
        <w:rPr>
          <w:rFonts w:hint="eastAsia" w:ascii="楷体" w:hAnsi="楷体" w:eastAsia="楷体" w:cs="楷体"/>
          <w:color w:val="auto"/>
          <w:sz w:val="24"/>
          <w:szCs w:val="28"/>
          <w:lang w:val="en-US" w:eastAsia="zh-CN"/>
        </w:rPr>
        <w:t>采购人</w:t>
      </w:r>
      <w:r>
        <w:rPr>
          <w:rFonts w:hint="eastAsia" w:ascii="楷体" w:hAnsi="楷体" w:eastAsia="楷体" w:cs="楷体"/>
          <w:color w:val="auto"/>
          <w:sz w:val="24"/>
          <w:szCs w:val="28"/>
        </w:rPr>
        <w:t>名称）：</w:t>
      </w:r>
    </w:p>
    <w:p w14:paraId="2541DB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color w:val="auto"/>
          <w:sz w:val="24"/>
          <w:szCs w:val="28"/>
        </w:rPr>
      </w:pPr>
    </w:p>
    <w:p w14:paraId="0CD95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我公司参加</w:t>
      </w:r>
      <w:r>
        <w:rPr>
          <w:rFonts w:hint="eastAsia" w:ascii="楷体" w:hAnsi="楷体" w:eastAsia="楷体" w:cs="楷体"/>
          <w:color w:val="auto"/>
          <w:sz w:val="24"/>
          <w:szCs w:val="28"/>
          <w:u w:val="single"/>
        </w:rPr>
        <w:t xml:space="preserve">                    </w:t>
      </w:r>
      <w:r>
        <w:rPr>
          <w:rFonts w:hint="eastAsia" w:ascii="楷体" w:hAnsi="楷体" w:eastAsia="楷体" w:cs="楷体"/>
          <w:color w:val="auto"/>
          <w:sz w:val="24"/>
          <w:szCs w:val="28"/>
        </w:rPr>
        <w:t>（</w:t>
      </w:r>
      <w:r>
        <w:rPr>
          <w:rFonts w:hint="eastAsia" w:ascii="楷体" w:hAnsi="楷体" w:eastAsia="楷体" w:cs="楷体"/>
          <w:color w:val="auto"/>
          <w:sz w:val="24"/>
          <w:szCs w:val="28"/>
          <w:lang w:val="en-US" w:eastAsia="zh-CN"/>
        </w:rPr>
        <w:t>项目</w:t>
      </w:r>
      <w:r>
        <w:rPr>
          <w:rFonts w:hint="eastAsia" w:ascii="楷体" w:hAnsi="楷体" w:eastAsia="楷体" w:cs="楷体"/>
          <w:color w:val="auto"/>
          <w:sz w:val="24"/>
          <w:szCs w:val="28"/>
        </w:rPr>
        <w:t>名称）的</w:t>
      </w:r>
      <w:r>
        <w:rPr>
          <w:rFonts w:hint="eastAsia" w:ascii="楷体" w:hAnsi="楷体" w:eastAsia="楷体" w:cs="楷体"/>
          <w:color w:val="auto"/>
          <w:sz w:val="24"/>
          <w:szCs w:val="28"/>
          <w:lang w:val="en-US" w:eastAsia="zh-CN"/>
        </w:rPr>
        <w:t>采购</w:t>
      </w:r>
      <w:r>
        <w:rPr>
          <w:rFonts w:hint="eastAsia" w:ascii="楷体" w:hAnsi="楷体" w:eastAsia="楷体" w:cs="楷体"/>
          <w:color w:val="auto"/>
          <w:sz w:val="24"/>
          <w:szCs w:val="28"/>
        </w:rPr>
        <w:t>活动，现郑重承诺如下：</w:t>
      </w:r>
    </w:p>
    <w:p w14:paraId="08B39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lang w:val="en-US" w:eastAsia="zh-CN"/>
        </w:rPr>
        <w:t>①、项目负责人没有同时在两个或者两个以上单位受聘或者执业的情况；</w:t>
      </w:r>
    </w:p>
    <w:p w14:paraId="288926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lang w:val="en-US" w:eastAsia="zh-CN"/>
        </w:rPr>
        <w:t>②、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49C5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p>
    <w:p w14:paraId="45E15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lang w:val="en-US" w:eastAsia="zh-CN"/>
        </w:rPr>
        <w:t>供应商</w:t>
      </w:r>
      <w:r>
        <w:rPr>
          <w:rFonts w:hint="eastAsia" w:ascii="楷体" w:hAnsi="楷体" w:eastAsia="楷体" w:cs="楷体"/>
          <w:color w:val="auto"/>
          <w:sz w:val="24"/>
          <w:szCs w:val="28"/>
        </w:rPr>
        <w:t>：                            （盖章）</w:t>
      </w:r>
    </w:p>
    <w:p w14:paraId="0F4D7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p>
    <w:p w14:paraId="17872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p>
    <w:p w14:paraId="2A844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8"/>
        </w:rPr>
      </w:pPr>
      <w:r>
        <w:rPr>
          <w:rFonts w:hint="eastAsia" w:ascii="楷体" w:hAnsi="楷体" w:eastAsia="楷体" w:cs="楷体"/>
          <w:color w:val="auto"/>
          <w:sz w:val="24"/>
          <w:szCs w:val="28"/>
        </w:rPr>
        <w:t>法定代表人或其委托代理人：           （签字或印章）</w:t>
      </w:r>
    </w:p>
    <w:p w14:paraId="487305E4">
      <w:pPr>
        <w:rPr>
          <w:rFonts w:hint="eastAsia" w:eastAsia="宋体"/>
          <w:color w:val="auto"/>
          <w:highlight w:val="none"/>
          <w:lang w:eastAsia="zh-CN"/>
        </w:rPr>
      </w:pPr>
      <w:r>
        <w:rPr>
          <w:rFonts w:hint="eastAsia" w:eastAsia="宋体"/>
          <w:color w:val="auto"/>
          <w:highlight w:val="none"/>
          <w:lang w:eastAsia="zh-CN"/>
        </w:rPr>
        <w:br w:type="page"/>
      </w:r>
    </w:p>
    <w:p w14:paraId="43ACBDDC">
      <w:pPr>
        <w:pStyle w:val="276"/>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bookmarkStart w:id="245" w:name="_Toc7202"/>
      <w:r>
        <w:rPr>
          <w:rFonts w:hint="eastAsia" w:ascii="楷体" w:hAnsi="楷体" w:eastAsia="楷体" w:cs="楷体"/>
          <w:color w:val="auto"/>
          <w:sz w:val="28"/>
        </w:rPr>
        <w:t>(</w:t>
      </w:r>
      <w:r>
        <w:rPr>
          <w:rFonts w:hint="eastAsia" w:ascii="楷体" w:hAnsi="楷体" w:eastAsia="楷体" w:cs="楷体"/>
          <w:color w:val="auto"/>
          <w:sz w:val="28"/>
          <w:lang w:val="en-US" w:eastAsia="zh-CN"/>
        </w:rPr>
        <w:t>八</w:t>
      </w:r>
      <w:r>
        <w:rPr>
          <w:rFonts w:hint="eastAsia" w:ascii="楷体" w:hAnsi="楷体" w:eastAsia="楷体" w:cs="楷体"/>
          <w:color w:val="auto"/>
          <w:sz w:val="28"/>
        </w:rPr>
        <w:t>)法定代表人（负责人）身份证明书</w:t>
      </w:r>
      <w:bookmarkEnd w:id="243"/>
      <w:bookmarkEnd w:id="245"/>
    </w:p>
    <w:p w14:paraId="7BACBD71">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兹证明</w:t>
      </w:r>
      <w:r>
        <w:rPr>
          <w:rFonts w:hint="eastAsia" w:ascii="楷体" w:hAnsi="楷体" w:eastAsia="楷体" w:cs="楷体"/>
          <w:color w:val="auto"/>
          <w:sz w:val="28"/>
          <w:szCs w:val="28"/>
          <w:u w:val="single"/>
        </w:rPr>
        <w:t xml:space="preserve"> （姓名</w:t>
      </w:r>
      <w:r>
        <w:rPr>
          <w:rFonts w:hint="eastAsia" w:ascii="楷体" w:hAnsi="楷体" w:eastAsia="楷体" w:cs="楷体"/>
          <w:color w:val="auto"/>
          <w:sz w:val="28"/>
          <w:u w:val="single"/>
        </w:rPr>
        <w:t xml:space="preserve">） </w:t>
      </w:r>
      <w:r>
        <w:rPr>
          <w:rFonts w:hint="eastAsia" w:ascii="楷体" w:hAnsi="楷体" w:eastAsia="楷体" w:cs="楷体"/>
          <w:color w:val="auto"/>
          <w:sz w:val="28"/>
          <w:szCs w:val="28"/>
        </w:rPr>
        <w:t>同志，性别</w:t>
      </w:r>
      <w:r>
        <w:rPr>
          <w:rFonts w:hint="eastAsia" w:ascii="楷体" w:hAnsi="楷体" w:eastAsia="楷体" w:cs="楷体"/>
          <w:color w:val="auto"/>
          <w:sz w:val="28"/>
          <w:szCs w:val="28"/>
          <w:u w:val="single"/>
        </w:rPr>
        <w:t xml:space="preserve"> （男/女） </w:t>
      </w:r>
      <w:r>
        <w:rPr>
          <w:rFonts w:hint="eastAsia" w:ascii="楷体" w:hAnsi="楷体" w:eastAsia="楷体" w:cs="楷体"/>
          <w:color w:val="auto"/>
          <w:sz w:val="28"/>
          <w:szCs w:val="28"/>
        </w:rPr>
        <w:t>，</w:t>
      </w:r>
      <w:r>
        <w:rPr>
          <w:rFonts w:hint="eastAsia" w:ascii="楷体" w:hAnsi="楷体" w:eastAsia="楷体" w:cs="楷体"/>
          <w:color w:val="auto"/>
          <w:sz w:val="28"/>
        </w:rPr>
        <w:t>居民身份证号</w:t>
      </w:r>
      <w:r>
        <w:rPr>
          <w:rFonts w:hint="eastAsia" w:ascii="楷体" w:hAnsi="楷体" w:eastAsia="楷体" w:cs="楷体"/>
          <w:color w:val="auto"/>
          <w:sz w:val="28"/>
          <w:szCs w:val="28"/>
          <w:u w:val="single"/>
        </w:rPr>
        <w:t xml:space="preserve"> （身份证号码） </w:t>
      </w:r>
      <w:r>
        <w:rPr>
          <w:rFonts w:hint="eastAsia" w:ascii="楷体" w:hAnsi="楷体" w:eastAsia="楷体" w:cs="楷体"/>
          <w:color w:val="auto"/>
          <w:sz w:val="28"/>
          <w:szCs w:val="28"/>
        </w:rPr>
        <w:t>，在我单位任</w:t>
      </w:r>
      <w:r>
        <w:rPr>
          <w:rFonts w:hint="eastAsia" w:ascii="楷体" w:hAnsi="楷体" w:eastAsia="楷体" w:cs="楷体"/>
          <w:color w:val="auto"/>
          <w:sz w:val="28"/>
          <w:szCs w:val="28"/>
          <w:u w:val="single"/>
        </w:rPr>
        <w:t xml:space="preserve"> （职务） </w:t>
      </w:r>
      <w:r>
        <w:rPr>
          <w:rFonts w:hint="eastAsia" w:ascii="楷体" w:hAnsi="楷体" w:eastAsia="楷体" w:cs="楷体"/>
          <w:color w:val="auto"/>
          <w:sz w:val="28"/>
        </w:rPr>
        <w:t>，系我单位主要负责人即法定代表人（负责人）</w:t>
      </w:r>
      <w:r>
        <w:rPr>
          <w:rFonts w:hint="eastAsia" w:ascii="楷体" w:hAnsi="楷体" w:eastAsia="楷体" w:cs="楷体"/>
          <w:color w:val="auto"/>
          <w:sz w:val="28"/>
          <w:szCs w:val="28"/>
        </w:rPr>
        <w:t>。</w:t>
      </w:r>
    </w:p>
    <w:p w14:paraId="04160B94">
      <w:pPr>
        <w:pStyle w:val="277"/>
        <w:spacing w:line="360" w:lineRule="auto"/>
        <w:ind w:firstLine="560"/>
        <w:rPr>
          <w:rFonts w:hint="eastAsia" w:ascii="楷体" w:hAnsi="楷体" w:eastAsia="楷体" w:cs="楷体"/>
          <w:color w:val="auto"/>
          <w:sz w:val="28"/>
          <w:szCs w:val="28"/>
        </w:rPr>
      </w:pPr>
    </w:p>
    <w:p w14:paraId="08A0C5D2">
      <w:pPr>
        <w:pStyle w:val="277"/>
        <w:spacing w:line="360" w:lineRule="auto"/>
        <w:ind w:firstLine="560"/>
        <w:rPr>
          <w:rFonts w:hint="eastAsia" w:ascii="楷体" w:hAnsi="楷体" w:eastAsia="楷体" w:cs="楷体"/>
          <w:color w:val="auto"/>
          <w:sz w:val="28"/>
          <w:szCs w:val="28"/>
        </w:rPr>
      </w:pPr>
    </w:p>
    <w:p w14:paraId="202DB228">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单位地址：</w:t>
      </w:r>
      <w:r>
        <w:rPr>
          <w:rFonts w:hint="eastAsia" w:ascii="楷体" w:hAnsi="楷体" w:eastAsia="楷体" w:cs="楷体"/>
          <w:b/>
          <w:color w:val="auto"/>
          <w:sz w:val="24"/>
          <w:u w:val="single"/>
        </w:rPr>
        <w:t>××</w:t>
      </w:r>
    </w:p>
    <w:p w14:paraId="0101C96B">
      <w:pPr>
        <w:pStyle w:val="277"/>
        <w:spacing w:line="360" w:lineRule="auto"/>
        <w:ind w:firstLine="560"/>
        <w:rPr>
          <w:rFonts w:hint="eastAsia" w:ascii="楷体" w:hAnsi="楷体" w:eastAsia="楷体" w:cs="楷体"/>
          <w:color w:val="auto"/>
          <w:sz w:val="28"/>
          <w:szCs w:val="28"/>
        </w:rPr>
      </w:pPr>
    </w:p>
    <w:p w14:paraId="74A87901">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电    话：</w:t>
      </w:r>
      <w:r>
        <w:rPr>
          <w:rFonts w:hint="eastAsia" w:ascii="楷体" w:hAnsi="楷体" w:eastAsia="楷体" w:cs="楷体"/>
          <w:b/>
          <w:color w:val="auto"/>
          <w:sz w:val="24"/>
          <w:u w:val="single"/>
        </w:rPr>
        <w:t>××</w:t>
      </w:r>
    </w:p>
    <w:p w14:paraId="48412167">
      <w:pPr>
        <w:pStyle w:val="277"/>
        <w:spacing w:line="360" w:lineRule="auto"/>
        <w:ind w:firstLine="560"/>
        <w:rPr>
          <w:rFonts w:hint="eastAsia" w:ascii="楷体" w:hAnsi="楷体" w:eastAsia="楷体" w:cs="楷体"/>
          <w:color w:val="auto"/>
          <w:sz w:val="28"/>
          <w:szCs w:val="28"/>
        </w:rPr>
      </w:pPr>
    </w:p>
    <w:p w14:paraId="22469DA2">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单位全称： </w:t>
      </w:r>
      <w:r>
        <w:rPr>
          <w:rFonts w:hint="eastAsia" w:ascii="楷体" w:hAnsi="楷体" w:eastAsia="楷体" w:cs="楷体"/>
          <w:color w:val="auto"/>
          <w:sz w:val="28"/>
          <w:szCs w:val="24"/>
        </w:rPr>
        <w:t xml:space="preserve"> </w:t>
      </w:r>
      <w:r>
        <w:rPr>
          <w:rFonts w:hint="eastAsia" w:ascii="楷体" w:hAnsi="楷体" w:eastAsia="楷体" w:cs="楷体"/>
          <w:b/>
          <w:color w:val="auto"/>
          <w:sz w:val="24"/>
          <w:u w:val="single"/>
        </w:rPr>
        <w:t>××</w:t>
      </w:r>
    </w:p>
    <w:p w14:paraId="357B0C37">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14:paraId="11266E9F">
      <w:pPr>
        <w:pStyle w:val="277"/>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单位盖章： </w:t>
      </w:r>
      <w:r>
        <w:rPr>
          <w:rFonts w:hint="eastAsia" w:ascii="楷体" w:hAnsi="楷体" w:eastAsia="楷体" w:cs="楷体"/>
          <w:color w:val="auto"/>
          <w:sz w:val="28"/>
          <w:szCs w:val="24"/>
        </w:rPr>
        <w:t xml:space="preserve"> </w:t>
      </w:r>
      <w:r>
        <w:rPr>
          <w:rFonts w:hint="eastAsia" w:ascii="楷体" w:hAnsi="楷体" w:eastAsia="楷体" w:cs="楷体"/>
          <w:b/>
          <w:color w:val="auto"/>
          <w:sz w:val="24"/>
          <w:u w:val="single"/>
        </w:rPr>
        <w:t>××</w:t>
      </w:r>
    </w:p>
    <w:p w14:paraId="3693F30E">
      <w:pPr>
        <w:pStyle w:val="277"/>
        <w:spacing w:line="360" w:lineRule="auto"/>
        <w:ind w:firstLine="560"/>
        <w:jc w:val="center"/>
        <w:rPr>
          <w:rFonts w:hint="eastAsia" w:ascii="楷体" w:hAnsi="楷体" w:eastAsia="楷体" w:cs="楷体"/>
          <w:color w:val="auto"/>
          <w:sz w:val="28"/>
          <w:szCs w:val="28"/>
        </w:rPr>
      </w:pPr>
    </w:p>
    <w:p w14:paraId="5331A1A2">
      <w:pPr>
        <w:pStyle w:val="277"/>
        <w:spacing w:line="360" w:lineRule="auto"/>
        <w:ind w:firstLine="560"/>
        <w:jc w:val="right"/>
        <w:rPr>
          <w:rFonts w:hint="eastAsia" w:ascii="楷体" w:hAnsi="楷体" w:eastAsia="楷体" w:cs="楷体"/>
          <w:color w:val="auto"/>
          <w:sz w:val="28"/>
          <w:szCs w:val="28"/>
        </w:rPr>
      </w:pPr>
    </w:p>
    <w:p w14:paraId="12364BF3">
      <w:pPr>
        <w:pStyle w:val="277"/>
        <w:tabs>
          <w:tab w:val="left" w:pos="7290"/>
        </w:tabs>
        <w:spacing w:line="36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rPr>
        <w:t xml:space="preserve">                                 年     月    日</w:t>
      </w:r>
    </w:p>
    <w:p w14:paraId="704037ED">
      <w:pPr>
        <w:pStyle w:val="277"/>
        <w:spacing w:line="360" w:lineRule="auto"/>
        <w:rPr>
          <w:rFonts w:hint="eastAsia" w:ascii="楷体" w:hAnsi="楷体" w:eastAsia="楷体" w:cs="楷体"/>
          <w:color w:val="auto"/>
          <w:sz w:val="28"/>
        </w:rPr>
      </w:pPr>
    </w:p>
    <w:p w14:paraId="21925AD1">
      <w:pPr>
        <w:pStyle w:val="277"/>
        <w:spacing w:line="360" w:lineRule="auto"/>
        <w:ind w:firstLine="643"/>
        <w:jc w:val="left"/>
        <w:rPr>
          <w:rFonts w:hint="eastAsia" w:ascii="楷体" w:hAnsi="楷体" w:eastAsia="楷体" w:cs="楷体"/>
          <w:b/>
          <w:color w:val="auto"/>
          <w:sz w:val="32"/>
          <w:szCs w:val="32"/>
        </w:rPr>
      </w:pPr>
      <w:r>
        <w:rPr>
          <w:rFonts w:hint="eastAsia" w:ascii="楷体" w:hAnsi="楷体" w:eastAsia="楷体" w:cs="楷体"/>
          <w:b/>
          <w:color w:val="auto"/>
          <w:sz w:val="32"/>
          <w:szCs w:val="32"/>
        </w:rPr>
        <w:t>附：法定代表人居民身份证扫描件</w:t>
      </w:r>
    </w:p>
    <w:p w14:paraId="6F4FF236">
      <w:pPr>
        <w:pStyle w:val="277"/>
        <w:tabs>
          <w:tab w:val="left" w:pos="7290"/>
        </w:tabs>
        <w:spacing w:line="276" w:lineRule="auto"/>
        <w:ind w:firstLine="560"/>
        <w:rPr>
          <w:rFonts w:hint="eastAsia" w:ascii="楷体" w:hAnsi="楷体" w:eastAsia="楷体" w:cs="楷体"/>
          <w:color w:val="auto"/>
          <w:sz w:val="28"/>
        </w:rPr>
      </w:pPr>
      <w:r>
        <w:rPr>
          <w:rFonts w:hint="eastAsia" w:ascii="楷体" w:hAnsi="楷体" w:eastAsia="楷体" w:cs="楷体"/>
          <w:color w:val="auto"/>
          <w:sz w:val="28"/>
          <w:u w:val="single"/>
        </w:rPr>
        <w:t>注：1.“法定代表人”直接参加</w:t>
      </w:r>
      <w:r>
        <w:rPr>
          <w:rFonts w:hint="eastAsia" w:ascii="楷体" w:hAnsi="楷体" w:eastAsia="楷体" w:cs="楷体"/>
          <w:color w:val="auto"/>
          <w:sz w:val="28"/>
          <w:u w:val="single"/>
          <w:lang w:eastAsia="zh-CN"/>
        </w:rPr>
        <w:t>磋商</w:t>
      </w:r>
      <w:r>
        <w:rPr>
          <w:rFonts w:hint="eastAsia" w:ascii="楷体" w:hAnsi="楷体" w:eastAsia="楷体" w:cs="楷体"/>
          <w:color w:val="auto"/>
          <w:sz w:val="28"/>
          <w:u w:val="single"/>
        </w:rPr>
        <w:t>响应活动的仅需填写本身份证明</w:t>
      </w:r>
      <w:r>
        <w:rPr>
          <w:rFonts w:hint="eastAsia" w:ascii="楷体" w:hAnsi="楷体" w:eastAsia="楷体" w:cs="楷体"/>
          <w:color w:val="auto"/>
          <w:sz w:val="28"/>
        </w:rPr>
        <w:t>，</w:t>
      </w:r>
      <w:r>
        <w:rPr>
          <w:rFonts w:hint="eastAsia" w:ascii="楷体" w:hAnsi="楷体" w:eastAsia="楷体" w:cs="楷体"/>
          <w:color w:val="auto"/>
          <w:sz w:val="28"/>
          <w:szCs w:val="28"/>
          <w:u w:val="single"/>
        </w:rPr>
        <w:t>个人居民身份证携带备查</w:t>
      </w:r>
      <w:r>
        <w:rPr>
          <w:rFonts w:hint="eastAsia" w:ascii="楷体" w:hAnsi="楷体" w:eastAsia="楷体" w:cs="楷体"/>
          <w:color w:val="auto"/>
          <w:sz w:val="28"/>
        </w:rPr>
        <w:t>。</w:t>
      </w:r>
    </w:p>
    <w:p w14:paraId="10077C47">
      <w:pPr>
        <w:pStyle w:val="277"/>
        <w:tabs>
          <w:tab w:val="left" w:pos="7290"/>
        </w:tabs>
        <w:spacing w:line="276" w:lineRule="auto"/>
        <w:ind w:firstLine="562"/>
        <w:rPr>
          <w:rFonts w:hint="eastAsia" w:ascii="楷体" w:hAnsi="楷体" w:eastAsia="楷体" w:cs="楷体"/>
          <w:b/>
          <w:color w:val="auto"/>
          <w:sz w:val="28"/>
          <w:szCs w:val="28"/>
          <w:u w:val="single"/>
        </w:rPr>
      </w:pPr>
      <w:r>
        <w:rPr>
          <w:rFonts w:hint="eastAsia" w:ascii="楷体" w:hAnsi="楷体" w:eastAsia="楷体" w:cs="楷体"/>
          <w:b/>
          <w:color w:val="auto"/>
          <w:sz w:val="28"/>
          <w:szCs w:val="28"/>
          <w:u w:val="single"/>
        </w:rPr>
        <w:t>2.供应商属于非法人组织的，按照法律、行政法规规定能够对外代表其从事民事活动的主要负责人，如个人独资企业的投资人，代表合伙企业执行合伙企业事务的合伙人等，视同法定代表人。</w:t>
      </w:r>
    </w:p>
    <w:p w14:paraId="3F94D6FB">
      <w:pPr>
        <w:pStyle w:val="278"/>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2"/>
        <w:rPr>
          <w:rFonts w:hint="eastAsia" w:ascii="楷体" w:hAnsi="楷体" w:eastAsia="楷体" w:cs="楷体"/>
          <w:color w:val="auto"/>
        </w:rPr>
      </w:pPr>
      <w:r>
        <w:rPr>
          <w:rFonts w:hint="eastAsia" w:ascii="楷体" w:hAnsi="楷体" w:eastAsia="楷体" w:cs="楷体"/>
          <w:color w:val="auto"/>
        </w:rPr>
        <w:br w:type="page" w:clear="all"/>
      </w:r>
      <w:bookmarkStart w:id="246" w:name="_Toc256000074"/>
      <w:bookmarkStart w:id="247" w:name="_Toc11589"/>
      <w:r>
        <w:rPr>
          <w:rFonts w:hint="eastAsia" w:ascii="楷体" w:hAnsi="楷体" w:eastAsia="楷体" w:cs="楷体"/>
          <w:color w:val="auto"/>
          <w:sz w:val="28"/>
        </w:rPr>
        <w:t>(</w:t>
      </w:r>
      <w:r>
        <w:rPr>
          <w:rFonts w:hint="eastAsia" w:ascii="楷体" w:hAnsi="楷体" w:eastAsia="楷体" w:cs="楷体"/>
          <w:color w:val="auto"/>
          <w:sz w:val="28"/>
          <w:lang w:val="en-US" w:eastAsia="zh-CN"/>
        </w:rPr>
        <w:t>九</w:t>
      </w:r>
      <w:r>
        <w:rPr>
          <w:rFonts w:hint="eastAsia" w:ascii="楷体" w:hAnsi="楷体" w:eastAsia="楷体" w:cs="楷体"/>
          <w:color w:val="auto"/>
          <w:sz w:val="28"/>
        </w:rPr>
        <w:t>)法定代表人（负责人）授权委托书</w:t>
      </w:r>
      <w:bookmarkEnd w:id="246"/>
      <w:bookmarkEnd w:id="247"/>
    </w:p>
    <w:p w14:paraId="42059881">
      <w:pPr>
        <w:pStyle w:val="279"/>
        <w:keepNext w:val="0"/>
        <w:keepLines w:val="0"/>
        <w:pageBreakBefore w:val="0"/>
        <w:widowControl w:val="0"/>
        <w:kinsoku/>
        <w:wordWrap/>
        <w:overflowPunct/>
        <w:topLinePunct w:val="0"/>
        <w:autoSpaceDE/>
        <w:autoSpaceDN/>
        <w:bidi w:val="0"/>
        <w:adjustRightInd/>
        <w:snapToGrid/>
        <w:spacing w:line="360" w:lineRule="auto"/>
        <w:ind w:right="0" w:firstLine="561"/>
        <w:textAlignment w:val="auto"/>
        <w:rPr>
          <w:rFonts w:hint="eastAsia" w:ascii="楷体" w:hAnsi="楷体" w:eastAsia="楷体" w:cs="楷体"/>
          <w:color w:val="auto"/>
          <w:sz w:val="28"/>
          <w:lang w:val="en-US" w:eastAsia="zh-CN"/>
        </w:rPr>
      </w:pPr>
      <w:r>
        <w:rPr>
          <w:rFonts w:hint="eastAsia" w:ascii="楷体" w:hAnsi="楷体" w:eastAsia="楷体" w:cs="楷体"/>
          <w:color w:val="auto"/>
          <w:sz w:val="28"/>
          <w:lang w:val="en-US" w:eastAsia="zh-CN"/>
        </w:rPr>
        <w:t>本授权书声明：</w:t>
      </w:r>
      <w:r>
        <w:rPr>
          <w:rFonts w:hint="eastAsia" w:ascii="楷体" w:hAnsi="楷体" w:eastAsia="楷体" w:cs="楷体"/>
          <w:color w:val="auto"/>
          <w:sz w:val="28"/>
          <w:u w:val="single"/>
          <w:lang w:val="en-US" w:eastAsia="zh-CN"/>
        </w:rPr>
        <w:t xml:space="preserve"> （供应商名称） </w:t>
      </w:r>
      <w:r>
        <w:rPr>
          <w:rFonts w:hint="eastAsia" w:ascii="楷体" w:hAnsi="楷体" w:eastAsia="楷体" w:cs="楷体"/>
          <w:color w:val="auto"/>
          <w:sz w:val="28"/>
          <w:lang w:val="en-US" w:eastAsia="zh-CN"/>
        </w:rPr>
        <w:t>法定代表人（负责人）</w:t>
      </w:r>
      <w:r>
        <w:rPr>
          <w:rFonts w:hint="eastAsia" w:ascii="楷体" w:hAnsi="楷体" w:eastAsia="楷体" w:cs="楷体"/>
          <w:color w:val="auto"/>
          <w:sz w:val="28"/>
          <w:u w:val="single"/>
          <w:lang w:val="en-US" w:eastAsia="zh-CN"/>
        </w:rPr>
        <w:t xml:space="preserve"> （姓名） </w:t>
      </w:r>
      <w:r>
        <w:rPr>
          <w:rFonts w:hint="eastAsia" w:ascii="楷体" w:hAnsi="楷体" w:eastAsia="楷体" w:cs="楷体"/>
          <w:color w:val="auto"/>
          <w:sz w:val="28"/>
          <w:lang w:val="en-US" w:eastAsia="zh-CN"/>
        </w:rPr>
        <w:t>授权</w:t>
      </w:r>
      <w:r>
        <w:rPr>
          <w:rFonts w:hint="eastAsia" w:ascii="楷体" w:hAnsi="楷体" w:eastAsia="楷体" w:cs="楷体"/>
          <w:color w:val="auto"/>
          <w:sz w:val="28"/>
          <w:u w:val="single"/>
          <w:lang w:val="en-US" w:eastAsia="zh-CN"/>
        </w:rPr>
        <w:t>（委托代理人的姓名、职务）</w:t>
      </w:r>
      <w:r>
        <w:rPr>
          <w:rFonts w:hint="eastAsia" w:ascii="楷体" w:hAnsi="楷体" w:eastAsia="楷体" w:cs="楷体"/>
          <w:color w:val="auto"/>
          <w:sz w:val="28"/>
          <w:lang w:val="en-US" w:eastAsia="zh-CN"/>
        </w:rPr>
        <w:t>为我方就</w:t>
      </w:r>
      <w:r>
        <w:rPr>
          <w:rFonts w:hint="eastAsia" w:ascii="楷体" w:hAnsi="楷体" w:eastAsia="楷体" w:cs="楷体"/>
          <w:color w:val="auto"/>
          <w:sz w:val="28"/>
          <w:u w:val="single"/>
          <w:lang w:val="en-US" w:eastAsia="zh-CN"/>
        </w:rPr>
        <w:t>××××（代理机构）代理的××××（项目编号、项目名称）</w:t>
      </w:r>
      <w:r>
        <w:rPr>
          <w:rFonts w:hint="eastAsia" w:ascii="楷体" w:hAnsi="楷体" w:eastAsia="楷体" w:cs="楷体"/>
          <w:bCs/>
          <w:color w:val="auto"/>
          <w:sz w:val="28"/>
          <w:lang w:val="en-US" w:eastAsia="zh-CN"/>
        </w:rPr>
        <w:t>项目</w:t>
      </w:r>
      <w:r>
        <w:rPr>
          <w:rFonts w:hint="eastAsia" w:ascii="楷体" w:hAnsi="楷体" w:eastAsia="楷体" w:cs="楷体"/>
          <w:color w:val="auto"/>
          <w:sz w:val="28"/>
          <w:lang w:val="en-US" w:eastAsia="zh-CN"/>
        </w:rPr>
        <w:t>的磋商活动的合法代理人，以本单位名义全权处理一切与该项目磋商有关的事务（含合同签订）。</w:t>
      </w:r>
    </w:p>
    <w:p w14:paraId="5A9CCD1E">
      <w:pPr>
        <w:pStyle w:val="279"/>
        <w:tabs>
          <w:tab w:val="left" w:pos="5560"/>
        </w:tabs>
        <w:spacing w:line="360" w:lineRule="auto"/>
        <w:ind w:firstLine="560"/>
        <w:rPr>
          <w:rFonts w:hint="eastAsia" w:ascii="楷体" w:hAnsi="楷体" w:eastAsia="楷体" w:cs="楷体"/>
          <w:color w:val="auto"/>
          <w:sz w:val="28"/>
          <w:lang w:val="en-US" w:eastAsia="zh-CN"/>
        </w:rPr>
      </w:pPr>
      <w:r>
        <w:rPr>
          <w:rFonts w:hint="eastAsia" w:ascii="楷体" w:hAnsi="楷体" w:eastAsia="楷体" w:cs="楷体"/>
          <w:color w:val="auto"/>
          <w:sz w:val="28"/>
          <w:lang w:val="en-US" w:eastAsia="zh-CN"/>
        </w:rPr>
        <w:tab/>
      </w:r>
    </w:p>
    <w:p w14:paraId="241FA5B8">
      <w:pPr>
        <w:pStyle w:val="280"/>
        <w:ind w:firstLine="560" w:firstLineChars="200"/>
        <w:rPr>
          <w:rFonts w:hint="eastAsia" w:ascii="楷体" w:hAnsi="楷体" w:eastAsia="楷体" w:cs="楷体"/>
          <w:color w:val="auto"/>
          <w:lang w:val="en-US" w:eastAsia="zh-CN"/>
        </w:rPr>
      </w:pPr>
      <w:r>
        <w:rPr>
          <w:rFonts w:hint="eastAsia" w:ascii="楷体" w:hAnsi="楷体" w:eastAsia="楷体" w:cs="楷体"/>
          <w:color w:val="auto"/>
          <w:sz w:val="28"/>
          <w:lang w:val="en-US" w:eastAsia="zh-CN"/>
        </w:rPr>
        <w:t>本授权委托书于</w:t>
      </w:r>
      <w:r>
        <w:rPr>
          <w:rFonts w:hint="eastAsia" w:ascii="楷体" w:hAnsi="楷体" w:eastAsia="楷体" w:cs="楷体"/>
          <w:color w:val="auto"/>
          <w:sz w:val="28"/>
          <w:u w:val="single"/>
          <w:lang w:val="en-US" w:eastAsia="zh-CN"/>
        </w:rPr>
        <w:t xml:space="preserve">  </w:t>
      </w:r>
      <w:r>
        <w:rPr>
          <w:rFonts w:hint="eastAsia" w:ascii="楷体" w:hAnsi="楷体" w:eastAsia="楷体" w:cs="楷体"/>
          <w:color w:val="auto"/>
          <w:sz w:val="28"/>
          <w:lang w:val="en-US" w:eastAsia="zh-CN"/>
        </w:rPr>
        <w:t>年</w:t>
      </w:r>
      <w:r>
        <w:rPr>
          <w:rFonts w:hint="eastAsia" w:ascii="楷体" w:hAnsi="楷体" w:eastAsia="楷体" w:cs="楷体"/>
          <w:color w:val="auto"/>
          <w:sz w:val="28"/>
          <w:u w:val="single"/>
          <w:lang w:val="en-US" w:eastAsia="zh-CN"/>
        </w:rPr>
        <w:t xml:space="preserve">  </w:t>
      </w:r>
      <w:r>
        <w:rPr>
          <w:rFonts w:hint="eastAsia" w:ascii="楷体" w:hAnsi="楷体" w:eastAsia="楷体" w:cs="楷体"/>
          <w:color w:val="auto"/>
          <w:sz w:val="28"/>
          <w:lang w:val="en-US" w:eastAsia="zh-CN"/>
        </w:rPr>
        <w:t>月</w:t>
      </w:r>
      <w:r>
        <w:rPr>
          <w:rFonts w:hint="eastAsia" w:ascii="楷体" w:hAnsi="楷体" w:eastAsia="楷体" w:cs="楷体"/>
          <w:color w:val="auto"/>
          <w:sz w:val="28"/>
          <w:u w:val="single"/>
          <w:lang w:val="en-US" w:eastAsia="zh-CN"/>
        </w:rPr>
        <w:t xml:space="preserve">  </w:t>
      </w:r>
      <w:r>
        <w:rPr>
          <w:rFonts w:hint="eastAsia" w:ascii="楷体" w:hAnsi="楷体" w:eastAsia="楷体" w:cs="楷体"/>
          <w:color w:val="auto"/>
          <w:sz w:val="28"/>
          <w:lang w:val="en-US" w:eastAsia="zh-CN"/>
        </w:rPr>
        <w:t>日在相应位置签字或盖章后生效，特此声明。</w:t>
      </w:r>
    </w:p>
    <w:p w14:paraId="6CD1727D">
      <w:pPr>
        <w:pStyle w:val="279"/>
        <w:spacing w:line="360" w:lineRule="auto"/>
        <w:ind w:firstLine="560"/>
        <w:rPr>
          <w:rFonts w:hint="eastAsia" w:ascii="楷体" w:hAnsi="楷体" w:eastAsia="楷体" w:cs="楷体"/>
          <w:color w:val="auto"/>
          <w:sz w:val="28"/>
          <w:lang w:val="en-US" w:eastAsia="zh-CN"/>
        </w:rPr>
      </w:pPr>
      <w:r>
        <w:rPr>
          <w:rFonts w:hint="eastAsia" w:ascii="楷体" w:hAnsi="楷体" w:eastAsia="楷体" w:cs="楷体"/>
          <w:color w:val="auto"/>
          <w:sz w:val="28"/>
          <w:lang w:val="en-US" w:eastAsia="zh-CN"/>
        </w:rPr>
        <w:t>委托代理人身份证号码：</w:t>
      </w:r>
      <w:r>
        <w:rPr>
          <w:rFonts w:hint="eastAsia" w:ascii="楷体" w:hAnsi="楷体" w:eastAsia="楷体" w:cs="楷体"/>
          <w:color w:val="auto"/>
          <w:sz w:val="24"/>
          <w:szCs w:val="24"/>
          <w:u w:val="single"/>
          <w:lang w:val="en-US" w:eastAsia="zh-CN"/>
        </w:rPr>
        <w:t xml:space="preserve">                              </w:t>
      </w:r>
    </w:p>
    <w:p w14:paraId="777B0518">
      <w:pPr>
        <w:pStyle w:val="279"/>
        <w:spacing w:line="360" w:lineRule="auto"/>
        <w:ind w:firstLine="560"/>
        <w:rPr>
          <w:rFonts w:hint="eastAsia" w:ascii="楷体" w:hAnsi="楷体" w:eastAsia="楷体" w:cs="楷体"/>
          <w:color w:val="auto"/>
          <w:sz w:val="28"/>
          <w:lang w:val="en-US" w:eastAsia="zh-CN"/>
        </w:rPr>
      </w:pPr>
      <w:r>
        <w:rPr>
          <w:rFonts w:hint="eastAsia" w:ascii="楷体" w:hAnsi="楷体" w:eastAsia="楷体" w:cs="楷体"/>
          <w:color w:val="auto"/>
          <w:sz w:val="28"/>
          <w:lang w:val="en-US" w:eastAsia="zh-CN"/>
        </w:rPr>
        <w:t>委托代理人联系电话：（手机）</w:t>
      </w:r>
      <w:r>
        <w:rPr>
          <w:rFonts w:hint="eastAsia" w:ascii="楷体" w:hAnsi="楷体" w:eastAsia="楷体" w:cs="楷体"/>
          <w:color w:val="auto"/>
          <w:sz w:val="24"/>
          <w:szCs w:val="24"/>
          <w:u w:val="single"/>
          <w:lang w:val="en-US" w:eastAsia="zh-CN"/>
        </w:rPr>
        <w:t xml:space="preserve">                          </w:t>
      </w:r>
    </w:p>
    <w:p w14:paraId="08D6F531">
      <w:pPr>
        <w:pStyle w:val="279"/>
        <w:spacing w:line="360" w:lineRule="auto"/>
        <w:ind w:firstLine="560"/>
        <w:rPr>
          <w:rFonts w:hint="eastAsia" w:ascii="楷体" w:hAnsi="楷体" w:eastAsia="楷体" w:cs="楷体"/>
          <w:color w:val="auto"/>
          <w:sz w:val="28"/>
          <w:u w:val="single"/>
          <w:lang w:val="en-US" w:eastAsia="zh-CN"/>
        </w:rPr>
      </w:pPr>
      <w:r>
        <w:rPr>
          <w:rFonts w:hint="eastAsia" w:ascii="楷体" w:hAnsi="楷体" w:eastAsia="楷体" w:cs="楷体"/>
          <w:color w:val="auto"/>
          <w:sz w:val="28"/>
          <w:lang w:val="en-US" w:eastAsia="zh-CN"/>
        </w:rPr>
        <w:t>法定代表人（负责人）签章</w:t>
      </w:r>
      <w:r>
        <w:rPr>
          <w:rFonts w:hint="eastAsia" w:ascii="楷体" w:hAnsi="楷体" w:eastAsia="楷体" w:cs="楷体"/>
          <w:color w:val="auto"/>
          <w:sz w:val="28"/>
          <w:u w:val="single"/>
          <w:lang w:val="en-US" w:eastAsia="zh-CN"/>
        </w:rPr>
        <w:t xml:space="preserve">：                        </w:t>
      </w:r>
    </w:p>
    <w:p w14:paraId="32C88355">
      <w:pPr>
        <w:pStyle w:val="279"/>
        <w:spacing w:line="360" w:lineRule="auto"/>
        <w:ind w:firstLine="560"/>
        <w:rPr>
          <w:rFonts w:hint="eastAsia" w:ascii="楷体" w:hAnsi="楷体" w:eastAsia="楷体" w:cs="楷体"/>
          <w:color w:val="auto"/>
          <w:sz w:val="28"/>
          <w:u w:val="single"/>
          <w:lang w:val="en-US" w:eastAsia="zh-CN"/>
        </w:rPr>
      </w:pPr>
      <w:r>
        <w:rPr>
          <w:rFonts w:hint="eastAsia" w:ascii="楷体" w:hAnsi="楷体" w:eastAsia="楷体" w:cs="楷体"/>
          <w:color w:val="auto"/>
          <w:sz w:val="28"/>
          <w:lang w:val="en-US" w:eastAsia="zh-CN"/>
        </w:rPr>
        <w:t xml:space="preserve">          </w:t>
      </w:r>
    </w:p>
    <w:p w14:paraId="5548EDC7">
      <w:pPr>
        <w:pStyle w:val="279"/>
        <w:spacing w:line="360" w:lineRule="auto"/>
        <w:ind w:firstLine="560"/>
        <w:rPr>
          <w:rFonts w:hint="eastAsia" w:ascii="楷体" w:hAnsi="楷体" w:eastAsia="楷体" w:cs="楷体"/>
          <w:color w:val="auto"/>
          <w:sz w:val="28"/>
          <w:lang w:val="en-US" w:eastAsia="zh-CN"/>
        </w:rPr>
      </w:pPr>
    </w:p>
    <w:p w14:paraId="7BB749E9">
      <w:pPr>
        <w:pStyle w:val="279"/>
        <w:spacing w:line="360" w:lineRule="auto"/>
        <w:ind w:firstLine="560"/>
        <w:rPr>
          <w:rFonts w:hint="eastAsia" w:ascii="楷体" w:hAnsi="楷体" w:eastAsia="楷体" w:cs="楷体"/>
          <w:color w:val="auto"/>
          <w:sz w:val="28"/>
          <w:lang w:val="en-US" w:eastAsia="zh-CN"/>
        </w:rPr>
      </w:pPr>
    </w:p>
    <w:p w14:paraId="132EA9C2">
      <w:pPr>
        <w:pStyle w:val="279"/>
        <w:spacing w:line="360" w:lineRule="auto"/>
        <w:ind w:firstLine="560"/>
        <w:rPr>
          <w:rFonts w:hint="eastAsia" w:ascii="楷体" w:hAnsi="楷体" w:eastAsia="楷体" w:cs="楷体"/>
          <w:color w:val="auto"/>
          <w:sz w:val="28"/>
          <w:lang w:val="en-US" w:eastAsia="zh-CN"/>
        </w:rPr>
      </w:pPr>
    </w:p>
    <w:p w14:paraId="341DFF8E">
      <w:pPr>
        <w:pStyle w:val="279"/>
        <w:spacing w:line="360" w:lineRule="auto"/>
        <w:ind w:firstLine="560"/>
        <w:rPr>
          <w:rFonts w:hint="eastAsia" w:ascii="楷体" w:hAnsi="楷体" w:eastAsia="楷体" w:cs="楷体"/>
          <w:color w:val="auto"/>
          <w:sz w:val="28"/>
          <w:lang w:val="en-US" w:eastAsia="zh-CN"/>
        </w:rPr>
      </w:pPr>
      <w:r>
        <w:rPr>
          <w:rFonts w:hint="eastAsia" w:ascii="楷体" w:hAnsi="楷体" w:eastAsia="楷体" w:cs="楷体"/>
          <w:color w:val="auto"/>
          <w:sz w:val="28"/>
          <w:lang w:val="en-US" w:eastAsia="zh-CN"/>
        </w:rPr>
        <w:t>供应商名称（公章）：</w:t>
      </w:r>
    </w:p>
    <w:p w14:paraId="44A0184D">
      <w:pPr>
        <w:pStyle w:val="279"/>
        <w:spacing w:line="360" w:lineRule="auto"/>
        <w:ind w:firstLine="560"/>
        <w:rPr>
          <w:rFonts w:hint="eastAsia" w:ascii="楷体" w:hAnsi="楷体" w:eastAsia="楷体" w:cs="楷体"/>
          <w:color w:val="auto"/>
          <w:sz w:val="28"/>
          <w:u w:val="single"/>
          <w:lang w:val="en-US" w:eastAsia="zh-CN"/>
        </w:rPr>
      </w:pPr>
      <w:r>
        <w:rPr>
          <w:rFonts w:hint="eastAsia" w:ascii="楷体" w:hAnsi="楷体" w:eastAsia="楷体" w:cs="楷体"/>
          <w:color w:val="auto"/>
          <w:sz w:val="28"/>
          <w:lang w:val="en-US" w:eastAsia="zh-CN"/>
        </w:rPr>
        <w:t>日     期：</w:t>
      </w:r>
    </w:p>
    <w:p w14:paraId="0E136A1C">
      <w:pPr>
        <w:pStyle w:val="279"/>
        <w:spacing w:line="360" w:lineRule="auto"/>
        <w:ind w:firstLine="643"/>
        <w:rPr>
          <w:rFonts w:hint="eastAsia" w:ascii="楷体" w:hAnsi="楷体" w:eastAsia="楷体" w:cs="楷体"/>
          <w:b/>
          <w:color w:val="auto"/>
          <w:sz w:val="32"/>
          <w:szCs w:val="32"/>
          <w:lang w:val="en-US" w:eastAsia="zh-CN"/>
        </w:rPr>
      </w:pPr>
    </w:p>
    <w:p w14:paraId="3ECE8F75">
      <w:pPr>
        <w:pStyle w:val="279"/>
        <w:spacing w:line="360" w:lineRule="auto"/>
        <w:ind w:firstLine="643"/>
        <w:rPr>
          <w:rFonts w:hint="eastAsia" w:ascii="楷体" w:hAnsi="楷体" w:eastAsia="楷体" w:cs="楷体"/>
          <w:b/>
          <w:color w:val="auto"/>
          <w:sz w:val="32"/>
          <w:szCs w:val="32"/>
          <w:lang w:val="en-US" w:eastAsia="zh-CN"/>
        </w:rPr>
      </w:pPr>
    </w:p>
    <w:p w14:paraId="34BA7533">
      <w:pPr>
        <w:pStyle w:val="279"/>
        <w:spacing w:line="360" w:lineRule="auto"/>
        <w:ind w:firstLine="643"/>
        <w:rPr>
          <w:rFonts w:hint="eastAsia" w:ascii="楷体" w:hAnsi="楷体" w:eastAsia="楷体" w:cs="楷体"/>
          <w:color w:val="auto"/>
          <w:sz w:val="28"/>
          <w:u w:val="single"/>
          <w:lang w:val="en-US" w:eastAsia="zh-CN"/>
        </w:rPr>
      </w:pPr>
      <w:r>
        <w:rPr>
          <w:rFonts w:hint="eastAsia" w:ascii="楷体" w:hAnsi="楷体" w:eastAsia="楷体" w:cs="楷体"/>
          <w:b/>
          <w:color w:val="auto"/>
          <w:sz w:val="32"/>
          <w:szCs w:val="32"/>
          <w:lang w:val="en-US" w:eastAsia="zh-CN"/>
        </w:rPr>
        <w:t>附：委托代理人居民身份证扫描件</w:t>
      </w:r>
    </w:p>
    <w:p w14:paraId="05F91EB7">
      <w:pPr>
        <w:pStyle w:val="280"/>
        <w:rPr>
          <w:rFonts w:hint="eastAsia" w:ascii="楷体" w:hAnsi="楷体" w:eastAsia="楷体" w:cs="楷体"/>
          <w:color w:val="auto"/>
          <w:lang w:val="en-US" w:eastAsia="zh-CN"/>
        </w:rPr>
      </w:pPr>
      <w:r>
        <w:rPr>
          <w:rFonts w:hint="eastAsia" w:ascii="楷体" w:hAnsi="楷体" w:eastAsia="楷体" w:cs="楷体"/>
          <w:color w:val="auto"/>
          <w:sz w:val="28"/>
          <w:szCs w:val="28"/>
          <w:u w:val="single"/>
          <w:lang w:val="en-US" w:eastAsia="zh-CN"/>
        </w:rPr>
        <w:t>注：“法定代表人</w:t>
      </w:r>
      <w:r>
        <w:rPr>
          <w:rFonts w:hint="eastAsia" w:ascii="楷体" w:hAnsi="楷体" w:eastAsia="楷体" w:cs="楷体"/>
          <w:color w:val="auto"/>
          <w:sz w:val="28"/>
          <w:u w:val="single"/>
          <w:lang w:val="en-US" w:eastAsia="zh-CN"/>
        </w:rPr>
        <w:t>（负责人）</w:t>
      </w:r>
      <w:r>
        <w:rPr>
          <w:rFonts w:hint="eastAsia" w:ascii="楷体" w:hAnsi="楷体" w:eastAsia="楷体" w:cs="楷体"/>
          <w:color w:val="auto"/>
          <w:sz w:val="28"/>
          <w:szCs w:val="28"/>
          <w:u w:val="single"/>
          <w:lang w:val="en-US" w:eastAsia="zh-CN"/>
        </w:rPr>
        <w:t>”授权委托其他人（必须为供应商正式员工，证明材料：社保交纳材料附后）磋商的，须填写法定代表人身份证明书和本授权委托书</w:t>
      </w:r>
      <w:r>
        <w:rPr>
          <w:rFonts w:hint="eastAsia" w:ascii="楷体" w:hAnsi="楷体" w:eastAsia="楷体" w:cs="楷体"/>
          <w:color w:val="auto"/>
          <w:sz w:val="28"/>
          <w:lang w:val="en-US" w:eastAsia="zh-CN"/>
        </w:rPr>
        <w:t>。</w:t>
      </w:r>
    </w:p>
    <w:p w14:paraId="21BBF568">
      <w:pPr>
        <w:pStyle w:val="5"/>
        <w:keepNext w:val="0"/>
        <w:keepLines w:val="0"/>
        <w:spacing w:line="360" w:lineRule="auto"/>
        <w:jc w:val="center"/>
        <w:rPr>
          <w:rFonts w:hint="eastAsia" w:ascii="楷体" w:hAnsi="楷体" w:eastAsia="楷体" w:cs="楷体"/>
          <w:color w:val="auto"/>
          <w:sz w:val="24"/>
          <w:szCs w:val="28"/>
        </w:rPr>
      </w:pPr>
      <w:r>
        <w:rPr>
          <w:rFonts w:hint="eastAsia" w:ascii="楷体" w:hAnsi="楷体" w:eastAsia="楷体" w:cs="楷体"/>
          <w:color w:val="auto"/>
        </w:rPr>
        <w:br w:type="page" w:clear="all"/>
      </w:r>
      <w:bookmarkStart w:id="248" w:name="_Toc22870"/>
      <w:bookmarkStart w:id="249" w:name="_Toc7847"/>
      <w:bookmarkStart w:id="250" w:name="_Toc19426"/>
      <w:r>
        <w:rPr>
          <w:rFonts w:hint="eastAsia" w:ascii="楷体" w:hAnsi="楷体" w:eastAsia="楷体" w:cs="楷体"/>
          <w:color w:val="auto"/>
          <w:sz w:val="28"/>
          <w:szCs w:val="24"/>
          <w:lang w:eastAsia="zh-CN" w:bidi="ar-SA"/>
        </w:rPr>
        <w:t>（</w:t>
      </w:r>
      <w:r>
        <w:rPr>
          <w:rFonts w:hint="eastAsia" w:ascii="楷体" w:hAnsi="楷体" w:eastAsia="楷体" w:cs="楷体"/>
          <w:color w:val="auto"/>
          <w:sz w:val="28"/>
          <w:szCs w:val="24"/>
          <w:lang w:val="en-US" w:eastAsia="zh-CN" w:bidi="ar-SA"/>
        </w:rPr>
        <w:t>十）</w:t>
      </w:r>
      <w:r>
        <w:rPr>
          <w:rFonts w:hint="eastAsia" w:ascii="楷体" w:hAnsi="楷体" w:eastAsia="楷体" w:cs="楷体"/>
          <w:color w:val="auto"/>
          <w:sz w:val="28"/>
          <w:szCs w:val="24"/>
          <w:lang w:bidi="ar-SA"/>
        </w:rPr>
        <w:t>落实政府采购政策需满足的资格要求</w:t>
      </w:r>
      <w:bookmarkEnd w:id="248"/>
    </w:p>
    <w:p w14:paraId="6230B0EC">
      <w:pPr>
        <w:pStyle w:val="5"/>
        <w:keepNext w:val="0"/>
        <w:keepLines w:val="0"/>
        <w:spacing w:line="360" w:lineRule="auto"/>
        <w:jc w:val="center"/>
        <w:rPr>
          <w:rFonts w:hint="eastAsia" w:ascii="楷体" w:hAnsi="楷体" w:eastAsia="楷体" w:cs="楷体"/>
          <w:b w:val="0"/>
          <w:bCs/>
          <w:color w:val="auto"/>
          <w:sz w:val="28"/>
          <w:szCs w:val="28"/>
          <w:highlight w:val="none"/>
        </w:rPr>
      </w:pPr>
      <w:bookmarkStart w:id="251" w:name="_Toc1132"/>
      <w:bookmarkStart w:id="252" w:name="_Toc16677"/>
      <w:r>
        <w:rPr>
          <w:rFonts w:hint="eastAsia" w:ascii="楷体" w:hAnsi="楷体" w:eastAsia="楷体" w:cs="楷体"/>
          <w:color w:val="auto"/>
          <w:highlight w:val="none"/>
        </w:rPr>
        <w:t>中小企业声明函</w:t>
      </w:r>
      <w:bookmarkEnd w:id="249"/>
      <w:bookmarkEnd w:id="250"/>
      <w:bookmarkEnd w:id="251"/>
      <w:bookmarkEnd w:id="252"/>
    </w:p>
    <w:p w14:paraId="41B2A6E7">
      <w:pPr>
        <w:pStyle w:val="31"/>
        <w:spacing w:before="240" w:beforeAutospacing="0" w:after="240" w:afterAutospacing="0" w:line="360" w:lineRule="auto"/>
        <w:ind w:firstLine="480"/>
        <w:rPr>
          <w:rFonts w:hint="eastAsia" w:ascii="楷体" w:hAnsi="楷体" w:eastAsia="楷体" w:cs="楷体"/>
          <w:color w:val="auto"/>
          <w:highlight w:val="none"/>
        </w:rPr>
      </w:pPr>
      <w:r>
        <w:rPr>
          <w:rFonts w:hint="eastAsia" w:ascii="楷体" w:hAnsi="楷体" w:eastAsia="楷体" w:cs="楷体"/>
          <w:color w:val="auto"/>
          <w:highlight w:val="none"/>
        </w:rPr>
        <w:t>本公司（联合体）郑重声明，根据《政府采购促进中小企业发展管理办法》（财库﹝2020﹞46号）的规定，本公司（联合体）参加</w:t>
      </w:r>
      <w:r>
        <w:rPr>
          <w:rFonts w:hint="eastAsia" w:ascii="楷体" w:hAnsi="楷体" w:eastAsia="楷体" w:cs="楷体"/>
          <w:color w:val="auto"/>
          <w:highlight w:val="none"/>
          <w:u w:val="single"/>
        </w:rPr>
        <w:t>（单位名称）</w:t>
      </w:r>
      <w:r>
        <w:rPr>
          <w:rFonts w:hint="eastAsia" w:ascii="楷体" w:hAnsi="楷体" w:eastAsia="楷体" w:cs="楷体"/>
          <w:color w:val="auto"/>
          <w:highlight w:val="none"/>
        </w:rPr>
        <w:t>的</w:t>
      </w:r>
      <w:r>
        <w:rPr>
          <w:rFonts w:hint="eastAsia" w:ascii="楷体" w:hAnsi="楷体" w:eastAsia="楷体" w:cs="楷体"/>
          <w:color w:val="auto"/>
          <w:highlight w:val="none"/>
          <w:u w:val="single"/>
        </w:rPr>
        <w:t>（项目名称）</w:t>
      </w:r>
      <w:r>
        <w:rPr>
          <w:rFonts w:hint="eastAsia" w:ascii="楷体" w:hAnsi="楷体" w:eastAsia="楷体" w:cs="楷体"/>
          <w:color w:val="auto"/>
          <w:highlight w:val="none"/>
        </w:rPr>
        <w:t>采购活动，服务全部由符合政策要求的中小企业承接。相关企业（含联合体中的中小企业、签订分包意向协议的中小企业）的具体情况如下：</w:t>
      </w:r>
    </w:p>
    <w:p w14:paraId="254DCEB2">
      <w:pPr>
        <w:pStyle w:val="31"/>
        <w:spacing w:before="240" w:beforeAutospacing="0" w:after="240" w:afterAutospacing="0" w:line="360" w:lineRule="auto"/>
        <w:ind w:firstLine="480"/>
        <w:rPr>
          <w:rFonts w:hint="eastAsia" w:ascii="楷体" w:hAnsi="楷体" w:eastAsia="楷体" w:cs="楷体"/>
          <w:color w:val="auto"/>
          <w:highlight w:val="none"/>
        </w:rPr>
      </w:pPr>
      <w:r>
        <w:rPr>
          <w:rFonts w:hint="eastAsia" w:ascii="楷体" w:hAnsi="楷体" w:eastAsia="楷体" w:cs="楷体"/>
          <w:color w:val="auto"/>
          <w:highlight w:val="none"/>
        </w:rPr>
        <w:t>1.</w:t>
      </w:r>
      <w:r>
        <w:rPr>
          <w:rFonts w:hint="eastAsia" w:ascii="楷体" w:hAnsi="楷体" w:eastAsia="楷体" w:cs="楷体"/>
          <w:color w:val="auto"/>
          <w:highlight w:val="none"/>
          <w:u w:val="single"/>
        </w:rPr>
        <w:t xml:space="preserve"> （标的名称） </w:t>
      </w:r>
      <w:r>
        <w:rPr>
          <w:rFonts w:hint="eastAsia" w:ascii="楷体" w:hAnsi="楷体" w:eastAsia="楷体" w:cs="楷体"/>
          <w:color w:val="auto"/>
          <w:highlight w:val="none"/>
        </w:rPr>
        <w:t>，属于</w:t>
      </w:r>
      <w:r>
        <w:rPr>
          <w:rFonts w:hint="eastAsia" w:ascii="楷体" w:hAnsi="楷体" w:eastAsia="楷体" w:cs="楷体"/>
          <w:color w:val="auto"/>
          <w:highlight w:val="none"/>
          <w:u w:val="single"/>
        </w:rPr>
        <w:t>（采购文件中明确的所属行业）</w:t>
      </w:r>
      <w:r>
        <w:rPr>
          <w:rFonts w:hint="eastAsia" w:ascii="楷体" w:hAnsi="楷体" w:eastAsia="楷体" w:cs="楷体"/>
          <w:color w:val="auto"/>
          <w:highlight w:val="none"/>
        </w:rPr>
        <w:t>；承接企业为</w:t>
      </w:r>
      <w:r>
        <w:rPr>
          <w:rFonts w:hint="eastAsia" w:ascii="楷体" w:hAnsi="楷体" w:eastAsia="楷体" w:cs="楷体"/>
          <w:color w:val="auto"/>
          <w:highlight w:val="none"/>
          <w:u w:val="single"/>
        </w:rPr>
        <w:t>（企业名称）</w:t>
      </w:r>
      <w:r>
        <w:rPr>
          <w:rFonts w:hint="eastAsia" w:ascii="楷体" w:hAnsi="楷体" w:eastAsia="楷体" w:cs="楷体"/>
          <w:color w:val="auto"/>
          <w:highlight w:val="none"/>
        </w:rPr>
        <w:t>，从业人员</w:t>
      </w:r>
      <w:r>
        <w:rPr>
          <w:rFonts w:hint="eastAsia" w:ascii="楷体" w:hAnsi="楷体" w:eastAsia="楷体" w:cs="楷体"/>
          <w:color w:val="auto"/>
          <w:highlight w:val="none"/>
          <w:u w:val="single"/>
        </w:rPr>
        <w:t>    </w:t>
      </w:r>
      <w:r>
        <w:rPr>
          <w:rFonts w:hint="eastAsia" w:ascii="楷体" w:hAnsi="楷体" w:eastAsia="楷体" w:cs="楷体"/>
          <w:color w:val="auto"/>
          <w:highlight w:val="none"/>
        </w:rPr>
        <w:t>人，营业 收入为</w:t>
      </w:r>
      <w:r>
        <w:rPr>
          <w:rFonts w:hint="eastAsia" w:ascii="楷体" w:hAnsi="楷体" w:eastAsia="楷体" w:cs="楷体"/>
          <w:color w:val="auto"/>
          <w:highlight w:val="none"/>
          <w:u w:val="single"/>
        </w:rPr>
        <w:t>    </w:t>
      </w:r>
      <w:r>
        <w:rPr>
          <w:rFonts w:hint="eastAsia" w:ascii="楷体" w:hAnsi="楷体" w:eastAsia="楷体" w:cs="楷体"/>
          <w:color w:val="auto"/>
          <w:highlight w:val="none"/>
        </w:rPr>
        <w:t>万元，资产总额为</w:t>
      </w:r>
      <w:r>
        <w:rPr>
          <w:rFonts w:hint="eastAsia" w:ascii="楷体" w:hAnsi="楷体" w:eastAsia="楷体" w:cs="楷体"/>
          <w:color w:val="auto"/>
          <w:highlight w:val="none"/>
          <w:u w:val="single"/>
        </w:rPr>
        <w:t>    </w:t>
      </w:r>
      <w:r>
        <w:rPr>
          <w:rFonts w:hint="eastAsia" w:ascii="楷体" w:hAnsi="楷体" w:eastAsia="楷体" w:cs="楷体"/>
          <w:color w:val="auto"/>
          <w:highlight w:val="none"/>
        </w:rPr>
        <w:t>万元，属于</w:t>
      </w:r>
      <w:r>
        <w:rPr>
          <w:rFonts w:hint="eastAsia" w:ascii="楷体" w:hAnsi="楷体" w:eastAsia="楷体" w:cs="楷体"/>
          <w:color w:val="auto"/>
          <w:highlight w:val="none"/>
          <w:u w:val="single"/>
        </w:rPr>
        <w:t>（中型企业、 小型企业、微型企业）</w:t>
      </w:r>
      <w:r>
        <w:rPr>
          <w:rFonts w:hint="eastAsia" w:ascii="楷体" w:hAnsi="楷体" w:eastAsia="楷体" w:cs="楷体"/>
          <w:color w:val="auto"/>
          <w:highlight w:val="none"/>
        </w:rPr>
        <w:t xml:space="preserve">； </w:t>
      </w:r>
    </w:p>
    <w:p w14:paraId="5F4CB2D1">
      <w:pPr>
        <w:pStyle w:val="31"/>
        <w:spacing w:before="240" w:beforeAutospacing="0" w:after="240" w:afterAutospacing="0" w:line="360" w:lineRule="auto"/>
        <w:ind w:firstLine="480"/>
        <w:rPr>
          <w:rFonts w:hint="eastAsia" w:ascii="楷体" w:hAnsi="楷体" w:eastAsia="楷体" w:cs="楷体"/>
          <w:color w:val="auto"/>
          <w:highlight w:val="none"/>
        </w:rPr>
      </w:pPr>
      <w:r>
        <w:rPr>
          <w:rFonts w:hint="eastAsia" w:ascii="楷体" w:hAnsi="楷体" w:eastAsia="楷体" w:cs="楷体"/>
          <w:color w:val="auto"/>
          <w:highlight w:val="none"/>
        </w:rPr>
        <w:t>2.</w:t>
      </w:r>
      <w:r>
        <w:rPr>
          <w:rFonts w:hint="eastAsia" w:ascii="楷体" w:hAnsi="楷体" w:eastAsia="楷体" w:cs="楷体"/>
          <w:color w:val="auto"/>
          <w:highlight w:val="none"/>
          <w:u w:val="single"/>
        </w:rPr>
        <w:t xml:space="preserve"> （标的名称） </w:t>
      </w:r>
      <w:r>
        <w:rPr>
          <w:rFonts w:hint="eastAsia" w:ascii="楷体" w:hAnsi="楷体" w:eastAsia="楷体" w:cs="楷体"/>
          <w:color w:val="auto"/>
          <w:highlight w:val="none"/>
        </w:rPr>
        <w:t>，属于</w:t>
      </w:r>
      <w:r>
        <w:rPr>
          <w:rFonts w:hint="eastAsia" w:ascii="楷体" w:hAnsi="楷体" w:eastAsia="楷体" w:cs="楷体"/>
          <w:color w:val="auto"/>
          <w:highlight w:val="none"/>
          <w:u w:val="single"/>
        </w:rPr>
        <w:t>（采购文件中明确的所属行业）</w:t>
      </w:r>
      <w:r>
        <w:rPr>
          <w:rFonts w:hint="eastAsia" w:ascii="楷体" w:hAnsi="楷体" w:eastAsia="楷体" w:cs="楷体"/>
          <w:color w:val="auto"/>
          <w:highlight w:val="none"/>
        </w:rPr>
        <w:t>；承接企业为</w:t>
      </w:r>
      <w:r>
        <w:rPr>
          <w:rFonts w:hint="eastAsia" w:ascii="楷体" w:hAnsi="楷体" w:eastAsia="楷体" w:cs="楷体"/>
          <w:color w:val="auto"/>
          <w:highlight w:val="none"/>
          <w:u w:val="single"/>
        </w:rPr>
        <w:t>（企业名称）</w:t>
      </w:r>
      <w:r>
        <w:rPr>
          <w:rFonts w:hint="eastAsia" w:ascii="楷体" w:hAnsi="楷体" w:eastAsia="楷体" w:cs="楷体"/>
          <w:color w:val="auto"/>
          <w:highlight w:val="none"/>
        </w:rPr>
        <w:t>，从业人员</w:t>
      </w:r>
      <w:r>
        <w:rPr>
          <w:rFonts w:hint="eastAsia" w:ascii="楷体" w:hAnsi="楷体" w:eastAsia="楷体" w:cs="楷体"/>
          <w:color w:val="auto"/>
          <w:highlight w:val="none"/>
          <w:u w:val="single"/>
        </w:rPr>
        <w:t>    </w:t>
      </w:r>
      <w:r>
        <w:rPr>
          <w:rFonts w:hint="eastAsia" w:ascii="楷体" w:hAnsi="楷体" w:eastAsia="楷体" w:cs="楷体"/>
          <w:color w:val="auto"/>
          <w:highlight w:val="none"/>
        </w:rPr>
        <w:t>人，营业 收入为</w:t>
      </w:r>
      <w:r>
        <w:rPr>
          <w:rFonts w:hint="eastAsia" w:ascii="楷体" w:hAnsi="楷体" w:eastAsia="楷体" w:cs="楷体"/>
          <w:color w:val="auto"/>
          <w:highlight w:val="none"/>
          <w:u w:val="single"/>
        </w:rPr>
        <w:t>    </w:t>
      </w:r>
      <w:r>
        <w:rPr>
          <w:rFonts w:hint="eastAsia" w:ascii="楷体" w:hAnsi="楷体" w:eastAsia="楷体" w:cs="楷体"/>
          <w:color w:val="auto"/>
          <w:highlight w:val="none"/>
        </w:rPr>
        <w:t>万元，资产总额为</w:t>
      </w:r>
      <w:r>
        <w:rPr>
          <w:rFonts w:hint="eastAsia" w:ascii="楷体" w:hAnsi="楷体" w:eastAsia="楷体" w:cs="楷体"/>
          <w:color w:val="auto"/>
          <w:highlight w:val="none"/>
          <w:u w:val="single"/>
        </w:rPr>
        <w:t>    </w:t>
      </w:r>
      <w:r>
        <w:rPr>
          <w:rFonts w:hint="eastAsia" w:ascii="楷体" w:hAnsi="楷体" w:eastAsia="楷体" w:cs="楷体"/>
          <w:color w:val="auto"/>
          <w:highlight w:val="none"/>
        </w:rPr>
        <w:t>万元，属于</w:t>
      </w:r>
      <w:r>
        <w:rPr>
          <w:rFonts w:hint="eastAsia" w:ascii="楷体" w:hAnsi="楷体" w:eastAsia="楷体" w:cs="楷体"/>
          <w:color w:val="auto"/>
          <w:highlight w:val="none"/>
          <w:u w:val="single"/>
        </w:rPr>
        <w:t>（中型企业、 小型企业、微型企业）</w:t>
      </w:r>
      <w:r>
        <w:rPr>
          <w:rFonts w:hint="eastAsia" w:ascii="楷体" w:hAnsi="楷体" w:eastAsia="楷体" w:cs="楷体"/>
          <w:color w:val="auto"/>
          <w:highlight w:val="none"/>
        </w:rPr>
        <w:t xml:space="preserve">； </w:t>
      </w:r>
    </w:p>
    <w:p w14:paraId="05F1D107">
      <w:pPr>
        <w:pStyle w:val="31"/>
        <w:spacing w:before="240" w:beforeAutospacing="0" w:after="240" w:afterAutospacing="0" w:line="360" w:lineRule="auto"/>
        <w:ind w:firstLine="482"/>
        <w:rPr>
          <w:rFonts w:hint="eastAsia" w:ascii="楷体" w:hAnsi="楷体" w:eastAsia="楷体" w:cs="楷体"/>
          <w:b/>
          <w:color w:val="auto"/>
          <w:highlight w:val="none"/>
        </w:rPr>
      </w:pPr>
      <w:r>
        <w:rPr>
          <w:rFonts w:hint="eastAsia" w:ascii="楷体" w:hAnsi="楷体" w:eastAsia="楷体" w:cs="楷体"/>
          <w:b/>
          <w:color w:val="auto"/>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7D42A3B2">
      <w:pPr>
        <w:pStyle w:val="31"/>
        <w:spacing w:before="240" w:beforeAutospacing="0" w:after="240" w:afterAutospacing="0" w:line="360" w:lineRule="auto"/>
        <w:ind w:firstLine="560"/>
        <w:rPr>
          <w:rFonts w:hint="eastAsia" w:ascii="楷体" w:hAnsi="楷体" w:eastAsia="楷体" w:cs="楷体"/>
          <w:color w:val="auto"/>
          <w:highlight w:val="none"/>
        </w:rPr>
      </w:pPr>
      <w:r>
        <w:rPr>
          <w:rFonts w:hint="eastAsia" w:ascii="楷体" w:hAnsi="楷体" w:eastAsia="楷体" w:cs="楷体"/>
          <w:color w:val="auto"/>
          <w:highlight w:val="none"/>
        </w:rPr>
        <w:t>企业名称（盖章）：</w:t>
      </w:r>
    </w:p>
    <w:p w14:paraId="273AA84A">
      <w:pPr>
        <w:pStyle w:val="31"/>
        <w:spacing w:before="240" w:beforeAutospacing="0" w:after="240" w:afterAutospacing="0" w:line="360" w:lineRule="auto"/>
        <w:ind w:firstLine="560"/>
        <w:rPr>
          <w:rFonts w:hint="eastAsia" w:ascii="楷体" w:hAnsi="楷体" w:eastAsia="楷体" w:cs="楷体"/>
          <w:color w:val="auto"/>
          <w:highlight w:val="none"/>
        </w:rPr>
      </w:pPr>
      <w:r>
        <w:rPr>
          <w:rFonts w:hint="eastAsia" w:ascii="楷体" w:hAnsi="楷体" w:eastAsia="楷体" w:cs="楷体"/>
          <w:color w:val="auto"/>
          <w:highlight w:val="none"/>
        </w:rPr>
        <w:t>日 期：</w:t>
      </w:r>
    </w:p>
    <w:p w14:paraId="79ACBD35">
      <w:pPr>
        <w:pStyle w:val="282"/>
        <w:spacing w:line="276" w:lineRule="auto"/>
        <w:jc w:val="both"/>
        <w:rPr>
          <w:rFonts w:hint="eastAsia" w:ascii="楷体" w:hAnsi="楷体" w:eastAsia="楷体" w:cs="楷体"/>
          <w:b/>
          <w:color w:val="auto"/>
          <w:highlight w:val="none"/>
          <w:u w:val="single"/>
        </w:rPr>
      </w:pPr>
      <w:r>
        <w:rPr>
          <w:rFonts w:hint="eastAsia" w:ascii="楷体" w:hAnsi="楷体" w:eastAsia="楷体" w:cs="楷体"/>
          <w:b/>
          <w:color w:val="auto"/>
          <w:highlight w:val="none"/>
          <w:u w:val="single"/>
        </w:rPr>
        <w:t>注：1.从业人员、营业收入、资产总额填报上一年度数据，无上一年度数据的新成立企业可不填报。</w:t>
      </w:r>
    </w:p>
    <w:p w14:paraId="122613EC">
      <w:pPr>
        <w:pStyle w:val="282"/>
        <w:spacing w:line="276" w:lineRule="auto"/>
        <w:ind w:firstLine="482"/>
        <w:jc w:val="both"/>
        <w:rPr>
          <w:rFonts w:hint="eastAsia" w:ascii="楷体" w:hAnsi="楷体" w:eastAsia="楷体" w:cs="楷体"/>
          <w:b/>
          <w:color w:val="auto"/>
          <w:highlight w:val="none"/>
          <w:u w:val="single"/>
        </w:rPr>
      </w:pPr>
      <w:r>
        <w:rPr>
          <w:rFonts w:hint="eastAsia" w:ascii="楷体" w:hAnsi="楷体" w:eastAsia="楷体" w:cs="楷体"/>
          <w:b/>
          <w:color w:val="auto"/>
          <w:highlight w:val="none"/>
          <w:u w:val="single"/>
        </w:rPr>
        <w:t>2.本声明函中“属于（中型企业、小型企业、微型企业）”的内容，必须且只能选择其中之一填写。</w:t>
      </w:r>
    </w:p>
    <w:p w14:paraId="139663D1">
      <w:pPr>
        <w:pStyle w:val="282"/>
        <w:spacing w:line="276" w:lineRule="auto"/>
        <w:ind w:firstLine="482"/>
        <w:jc w:val="both"/>
        <w:rPr>
          <w:rFonts w:hint="eastAsia" w:ascii="楷体" w:hAnsi="楷体" w:eastAsia="楷体" w:cs="楷体"/>
          <w:b/>
          <w:color w:val="auto"/>
          <w:highlight w:val="none"/>
          <w:u w:val="single"/>
        </w:rPr>
      </w:pPr>
      <w:r>
        <w:rPr>
          <w:rFonts w:hint="eastAsia" w:ascii="楷体" w:hAnsi="楷体" w:eastAsia="楷体" w:cs="楷体"/>
          <w:b/>
          <w:color w:val="auto"/>
          <w:highlight w:val="none"/>
          <w:u w:val="single"/>
        </w:rPr>
        <w:t>3.供应商应当根据采购文件中明确的所属行业（供应商须知前附表第九条），认真对照《关于印发中小企业划型标准规定的通知》（工信部联企业〔2011〕300号）提供声明函。 供应商提供声明函内容不实的，属于提供虚假材料谋取中标、成交，依照《中华人民共和国政府采购法》等国家有关规定追究相应责任。</w:t>
      </w:r>
    </w:p>
    <w:p w14:paraId="58D0150A">
      <w:pPr>
        <w:rPr>
          <w:rFonts w:hint="eastAsia" w:ascii="楷体" w:hAnsi="楷体" w:eastAsia="楷体" w:cs="楷体"/>
          <w:b/>
          <w:color w:val="auto"/>
          <w:sz w:val="28"/>
          <w:szCs w:val="28"/>
          <w:highlight w:val="none"/>
        </w:rPr>
      </w:pPr>
      <w:r>
        <w:rPr>
          <w:rFonts w:hint="eastAsia" w:ascii="楷体" w:hAnsi="楷体" w:eastAsia="楷体" w:cs="楷体"/>
          <w:color w:val="auto"/>
          <w:highlight w:val="none"/>
        </w:rPr>
        <w:br w:type="page" w:clear="all"/>
      </w:r>
    </w:p>
    <w:p w14:paraId="683C072A">
      <w:pPr>
        <w:widowControl/>
        <w:spacing w:before="240" w:after="240" w:line="360" w:lineRule="auto"/>
        <w:jc w:val="center"/>
        <w:rPr>
          <w:rFonts w:hint="eastAsia" w:ascii="楷体" w:hAnsi="楷体" w:eastAsia="楷体" w:cs="楷体"/>
          <w:b/>
          <w:color w:val="auto"/>
          <w:sz w:val="28"/>
          <w:szCs w:val="28"/>
          <w:highlight w:val="none"/>
        </w:rPr>
      </w:pPr>
      <w:bookmarkStart w:id="253" w:name="_Toc15127"/>
      <w:r>
        <w:rPr>
          <w:rFonts w:hint="eastAsia" w:ascii="楷体" w:hAnsi="楷体" w:eastAsia="楷体" w:cs="楷体"/>
          <w:b/>
          <w:color w:val="auto"/>
          <w:sz w:val="28"/>
          <w:szCs w:val="28"/>
          <w:highlight w:val="none"/>
        </w:rPr>
        <w:t>残疾人福利性单位声明函</w:t>
      </w:r>
      <w:bookmarkEnd w:id="253"/>
    </w:p>
    <w:p w14:paraId="53316CA0">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由本单位承担工程/提供本单位制造的货物），或者提供其他残疾人福利性单位制造的货物（不包括使用非残疾人福利性单位注册商标的货物）。</w:t>
      </w:r>
    </w:p>
    <w:p w14:paraId="6DC72FC3">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本单位对上述声明的真实性负责。如有虚假，将依法承担相应责任。</w:t>
      </w:r>
    </w:p>
    <w:p w14:paraId="091E4ED8">
      <w:pPr>
        <w:spacing w:line="360" w:lineRule="auto"/>
        <w:ind w:firstLine="560"/>
        <w:rPr>
          <w:rFonts w:hint="eastAsia" w:ascii="楷体" w:hAnsi="楷体" w:eastAsia="楷体" w:cs="楷体"/>
          <w:color w:val="auto"/>
          <w:sz w:val="28"/>
          <w:szCs w:val="28"/>
          <w:highlight w:val="none"/>
        </w:rPr>
      </w:pPr>
    </w:p>
    <w:p w14:paraId="141744BF">
      <w:pPr>
        <w:spacing w:line="360" w:lineRule="auto"/>
        <w:ind w:firstLine="560"/>
        <w:rPr>
          <w:rFonts w:hint="eastAsia" w:ascii="楷体" w:hAnsi="楷体" w:eastAsia="楷体" w:cs="楷体"/>
          <w:color w:val="auto"/>
          <w:sz w:val="28"/>
          <w:szCs w:val="28"/>
          <w:highlight w:val="none"/>
        </w:rPr>
      </w:pPr>
    </w:p>
    <w:p w14:paraId="36DBDBCF">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单位名称（盖章）：</w:t>
      </w:r>
    </w:p>
    <w:p w14:paraId="2997163F">
      <w:pPr>
        <w:spacing w:line="360" w:lineRule="auto"/>
        <w:ind w:firstLine="560"/>
        <w:rPr>
          <w:rFonts w:hint="eastAsia" w:ascii="楷体" w:hAnsi="楷体" w:eastAsia="楷体" w:cs="楷体"/>
          <w:color w:val="auto"/>
          <w:sz w:val="28"/>
          <w:szCs w:val="28"/>
          <w:highlight w:val="none"/>
        </w:rPr>
      </w:pPr>
    </w:p>
    <w:p w14:paraId="1A826D35">
      <w:pPr>
        <w:spacing w:line="360" w:lineRule="auto"/>
        <w:ind w:firstLine="47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年  月  日  </w:t>
      </w:r>
    </w:p>
    <w:p w14:paraId="4E7FF2A1">
      <w:pPr>
        <w:spacing w:line="360" w:lineRule="auto"/>
        <w:ind w:firstLine="643"/>
        <w:rPr>
          <w:rFonts w:hint="eastAsia" w:ascii="楷体" w:hAnsi="楷体" w:eastAsia="楷体" w:cs="楷体"/>
          <w:color w:val="auto"/>
          <w:szCs w:val="32"/>
          <w:highlight w:val="none"/>
        </w:rPr>
      </w:pPr>
    </w:p>
    <w:p w14:paraId="5DB98A3B">
      <w:pPr>
        <w:rPr>
          <w:rFonts w:hint="eastAsia" w:ascii="楷体" w:hAnsi="楷体" w:eastAsia="楷体" w:cs="楷体"/>
          <w:color w:val="auto"/>
        </w:rPr>
      </w:pPr>
      <w:r>
        <w:rPr>
          <w:rFonts w:hint="eastAsia" w:ascii="楷体" w:hAnsi="楷体" w:eastAsia="楷体" w:cs="楷体"/>
          <w:color w:val="auto"/>
        </w:rPr>
        <w:br w:type="page" w:clear="all"/>
      </w:r>
    </w:p>
    <w:p w14:paraId="38464FB1">
      <w:pPr>
        <w:pStyle w:val="286"/>
        <w:jc w:val="center"/>
        <w:outlineLvl w:val="1"/>
        <w:rPr>
          <w:rFonts w:hint="eastAsia" w:ascii="楷体" w:hAnsi="楷体" w:eastAsia="楷体" w:cs="楷体"/>
          <w:b/>
          <w:bCs/>
          <w:color w:val="auto"/>
        </w:rPr>
      </w:pPr>
      <w:bookmarkStart w:id="254" w:name="_Toc19518"/>
      <w:bookmarkStart w:id="255" w:name="_Toc256000077"/>
      <w:r>
        <w:rPr>
          <w:rFonts w:hint="eastAsia" w:ascii="楷体" w:hAnsi="楷体" w:eastAsia="楷体" w:cs="楷体"/>
          <w:b/>
          <w:bCs/>
          <w:color w:val="auto"/>
          <w:sz w:val="32"/>
        </w:rPr>
        <w:t>二、</w:t>
      </w:r>
      <w:r>
        <w:rPr>
          <w:rFonts w:hint="eastAsia" w:ascii="楷体" w:hAnsi="楷体" w:eastAsia="楷体" w:cs="楷体"/>
          <w:b/>
          <w:bCs/>
          <w:color w:val="auto"/>
          <w:sz w:val="32"/>
          <w:lang w:val="en-US" w:eastAsia="zh-CN"/>
        </w:rPr>
        <w:t>商务</w:t>
      </w:r>
      <w:r>
        <w:rPr>
          <w:rFonts w:hint="eastAsia" w:ascii="楷体" w:hAnsi="楷体" w:eastAsia="楷体" w:cs="楷体"/>
          <w:b/>
          <w:bCs/>
          <w:color w:val="auto"/>
          <w:sz w:val="32"/>
        </w:rPr>
        <w:t>部分</w:t>
      </w:r>
      <w:bookmarkEnd w:id="254"/>
      <w:bookmarkEnd w:id="255"/>
    </w:p>
    <w:p w14:paraId="4836921D">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56" w:name="_Toc21688"/>
      <w:r>
        <w:rPr>
          <w:rFonts w:hint="eastAsia" w:ascii="楷体" w:hAnsi="楷体" w:eastAsia="楷体" w:cs="楷体"/>
          <w:color w:val="auto"/>
          <w:sz w:val="28"/>
        </w:rPr>
        <w:t>供应商实力评价</w:t>
      </w:r>
      <w:bookmarkEnd w:id="256"/>
    </w:p>
    <w:p w14:paraId="6B0D3D59">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59C2D9DA">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57" w:name="_Toc10727"/>
      <w:r>
        <w:rPr>
          <w:rFonts w:hint="eastAsia" w:ascii="楷体" w:hAnsi="楷体" w:eastAsia="楷体" w:cs="楷体"/>
          <w:color w:val="auto"/>
          <w:sz w:val="28"/>
        </w:rPr>
        <w:t>经验</w:t>
      </w:r>
      <w:bookmarkEnd w:id="257"/>
    </w:p>
    <w:p w14:paraId="5181340A">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6F2A1317">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58" w:name="_Toc29491"/>
      <w:r>
        <w:rPr>
          <w:rFonts w:hint="eastAsia" w:ascii="楷体" w:hAnsi="楷体" w:eastAsia="楷体" w:cs="楷体"/>
          <w:color w:val="auto"/>
          <w:sz w:val="28"/>
        </w:rPr>
        <w:t>业绩</w:t>
      </w:r>
      <w:bookmarkEnd w:id="258"/>
    </w:p>
    <w:p w14:paraId="682E0B28">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33F25B78">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59" w:name="_Toc16055"/>
      <w:r>
        <w:rPr>
          <w:rFonts w:hint="eastAsia" w:ascii="楷体" w:hAnsi="楷体" w:eastAsia="楷体" w:cs="楷体"/>
          <w:color w:val="auto"/>
          <w:sz w:val="28"/>
        </w:rPr>
        <w:t>项目负责人评价</w:t>
      </w:r>
      <w:bookmarkEnd w:id="259"/>
    </w:p>
    <w:p w14:paraId="15094FAD">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2778473B">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60" w:name="_Toc8225"/>
      <w:r>
        <w:rPr>
          <w:rFonts w:hint="eastAsia" w:ascii="楷体" w:hAnsi="楷体" w:eastAsia="楷体" w:cs="楷体"/>
          <w:color w:val="auto"/>
          <w:sz w:val="28"/>
        </w:rPr>
        <w:t>技术负责人评价</w:t>
      </w:r>
      <w:bookmarkEnd w:id="260"/>
    </w:p>
    <w:p w14:paraId="22081A5C">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644B9684">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61" w:name="_Toc16754"/>
      <w:r>
        <w:rPr>
          <w:rFonts w:hint="eastAsia" w:ascii="楷体" w:hAnsi="楷体" w:eastAsia="楷体" w:cs="楷体"/>
          <w:color w:val="auto"/>
          <w:sz w:val="28"/>
        </w:rPr>
        <w:t>项目组成人员评价</w:t>
      </w:r>
      <w:bookmarkEnd w:id="261"/>
    </w:p>
    <w:p w14:paraId="1023CA18">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02FFC138">
      <w:pPr>
        <w:pStyle w:val="282"/>
        <w:keepNext w:val="0"/>
        <w:keepLines w:val="0"/>
        <w:pageBreakBefore w:val="0"/>
        <w:widowControl/>
        <w:numPr>
          <w:ilvl w:val="0"/>
          <w:numId w:val="15"/>
        </w:numPr>
        <w:kinsoku/>
        <w:wordWrap/>
        <w:overflowPunct/>
        <w:topLinePunct w:val="0"/>
        <w:autoSpaceDE/>
        <w:autoSpaceDN/>
        <w:bidi w:val="0"/>
        <w:adjustRightInd/>
        <w:snapToGrid/>
        <w:spacing w:before="361" w:beforeLines="100" w:after="361" w:afterLines="100" w:line="360" w:lineRule="auto"/>
        <w:ind w:left="0" w:leftChars="0" w:firstLine="0" w:firstLineChars="0"/>
        <w:jc w:val="center"/>
        <w:textAlignment w:val="auto"/>
        <w:outlineLvl w:val="2"/>
        <w:rPr>
          <w:rFonts w:hint="eastAsia" w:ascii="楷体" w:hAnsi="楷体" w:eastAsia="楷体" w:cs="楷体"/>
          <w:color w:val="auto"/>
          <w:sz w:val="28"/>
        </w:rPr>
      </w:pPr>
      <w:bookmarkStart w:id="262" w:name="_Toc6272"/>
      <w:r>
        <w:rPr>
          <w:rFonts w:hint="eastAsia" w:ascii="楷体" w:hAnsi="楷体" w:eastAsia="楷体" w:cs="楷体"/>
          <w:color w:val="auto"/>
          <w:sz w:val="28"/>
        </w:rPr>
        <w:t>项目负责人评价</w:t>
      </w:r>
      <w:bookmarkEnd w:id="262"/>
    </w:p>
    <w:p w14:paraId="2D55B4D8">
      <w:pPr>
        <w:pStyle w:val="282"/>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ind w:left="0" w:leftChars="0" w:firstLine="0"/>
        <w:jc w:val="both"/>
        <w:textAlignment w:val="auto"/>
        <w:outlineLvl w:val="2"/>
        <w:rPr>
          <w:rFonts w:hint="eastAsia" w:ascii="楷体" w:hAnsi="楷体" w:eastAsia="楷体" w:cs="楷体"/>
          <w:color w:val="auto"/>
          <w:sz w:val="28"/>
        </w:rPr>
      </w:pPr>
    </w:p>
    <w:p w14:paraId="2B772E9F">
      <w:pPr>
        <w:rPr>
          <w:rFonts w:hint="eastAsia" w:ascii="楷体" w:hAnsi="楷体" w:eastAsia="楷体" w:cs="楷体"/>
          <w:b/>
          <w:bCs/>
          <w:color w:val="auto"/>
          <w:sz w:val="32"/>
          <w:lang w:val="en-US" w:eastAsia="zh-CN"/>
        </w:rPr>
      </w:pPr>
      <w:r>
        <w:rPr>
          <w:rFonts w:hint="eastAsia" w:ascii="楷体" w:hAnsi="楷体" w:eastAsia="楷体" w:cs="楷体"/>
          <w:b/>
          <w:bCs/>
          <w:color w:val="auto"/>
          <w:sz w:val="32"/>
          <w:lang w:val="en-US" w:eastAsia="zh-CN"/>
        </w:rPr>
        <w:br w:type="page"/>
      </w:r>
    </w:p>
    <w:p w14:paraId="1C4871C7">
      <w:pPr>
        <w:pStyle w:val="286"/>
        <w:jc w:val="center"/>
        <w:outlineLvl w:val="1"/>
        <w:rPr>
          <w:rFonts w:hint="default" w:ascii="楷体" w:hAnsi="楷体" w:eastAsia="楷体" w:cs="楷体"/>
          <w:b/>
          <w:bCs/>
          <w:color w:val="auto"/>
          <w:sz w:val="32"/>
          <w:lang w:val="en-US" w:eastAsia="zh-CN"/>
        </w:rPr>
      </w:pPr>
      <w:bookmarkStart w:id="263" w:name="_Toc32575"/>
      <w:r>
        <w:rPr>
          <w:rFonts w:hint="eastAsia" w:ascii="楷体" w:hAnsi="楷体" w:eastAsia="楷体" w:cs="楷体"/>
          <w:b/>
          <w:bCs/>
          <w:color w:val="auto"/>
          <w:sz w:val="32"/>
          <w:lang w:val="en-US" w:eastAsia="zh-CN"/>
        </w:rPr>
        <w:t>三、价格部分</w:t>
      </w:r>
      <w:bookmarkEnd w:id="263"/>
    </w:p>
    <w:p w14:paraId="01A763AB">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eastAsia" w:ascii="楷体" w:hAnsi="楷体" w:eastAsia="楷体" w:cs="楷体"/>
          <w:color w:val="auto"/>
          <w:sz w:val="28"/>
        </w:rPr>
      </w:pPr>
      <w:bookmarkStart w:id="264" w:name="_Toc28793"/>
      <w:r>
        <w:rPr>
          <w:rFonts w:hint="eastAsia" w:ascii="楷体" w:hAnsi="楷体" w:eastAsia="楷体" w:cs="楷体"/>
          <w:color w:val="auto"/>
          <w:sz w:val="28"/>
        </w:rPr>
        <w:t>(</w:t>
      </w:r>
      <w:r>
        <w:rPr>
          <w:rFonts w:hint="eastAsia" w:ascii="楷体" w:hAnsi="楷体" w:eastAsia="楷体" w:cs="楷体"/>
          <w:color w:val="auto"/>
          <w:sz w:val="28"/>
          <w:lang w:val="en-US" w:eastAsia="zh-CN"/>
        </w:rPr>
        <w:t>一</w:t>
      </w:r>
      <w:r>
        <w:rPr>
          <w:rFonts w:hint="eastAsia" w:ascii="楷体" w:hAnsi="楷体" w:eastAsia="楷体" w:cs="楷体"/>
          <w:color w:val="auto"/>
          <w:sz w:val="28"/>
        </w:rPr>
        <w:t>)</w:t>
      </w:r>
      <w:r>
        <w:rPr>
          <w:rFonts w:hint="eastAsia" w:ascii="楷体" w:hAnsi="楷体" w:eastAsia="楷体" w:cs="楷体"/>
          <w:color w:val="auto"/>
          <w:sz w:val="28"/>
          <w:lang w:val="en-US" w:eastAsia="zh-CN"/>
        </w:rPr>
        <w:t>磋商报价</w:t>
      </w:r>
      <w:r>
        <w:rPr>
          <w:rFonts w:hint="eastAsia" w:ascii="楷体" w:hAnsi="楷体" w:eastAsia="楷体" w:cs="楷体"/>
          <w:color w:val="auto"/>
          <w:sz w:val="28"/>
        </w:rPr>
        <w:t>表</w:t>
      </w:r>
      <w:bookmarkEnd w:id="264"/>
    </w:p>
    <w:p w14:paraId="190BFBA8">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eastAsia" w:ascii="楷体" w:hAnsi="楷体" w:eastAsia="楷体" w:cs="楷体"/>
          <w:color w:val="auto"/>
          <w:lang w:eastAsia="zh-CN"/>
        </w:rPr>
      </w:pPr>
      <w:bookmarkStart w:id="265" w:name="_Toc22732"/>
      <w:bookmarkStart w:id="266" w:name="_Toc12504"/>
      <w:r>
        <w:rPr>
          <w:rFonts w:hint="eastAsia" w:ascii="楷体" w:hAnsi="楷体" w:eastAsia="楷体" w:cs="楷体"/>
          <w:color w:val="auto"/>
          <w:sz w:val="28"/>
        </w:rPr>
        <w:t>首次报价一览表</w:t>
      </w:r>
      <w:bookmarkEnd w:id="265"/>
      <w:bookmarkEnd w:id="266"/>
      <w:bookmarkStart w:id="267" w:name="OLE_LINK2"/>
    </w:p>
    <w:tbl>
      <w:tblPr>
        <w:tblStyle w:val="35"/>
        <w:tblW w:w="5000" w:type="pct"/>
        <w:tblInd w:w="0" w:type="dxa"/>
        <w:tblLayout w:type="fixed"/>
        <w:tblCellMar>
          <w:top w:w="0" w:type="dxa"/>
          <w:left w:w="108" w:type="dxa"/>
          <w:bottom w:w="0" w:type="dxa"/>
          <w:right w:w="108" w:type="dxa"/>
        </w:tblCellMar>
      </w:tblPr>
      <w:tblGrid>
        <w:gridCol w:w="3088"/>
        <w:gridCol w:w="5428"/>
      </w:tblGrid>
      <w:tr w14:paraId="4B1F2308">
        <w:tblPrEx>
          <w:tblCellMar>
            <w:top w:w="0" w:type="dxa"/>
            <w:left w:w="108" w:type="dxa"/>
            <w:bottom w:w="0" w:type="dxa"/>
            <w:right w:w="108" w:type="dxa"/>
          </w:tblCellMar>
        </w:tblPrEx>
        <w:trPr>
          <w:trHeight w:val="1011" w:hRule="atLeast"/>
        </w:trPr>
        <w:tc>
          <w:tcPr>
            <w:tcW w:w="8516" w:type="dxa"/>
            <w:gridSpan w:val="2"/>
            <w:tcBorders>
              <w:top w:val="nil"/>
              <w:left w:val="nil"/>
              <w:bottom w:val="nil"/>
              <w:right w:val="nil"/>
            </w:tcBorders>
            <w:noWrap w:val="0"/>
            <w:vAlign w:val="center"/>
          </w:tcPr>
          <w:p w14:paraId="466A5BFE">
            <w:pPr>
              <w:widowControl/>
              <w:spacing w:line="360" w:lineRule="auto"/>
              <w:rPr>
                <w:rFonts w:ascii="楷体" w:hAnsi="楷体" w:eastAsia="楷体" w:cs="宋体"/>
                <w:b/>
                <w:bCs/>
                <w:color w:val="auto"/>
                <w:kern w:val="0"/>
                <w:sz w:val="28"/>
                <w:highlight w:val="none"/>
              </w:rPr>
            </w:pPr>
          </w:p>
        </w:tc>
      </w:tr>
      <w:tr w14:paraId="5FC5FD9C">
        <w:tblPrEx>
          <w:tblCellMar>
            <w:top w:w="0" w:type="dxa"/>
            <w:left w:w="108" w:type="dxa"/>
            <w:bottom w:w="0" w:type="dxa"/>
            <w:right w:w="108" w:type="dxa"/>
          </w:tblCellMar>
        </w:tblPrEx>
        <w:trPr>
          <w:trHeight w:val="834" w:hRule="atLeast"/>
        </w:trPr>
        <w:tc>
          <w:tcPr>
            <w:tcW w:w="3088" w:type="dxa"/>
            <w:tcBorders>
              <w:top w:val="single" w:color="auto" w:sz="4" w:space="0"/>
              <w:left w:val="single" w:color="auto" w:sz="4" w:space="0"/>
              <w:bottom w:val="single" w:color="auto" w:sz="4" w:space="0"/>
              <w:right w:val="single" w:color="auto" w:sz="4" w:space="0"/>
            </w:tcBorders>
            <w:noWrap w:val="0"/>
            <w:vAlign w:val="center"/>
          </w:tcPr>
          <w:p w14:paraId="3BCE680A">
            <w:pPr>
              <w:widowControl/>
              <w:spacing w:line="360" w:lineRule="auto"/>
              <w:rPr>
                <w:rFonts w:hint="default" w:ascii="楷体" w:hAnsi="楷体" w:eastAsia="楷体" w:cs="宋体"/>
                <w:color w:val="auto"/>
                <w:kern w:val="0"/>
                <w:sz w:val="28"/>
                <w:highlight w:val="none"/>
                <w:lang w:val="en-US" w:eastAsia="zh-CN"/>
              </w:rPr>
            </w:pPr>
            <w:r>
              <w:rPr>
                <w:rFonts w:hint="eastAsia" w:ascii="楷体" w:hAnsi="楷体" w:eastAsia="楷体" w:cs="宋体"/>
                <w:color w:val="auto"/>
                <w:kern w:val="0"/>
                <w:sz w:val="28"/>
                <w:highlight w:val="none"/>
                <w:lang w:val="en-US" w:eastAsia="zh-CN"/>
              </w:rPr>
              <w:t>项目名称</w:t>
            </w:r>
          </w:p>
        </w:tc>
        <w:tc>
          <w:tcPr>
            <w:tcW w:w="5428" w:type="dxa"/>
            <w:tcBorders>
              <w:top w:val="single" w:color="auto" w:sz="4" w:space="0"/>
              <w:left w:val="nil"/>
              <w:bottom w:val="single" w:color="auto" w:sz="4" w:space="0"/>
              <w:right w:val="single" w:color="auto" w:sz="4" w:space="0"/>
            </w:tcBorders>
            <w:noWrap w:val="0"/>
            <w:vAlign w:val="center"/>
          </w:tcPr>
          <w:p w14:paraId="66BA9CA6">
            <w:pPr>
              <w:widowControl/>
              <w:spacing w:line="360" w:lineRule="auto"/>
              <w:rPr>
                <w:rFonts w:hint="eastAsia" w:ascii="楷体" w:hAnsi="楷体" w:eastAsia="楷体" w:cs="宋体"/>
                <w:color w:val="auto"/>
                <w:kern w:val="0"/>
                <w:sz w:val="28"/>
                <w:highlight w:val="none"/>
                <w:lang w:val="en-US" w:eastAsia="zh-CN"/>
              </w:rPr>
            </w:pPr>
            <w:r>
              <w:rPr>
                <w:rFonts w:hint="eastAsia" w:ascii="楷体" w:hAnsi="楷体" w:eastAsia="楷体" w:cs="楷体"/>
                <w:color w:val="auto"/>
                <w:sz w:val="24"/>
                <w:szCs w:val="28"/>
                <w:highlight w:val="white"/>
                <w:lang w:val="en-US" w:eastAsia="zh-CN"/>
              </w:rPr>
              <w:t xml:space="preserve"> </w:t>
            </w:r>
          </w:p>
        </w:tc>
      </w:tr>
      <w:tr w14:paraId="53860E18">
        <w:tblPrEx>
          <w:tblCellMar>
            <w:top w:w="0" w:type="dxa"/>
            <w:left w:w="108" w:type="dxa"/>
            <w:bottom w:w="0" w:type="dxa"/>
            <w:right w:w="108" w:type="dxa"/>
          </w:tblCellMar>
        </w:tblPrEx>
        <w:trPr>
          <w:trHeight w:val="1533" w:hRule="atLeast"/>
        </w:trPr>
        <w:tc>
          <w:tcPr>
            <w:tcW w:w="3088" w:type="dxa"/>
            <w:tcBorders>
              <w:top w:val="nil"/>
              <w:left w:val="single" w:color="auto" w:sz="4" w:space="0"/>
              <w:bottom w:val="single" w:color="auto" w:sz="4" w:space="0"/>
              <w:right w:val="single" w:color="auto" w:sz="4" w:space="0"/>
            </w:tcBorders>
            <w:noWrap w:val="0"/>
            <w:vAlign w:val="center"/>
          </w:tcPr>
          <w:p w14:paraId="1B497040">
            <w:pPr>
              <w:widowControl/>
              <w:spacing w:line="360" w:lineRule="auto"/>
              <w:rPr>
                <w:rFonts w:ascii="楷体" w:hAnsi="楷体" w:eastAsia="楷体" w:cs="宋体"/>
                <w:color w:val="auto"/>
                <w:kern w:val="0"/>
                <w:sz w:val="28"/>
                <w:highlight w:val="none"/>
              </w:rPr>
            </w:pPr>
            <w:r>
              <w:rPr>
                <w:rFonts w:hint="eastAsia" w:ascii="楷体" w:hAnsi="楷体" w:eastAsia="楷体" w:cs="宋体"/>
                <w:color w:val="auto"/>
                <w:kern w:val="0"/>
                <w:sz w:val="28"/>
                <w:highlight w:val="none"/>
              </w:rPr>
              <w:t>项目</w:t>
            </w:r>
            <w:r>
              <w:rPr>
                <w:rFonts w:hint="eastAsia" w:ascii="楷体" w:hAnsi="楷体" w:eastAsia="楷体" w:cs="宋体"/>
                <w:color w:val="auto"/>
                <w:kern w:val="0"/>
                <w:sz w:val="28"/>
                <w:highlight w:val="none"/>
                <w:lang w:val="en-US" w:eastAsia="zh-CN"/>
              </w:rPr>
              <w:t>总</w:t>
            </w:r>
            <w:r>
              <w:rPr>
                <w:rFonts w:hint="eastAsia" w:ascii="楷体" w:hAnsi="楷体" w:eastAsia="楷体" w:cs="宋体"/>
                <w:color w:val="auto"/>
                <w:kern w:val="0"/>
                <w:sz w:val="28"/>
                <w:highlight w:val="none"/>
              </w:rPr>
              <w:t>报价</w:t>
            </w:r>
          </w:p>
        </w:tc>
        <w:tc>
          <w:tcPr>
            <w:tcW w:w="5428" w:type="dxa"/>
            <w:tcBorders>
              <w:top w:val="nil"/>
              <w:left w:val="nil"/>
              <w:bottom w:val="single" w:color="auto" w:sz="4" w:space="0"/>
              <w:right w:val="single" w:color="auto" w:sz="4" w:space="0"/>
            </w:tcBorders>
            <w:noWrap w:val="0"/>
            <w:vAlign w:val="center"/>
          </w:tcPr>
          <w:p w14:paraId="5CA44BA0">
            <w:pPr>
              <w:widowControl/>
              <w:spacing w:line="360" w:lineRule="auto"/>
              <w:ind w:firstLine="562" w:firstLineChars="200"/>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大写：人民币</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元</w:t>
            </w:r>
          </w:p>
          <w:p w14:paraId="41CF6BE8">
            <w:pPr>
              <w:pStyle w:val="45"/>
              <w:rPr>
                <w:rFonts w:hint="default"/>
                <w:color w:val="auto"/>
                <w:lang w:val="en-US"/>
              </w:rPr>
            </w:pPr>
            <w:r>
              <w:rPr>
                <w:rFonts w:hint="eastAsia" w:ascii="楷体" w:hAnsi="楷体" w:eastAsia="楷体" w:cs="楷体"/>
                <w:b/>
                <w:bCs/>
                <w:color w:val="auto"/>
                <w:sz w:val="28"/>
                <w:szCs w:val="28"/>
                <w:highlight w:val="none"/>
                <w:lang w:val="en-US" w:eastAsia="zh-CN"/>
              </w:rPr>
              <w:t>小写：¥</w:t>
            </w:r>
            <w:r>
              <w:rPr>
                <w:rFonts w:hint="eastAsia" w:ascii="楷体" w:hAnsi="楷体" w:eastAsia="楷体" w:cs="楷体"/>
                <w:b/>
                <w:bCs/>
                <w:color w:val="auto"/>
                <w:sz w:val="28"/>
                <w:szCs w:val="28"/>
                <w:highlight w:val="none"/>
                <w:u w:val="single"/>
                <w:lang w:val="en-US" w:eastAsia="zh-CN"/>
              </w:rPr>
              <w:t xml:space="preserve">           </w:t>
            </w:r>
          </w:p>
        </w:tc>
      </w:tr>
      <w:tr w14:paraId="228C9AAC">
        <w:tblPrEx>
          <w:tblCellMar>
            <w:top w:w="0" w:type="dxa"/>
            <w:left w:w="108" w:type="dxa"/>
            <w:bottom w:w="0" w:type="dxa"/>
            <w:right w:w="108" w:type="dxa"/>
          </w:tblCellMar>
        </w:tblPrEx>
        <w:trPr>
          <w:trHeight w:val="834" w:hRule="atLeast"/>
        </w:trPr>
        <w:tc>
          <w:tcPr>
            <w:tcW w:w="3088" w:type="dxa"/>
            <w:tcBorders>
              <w:top w:val="nil"/>
              <w:left w:val="single" w:color="auto" w:sz="4" w:space="0"/>
              <w:bottom w:val="single" w:color="auto" w:sz="4" w:space="0"/>
              <w:right w:val="single" w:color="auto" w:sz="4" w:space="0"/>
            </w:tcBorders>
            <w:noWrap w:val="0"/>
            <w:vAlign w:val="center"/>
          </w:tcPr>
          <w:p w14:paraId="05E30BA5">
            <w:pPr>
              <w:widowControl/>
              <w:spacing w:line="360" w:lineRule="auto"/>
              <w:rPr>
                <w:rFonts w:hint="eastAsia" w:ascii="楷体" w:hAnsi="楷体" w:eastAsia="楷体" w:cs="宋体"/>
                <w:color w:val="auto"/>
                <w:kern w:val="0"/>
                <w:sz w:val="28"/>
                <w:highlight w:val="none"/>
                <w:lang w:eastAsia="zh-CN"/>
              </w:rPr>
            </w:pPr>
            <w:r>
              <w:rPr>
                <w:rFonts w:hint="eastAsia" w:ascii="楷体" w:hAnsi="楷体" w:eastAsia="楷体" w:cs="宋体"/>
                <w:color w:val="auto"/>
                <w:kern w:val="0"/>
                <w:sz w:val="28"/>
                <w:highlight w:val="none"/>
                <w:lang w:val="en-US" w:eastAsia="zh-CN"/>
              </w:rPr>
              <w:t>工期</w:t>
            </w:r>
          </w:p>
        </w:tc>
        <w:tc>
          <w:tcPr>
            <w:tcW w:w="5428" w:type="dxa"/>
            <w:tcBorders>
              <w:top w:val="nil"/>
              <w:left w:val="nil"/>
              <w:bottom w:val="single" w:color="auto" w:sz="4" w:space="0"/>
              <w:right w:val="single" w:color="auto" w:sz="4" w:space="0"/>
            </w:tcBorders>
            <w:noWrap w:val="0"/>
            <w:vAlign w:val="center"/>
          </w:tcPr>
          <w:p w14:paraId="75518F2B">
            <w:pPr>
              <w:widowControl/>
              <w:spacing w:line="360" w:lineRule="auto"/>
              <w:rPr>
                <w:rFonts w:ascii="楷体" w:hAnsi="楷体" w:eastAsia="楷体" w:cs="宋体"/>
                <w:color w:val="auto"/>
                <w:kern w:val="0"/>
                <w:sz w:val="28"/>
                <w:highlight w:val="none"/>
              </w:rPr>
            </w:pPr>
          </w:p>
        </w:tc>
      </w:tr>
      <w:tr w14:paraId="60A81423">
        <w:tblPrEx>
          <w:tblCellMar>
            <w:top w:w="0" w:type="dxa"/>
            <w:left w:w="108" w:type="dxa"/>
            <w:bottom w:w="0" w:type="dxa"/>
            <w:right w:w="108" w:type="dxa"/>
          </w:tblCellMar>
        </w:tblPrEx>
        <w:trPr>
          <w:trHeight w:val="1269" w:hRule="atLeast"/>
        </w:trPr>
        <w:tc>
          <w:tcPr>
            <w:tcW w:w="3088" w:type="dxa"/>
            <w:tcBorders>
              <w:top w:val="nil"/>
              <w:left w:val="single" w:color="auto" w:sz="4" w:space="0"/>
              <w:bottom w:val="single" w:color="auto" w:sz="4" w:space="0"/>
              <w:right w:val="single" w:color="auto" w:sz="4" w:space="0"/>
            </w:tcBorders>
            <w:noWrap w:val="0"/>
            <w:vAlign w:val="center"/>
          </w:tcPr>
          <w:p w14:paraId="5C3C154E">
            <w:pPr>
              <w:widowControl/>
              <w:spacing w:line="360" w:lineRule="auto"/>
              <w:rPr>
                <w:rFonts w:ascii="楷体" w:hAnsi="楷体" w:eastAsia="楷体" w:cs="宋体"/>
                <w:color w:val="auto"/>
                <w:kern w:val="0"/>
                <w:sz w:val="28"/>
                <w:highlight w:val="none"/>
              </w:rPr>
            </w:pPr>
            <w:r>
              <w:rPr>
                <w:rFonts w:hint="eastAsia" w:ascii="楷体" w:hAnsi="楷体" w:eastAsia="楷体" w:cs="宋体"/>
                <w:color w:val="auto"/>
                <w:kern w:val="0"/>
                <w:sz w:val="28"/>
                <w:highlight w:val="none"/>
              </w:rPr>
              <w:t>备注</w:t>
            </w:r>
          </w:p>
        </w:tc>
        <w:tc>
          <w:tcPr>
            <w:tcW w:w="5428" w:type="dxa"/>
            <w:tcBorders>
              <w:top w:val="nil"/>
              <w:left w:val="nil"/>
              <w:bottom w:val="single" w:color="auto" w:sz="4" w:space="0"/>
              <w:right w:val="single" w:color="auto" w:sz="4" w:space="0"/>
            </w:tcBorders>
            <w:noWrap w:val="0"/>
            <w:vAlign w:val="center"/>
          </w:tcPr>
          <w:p w14:paraId="1A30D170">
            <w:pPr>
              <w:widowControl/>
              <w:spacing w:line="360" w:lineRule="auto"/>
              <w:rPr>
                <w:rFonts w:hint="default" w:ascii="楷体" w:hAnsi="楷体" w:eastAsia="楷体" w:cs="楷体"/>
                <w:color w:val="auto"/>
                <w:sz w:val="24"/>
                <w:szCs w:val="24"/>
                <w:highlight w:val="none"/>
                <w:lang w:val="en-US" w:eastAsia="zh-CN"/>
              </w:rPr>
            </w:pPr>
          </w:p>
        </w:tc>
      </w:tr>
    </w:tbl>
    <w:p w14:paraId="71A9F345">
      <w:pPr>
        <w:pStyle w:val="2"/>
        <w:spacing w:line="360" w:lineRule="auto"/>
        <w:rPr>
          <w:rFonts w:hint="eastAsia" w:ascii="楷体" w:hAnsi="楷体" w:eastAsia="楷体"/>
          <w:color w:val="auto"/>
          <w:sz w:val="24"/>
          <w:highlight w:val="none"/>
          <w:u w:val="single"/>
        </w:rPr>
      </w:pPr>
      <w:r>
        <w:rPr>
          <w:rFonts w:hint="eastAsia" w:ascii="楷体" w:hAnsi="楷体" w:eastAsia="楷体"/>
          <w:b/>
          <w:color w:val="auto"/>
          <w:sz w:val="21"/>
          <w:szCs w:val="21"/>
          <w:highlight w:val="none"/>
        </w:rPr>
        <w:t>注：</w:t>
      </w:r>
      <w:r>
        <w:rPr>
          <w:rFonts w:hint="eastAsia" w:ascii="楷体" w:hAnsi="楷体" w:eastAsia="楷体"/>
          <w:color w:val="auto"/>
          <w:sz w:val="24"/>
          <w:highlight w:val="none"/>
          <w:u w:val="single"/>
        </w:rPr>
        <w:t>1、报价包括完成项目的所有费用。采购人不再支付报价以外的任何费用。</w:t>
      </w:r>
    </w:p>
    <w:p w14:paraId="07F5F734">
      <w:pPr>
        <w:pStyle w:val="2"/>
        <w:spacing w:line="360" w:lineRule="auto"/>
        <w:ind w:left="178" w:leftChars="85" w:firstLine="280" w:firstLineChars="117"/>
        <w:rPr>
          <w:rFonts w:hint="eastAsia" w:ascii="楷体" w:hAnsi="楷体" w:eastAsia="楷体"/>
          <w:color w:val="auto"/>
          <w:sz w:val="24"/>
          <w:highlight w:val="none"/>
          <w:u w:val="single"/>
        </w:rPr>
      </w:pPr>
      <w:r>
        <w:rPr>
          <w:rFonts w:hint="eastAsia" w:ascii="楷体" w:hAnsi="楷体" w:eastAsia="楷体"/>
          <w:color w:val="auto"/>
          <w:sz w:val="24"/>
          <w:highlight w:val="none"/>
          <w:u w:val="single"/>
        </w:rPr>
        <w:t>2、报价以总价为准，大小写不一致以大写为准；</w:t>
      </w:r>
    </w:p>
    <w:p w14:paraId="0DEFB3AC">
      <w:pPr>
        <w:pStyle w:val="2"/>
        <w:spacing w:line="360" w:lineRule="auto"/>
        <w:ind w:left="178" w:leftChars="85" w:firstLine="280" w:firstLineChars="117"/>
        <w:rPr>
          <w:rFonts w:hint="eastAsia" w:ascii="楷体" w:hAnsi="楷体" w:eastAsia="楷体"/>
          <w:color w:val="auto"/>
          <w:sz w:val="24"/>
          <w:highlight w:val="none"/>
          <w:u w:val="single"/>
        </w:rPr>
      </w:pPr>
      <w:r>
        <w:rPr>
          <w:rFonts w:hint="eastAsia" w:ascii="楷体" w:hAnsi="楷体" w:eastAsia="楷体"/>
          <w:color w:val="auto"/>
          <w:sz w:val="24"/>
          <w:highlight w:val="none"/>
          <w:u w:val="single"/>
        </w:rPr>
        <w:t>3、如最后报价未列明单价（除不可竞争性报价外），则最后所报各项单价计算方法为：（最后报价/最初报价）*各项最初报价的单价。</w:t>
      </w:r>
    </w:p>
    <w:p w14:paraId="4EAC5B41">
      <w:pPr>
        <w:rPr>
          <w:color w:val="auto"/>
        </w:rPr>
      </w:pPr>
    </w:p>
    <w:p w14:paraId="3F102585">
      <w:pPr>
        <w:rPr>
          <w:rFonts w:ascii="楷体" w:hAnsi="楷体" w:eastAsia="楷体"/>
          <w:color w:val="auto"/>
          <w:sz w:val="28"/>
          <w:highlight w:val="none"/>
        </w:rPr>
      </w:pPr>
      <w:r>
        <w:rPr>
          <w:rFonts w:hint="eastAsia" w:ascii="楷体" w:hAnsi="楷体" w:eastAsia="楷体"/>
          <w:color w:val="auto"/>
          <w:sz w:val="28"/>
          <w:highlight w:val="none"/>
        </w:rPr>
        <w:t>法定代表人或其授权委托代理人</w:t>
      </w:r>
      <w:r>
        <w:rPr>
          <w:rFonts w:hint="eastAsia" w:ascii="楷体" w:hAnsi="楷体" w:eastAsia="楷体"/>
          <w:color w:val="auto"/>
          <w:sz w:val="28"/>
          <w:highlight w:val="none"/>
          <w:lang w:eastAsia="zh-CN"/>
        </w:rPr>
        <w:t>（</w:t>
      </w:r>
      <w:r>
        <w:rPr>
          <w:rFonts w:hint="eastAsia" w:ascii="楷体" w:hAnsi="楷体" w:eastAsia="楷体"/>
          <w:color w:val="auto"/>
          <w:sz w:val="28"/>
          <w:highlight w:val="none"/>
        </w:rPr>
        <w:t>签字</w:t>
      </w:r>
      <w:r>
        <w:rPr>
          <w:rFonts w:hint="eastAsia" w:ascii="楷体" w:hAnsi="楷体" w:eastAsia="楷体"/>
          <w:color w:val="auto"/>
          <w:sz w:val="28"/>
          <w:highlight w:val="none"/>
          <w:lang w:val="en-US" w:eastAsia="zh-CN"/>
        </w:rPr>
        <w:t>或盖章</w:t>
      </w:r>
      <w:r>
        <w:rPr>
          <w:rFonts w:hint="eastAsia" w:ascii="楷体" w:hAnsi="楷体" w:eastAsia="楷体"/>
          <w:color w:val="auto"/>
          <w:sz w:val="28"/>
          <w:highlight w:val="none"/>
          <w:lang w:eastAsia="zh-CN"/>
        </w:rPr>
        <w:t>）</w:t>
      </w:r>
      <w:r>
        <w:rPr>
          <w:rFonts w:hint="eastAsia" w:ascii="楷体" w:hAnsi="楷体" w:eastAsia="楷体"/>
          <w:color w:val="auto"/>
          <w:sz w:val="28"/>
          <w:highlight w:val="none"/>
        </w:rPr>
        <w:t xml:space="preserve">：                      </w:t>
      </w:r>
    </w:p>
    <w:p w14:paraId="7757C755">
      <w:pPr>
        <w:pStyle w:val="2"/>
        <w:spacing w:line="360" w:lineRule="auto"/>
        <w:rPr>
          <w:rFonts w:ascii="楷体" w:hAnsi="楷体" w:eastAsia="楷体"/>
          <w:color w:val="auto"/>
          <w:sz w:val="30"/>
          <w:highlight w:val="none"/>
        </w:rPr>
      </w:pPr>
    </w:p>
    <w:p w14:paraId="1D569625">
      <w:pPr>
        <w:spacing w:line="360" w:lineRule="auto"/>
        <w:ind w:firstLine="3920" w:firstLineChars="1400"/>
        <w:jc w:val="left"/>
        <w:rPr>
          <w:rFonts w:hint="eastAsia" w:ascii="楷体" w:hAnsi="楷体" w:eastAsia="楷体"/>
          <w:color w:val="auto"/>
          <w:sz w:val="24"/>
          <w:highlight w:val="none"/>
          <w:lang w:eastAsia="zh-CN"/>
        </w:rPr>
      </w:pPr>
      <w:r>
        <w:rPr>
          <w:rFonts w:hint="eastAsia" w:ascii="楷体" w:hAnsi="楷体" w:eastAsia="楷体"/>
          <w:color w:val="auto"/>
          <w:sz w:val="28"/>
          <w:highlight w:val="none"/>
        </w:rPr>
        <w:t>供应商（公章）</w:t>
      </w:r>
      <w:r>
        <w:rPr>
          <w:rFonts w:hint="eastAsia" w:ascii="楷体" w:hAnsi="楷体" w:eastAsia="楷体"/>
          <w:color w:val="auto"/>
          <w:sz w:val="28"/>
          <w:highlight w:val="none"/>
          <w:lang w:eastAsia="zh-CN"/>
        </w:rPr>
        <w:t>：</w:t>
      </w:r>
    </w:p>
    <w:p w14:paraId="754F9C72">
      <w:pPr>
        <w:pStyle w:val="2"/>
        <w:spacing w:line="360" w:lineRule="auto"/>
        <w:rPr>
          <w:rFonts w:ascii="楷体" w:hAnsi="楷体" w:eastAsia="楷体"/>
          <w:color w:val="auto"/>
          <w:sz w:val="30"/>
          <w:highlight w:val="none"/>
        </w:rPr>
      </w:pPr>
    </w:p>
    <w:p w14:paraId="6209DA98">
      <w:pPr>
        <w:pStyle w:val="287"/>
        <w:jc w:val="center"/>
        <w:outlineLvl w:val="9"/>
        <w:rPr>
          <w:rFonts w:hint="eastAsia" w:ascii="楷体" w:hAnsi="楷体" w:eastAsia="楷体" w:cs="楷体"/>
          <w:color w:val="auto"/>
        </w:rPr>
      </w:pPr>
      <w:r>
        <w:rPr>
          <w:rFonts w:hint="eastAsia" w:ascii="楷体" w:hAnsi="楷体" w:eastAsia="楷体"/>
          <w:color w:val="auto"/>
          <w:highlight w:val="none"/>
        </w:rPr>
        <w:t xml:space="preserve">                                  日期：    年  月  日</w:t>
      </w:r>
    </w:p>
    <w:bookmarkEnd w:id="267"/>
    <w:p w14:paraId="101BA0B6">
      <w:pPr>
        <w:jc w:val="center"/>
        <w:rPr>
          <w:rFonts w:hint="eastAsia" w:ascii="楷体" w:hAnsi="楷体" w:eastAsia="楷体" w:cs="楷体"/>
          <w:color w:val="auto"/>
          <w:sz w:val="28"/>
          <w:szCs w:val="24"/>
          <w:lang w:bidi="ar-SA"/>
        </w:rPr>
      </w:pPr>
      <w:r>
        <w:rPr>
          <w:rFonts w:hint="eastAsia" w:ascii="楷体" w:hAnsi="楷体" w:eastAsia="楷体" w:cs="楷体"/>
          <w:color w:val="auto"/>
        </w:rPr>
        <w:br w:type="page" w:clear="all"/>
      </w:r>
      <w:bookmarkStart w:id="268" w:name="_Toc29659"/>
      <w:bookmarkStart w:id="269" w:name="_Toc29264"/>
      <w:r>
        <w:rPr>
          <w:rFonts w:hint="eastAsia" w:ascii="楷体" w:hAnsi="楷体" w:eastAsia="楷体" w:cs="楷体"/>
          <w:color w:val="auto"/>
          <w:sz w:val="28"/>
          <w:szCs w:val="24"/>
          <w:lang w:bidi="ar-SA"/>
        </w:rPr>
        <w:t>首次报价已标价工程量清单</w:t>
      </w:r>
      <w:bookmarkEnd w:id="268"/>
      <w:bookmarkEnd w:id="269"/>
    </w:p>
    <w:p w14:paraId="24801F68">
      <w:pPr>
        <w:rPr>
          <w:rFonts w:hint="eastAsia" w:ascii="楷体" w:hAnsi="楷体" w:eastAsia="楷体" w:cs="楷体"/>
          <w:color w:val="auto"/>
        </w:rPr>
      </w:pPr>
    </w:p>
    <w:p w14:paraId="692FEEC4">
      <w:pPr>
        <w:rPr>
          <w:rFonts w:hint="eastAsia" w:ascii="楷体" w:hAnsi="楷体" w:eastAsia="楷体" w:cs="楷体"/>
          <w:color w:val="auto"/>
        </w:rPr>
      </w:pPr>
      <w:r>
        <w:rPr>
          <w:rFonts w:hint="eastAsia" w:ascii="楷体" w:hAnsi="楷体" w:eastAsia="楷体" w:cs="楷体"/>
          <w:color w:val="auto"/>
        </w:rPr>
        <w:br w:type="page" w:clear="all"/>
      </w:r>
    </w:p>
    <w:p w14:paraId="4426FDE4">
      <w:pPr>
        <w:rPr>
          <w:rFonts w:hint="eastAsia" w:ascii="楷体" w:hAnsi="楷体" w:eastAsia="楷体" w:cs="楷体"/>
          <w:color w:val="auto"/>
        </w:rPr>
      </w:pPr>
    </w:p>
    <w:p w14:paraId="1021C4FF">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eastAsia" w:ascii="楷体" w:hAnsi="楷体" w:eastAsia="楷体" w:cs="楷体"/>
          <w:color w:val="auto"/>
          <w:sz w:val="28"/>
        </w:rPr>
      </w:pPr>
      <w:bookmarkStart w:id="270" w:name="_Toc26180"/>
      <w:r>
        <w:rPr>
          <w:rFonts w:hint="eastAsia" w:ascii="楷体" w:hAnsi="楷体" w:eastAsia="楷体" w:cs="楷体"/>
          <w:color w:val="auto"/>
          <w:sz w:val="28"/>
        </w:rPr>
        <w:t>(</w:t>
      </w:r>
      <w:r>
        <w:rPr>
          <w:rFonts w:hint="eastAsia" w:ascii="楷体" w:hAnsi="楷体" w:eastAsia="楷体" w:cs="楷体"/>
          <w:color w:val="auto"/>
          <w:sz w:val="28"/>
          <w:lang w:val="en-US" w:eastAsia="zh-CN"/>
        </w:rPr>
        <w:t>二</w:t>
      </w:r>
      <w:r>
        <w:rPr>
          <w:rFonts w:hint="eastAsia" w:ascii="楷体" w:hAnsi="楷体" w:eastAsia="楷体" w:cs="楷体"/>
          <w:color w:val="auto"/>
          <w:sz w:val="28"/>
        </w:rPr>
        <w:t>)</w:t>
      </w:r>
      <w:r>
        <w:rPr>
          <w:rFonts w:hint="eastAsia" w:ascii="楷体" w:hAnsi="楷体" w:eastAsia="楷体" w:cs="楷体"/>
          <w:color w:val="auto"/>
          <w:sz w:val="28"/>
          <w:lang w:val="en-US" w:eastAsia="zh-CN"/>
        </w:rPr>
        <w:t>最终</w:t>
      </w:r>
      <w:r>
        <w:rPr>
          <w:rFonts w:hint="eastAsia" w:ascii="楷体" w:hAnsi="楷体" w:eastAsia="楷体" w:cs="楷体"/>
          <w:color w:val="auto"/>
          <w:sz w:val="28"/>
        </w:rPr>
        <w:t>报价一览表</w:t>
      </w:r>
      <w:bookmarkEnd w:id="270"/>
    </w:p>
    <w:p w14:paraId="3EC0B025">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eastAsia" w:ascii="楷体" w:hAnsi="楷体" w:eastAsia="楷体" w:cs="楷体"/>
          <w:color w:val="auto"/>
          <w:lang w:eastAsia="zh-CN"/>
        </w:rPr>
      </w:pPr>
      <w:bookmarkStart w:id="271" w:name="_Toc16672"/>
      <w:bookmarkStart w:id="272" w:name="_Toc2645"/>
      <w:r>
        <w:rPr>
          <w:rFonts w:hint="eastAsia" w:ascii="楷体" w:hAnsi="楷体" w:eastAsia="楷体" w:cs="楷体"/>
          <w:color w:val="auto"/>
          <w:sz w:val="28"/>
          <w:lang w:val="en-US" w:eastAsia="zh-CN"/>
        </w:rPr>
        <w:t>最终</w:t>
      </w:r>
      <w:r>
        <w:rPr>
          <w:rFonts w:hint="eastAsia" w:ascii="楷体" w:hAnsi="楷体" w:eastAsia="楷体" w:cs="楷体"/>
          <w:color w:val="auto"/>
          <w:sz w:val="28"/>
        </w:rPr>
        <w:t>报价一览表</w:t>
      </w:r>
      <w:bookmarkEnd w:id="271"/>
      <w:bookmarkEnd w:id="272"/>
    </w:p>
    <w:tbl>
      <w:tblPr>
        <w:tblStyle w:val="35"/>
        <w:tblW w:w="5000" w:type="pct"/>
        <w:tblInd w:w="0" w:type="dxa"/>
        <w:tblLayout w:type="fixed"/>
        <w:tblCellMar>
          <w:top w:w="0" w:type="dxa"/>
          <w:left w:w="108" w:type="dxa"/>
          <w:bottom w:w="0" w:type="dxa"/>
          <w:right w:w="108" w:type="dxa"/>
        </w:tblCellMar>
      </w:tblPr>
      <w:tblGrid>
        <w:gridCol w:w="3088"/>
        <w:gridCol w:w="5428"/>
      </w:tblGrid>
      <w:tr w14:paraId="5FCFD889">
        <w:tblPrEx>
          <w:tblCellMar>
            <w:top w:w="0" w:type="dxa"/>
            <w:left w:w="108" w:type="dxa"/>
            <w:bottom w:w="0" w:type="dxa"/>
            <w:right w:w="108" w:type="dxa"/>
          </w:tblCellMar>
        </w:tblPrEx>
        <w:trPr>
          <w:trHeight w:val="834" w:hRule="atLeast"/>
        </w:trPr>
        <w:tc>
          <w:tcPr>
            <w:tcW w:w="3088" w:type="dxa"/>
            <w:tcBorders>
              <w:top w:val="single" w:color="auto" w:sz="4" w:space="0"/>
              <w:left w:val="single" w:color="auto" w:sz="4" w:space="0"/>
              <w:bottom w:val="single" w:color="auto" w:sz="4" w:space="0"/>
              <w:right w:val="single" w:color="auto" w:sz="4" w:space="0"/>
            </w:tcBorders>
            <w:noWrap w:val="0"/>
            <w:vAlign w:val="center"/>
          </w:tcPr>
          <w:p w14:paraId="2CEE1910">
            <w:pPr>
              <w:widowControl/>
              <w:spacing w:line="360" w:lineRule="auto"/>
              <w:rPr>
                <w:rFonts w:hint="default" w:ascii="楷体" w:hAnsi="楷体" w:eastAsia="楷体" w:cs="宋体"/>
                <w:color w:val="auto"/>
                <w:kern w:val="0"/>
                <w:sz w:val="28"/>
                <w:highlight w:val="none"/>
                <w:lang w:val="en-US" w:eastAsia="zh-CN"/>
              </w:rPr>
            </w:pPr>
            <w:r>
              <w:rPr>
                <w:rFonts w:hint="eastAsia" w:ascii="楷体" w:hAnsi="楷体" w:eastAsia="楷体" w:cs="宋体"/>
                <w:color w:val="auto"/>
                <w:kern w:val="0"/>
                <w:sz w:val="28"/>
                <w:highlight w:val="none"/>
                <w:lang w:val="en-US" w:eastAsia="zh-CN"/>
              </w:rPr>
              <w:t>项目名称</w:t>
            </w:r>
          </w:p>
        </w:tc>
        <w:tc>
          <w:tcPr>
            <w:tcW w:w="5428" w:type="dxa"/>
            <w:tcBorders>
              <w:top w:val="single" w:color="auto" w:sz="4" w:space="0"/>
              <w:left w:val="nil"/>
              <w:bottom w:val="single" w:color="auto" w:sz="4" w:space="0"/>
              <w:right w:val="single" w:color="auto" w:sz="4" w:space="0"/>
            </w:tcBorders>
            <w:noWrap w:val="0"/>
            <w:vAlign w:val="center"/>
          </w:tcPr>
          <w:p w14:paraId="6037A504">
            <w:pPr>
              <w:widowControl/>
              <w:spacing w:line="360" w:lineRule="auto"/>
              <w:rPr>
                <w:rFonts w:hint="eastAsia" w:ascii="楷体" w:hAnsi="楷体" w:eastAsia="楷体" w:cs="宋体"/>
                <w:color w:val="auto"/>
                <w:kern w:val="0"/>
                <w:sz w:val="28"/>
                <w:highlight w:val="none"/>
                <w:lang w:val="en-US" w:eastAsia="zh-CN"/>
              </w:rPr>
            </w:pPr>
            <w:r>
              <w:rPr>
                <w:rFonts w:hint="eastAsia" w:ascii="楷体" w:hAnsi="楷体" w:eastAsia="楷体" w:cs="楷体"/>
                <w:color w:val="auto"/>
                <w:sz w:val="24"/>
                <w:szCs w:val="28"/>
                <w:highlight w:val="white"/>
                <w:lang w:val="en-US" w:eastAsia="zh-CN"/>
              </w:rPr>
              <w:t xml:space="preserve"> </w:t>
            </w:r>
          </w:p>
        </w:tc>
      </w:tr>
      <w:tr w14:paraId="2DE3445A">
        <w:tblPrEx>
          <w:tblCellMar>
            <w:top w:w="0" w:type="dxa"/>
            <w:left w:w="108" w:type="dxa"/>
            <w:bottom w:w="0" w:type="dxa"/>
            <w:right w:w="108" w:type="dxa"/>
          </w:tblCellMar>
        </w:tblPrEx>
        <w:trPr>
          <w:trHeight w:val="1533" w:hRule="atLeast"/>
        </w:trPr>
        <w:tc>
          <w:tcPr>
            <w:tcW w:w="3088" w:type="dxa"/>
            <w:tcBorders>
              <w:top w:val="nil"/>
              <w:left w:val="single" w:color="auto" w:sz="4" w:space="0"/>
              <w:bottom w:val="single" w:color="auto" w:sz="4" w:space="0"/>
              <w:right w:val="single" w:color="auto" w:sz="4" w:space="0"/>
            </w:tcBorders>
            <w:noWrap w:val="0"/>
            <w:vAlign w:val="center"/>
          </w:tcPr>
          <w:p w14:paraId="7817A53A">
            <w:pPr>
              <w:widowControl/>
              <w:spacing w:line="360" w:lineRule="auto"/>
              <w:rPr>
                <w:rFonts w:ascii="楷体" w:hAnsi="楷体" w:eastAsia="楷体" w:cs="宋体"/>
                <w:color w:val="auto"/>
                <w:kern w:val="0"/>
                <w:sz w:val="28"/>
                <w:highlight w:val="none"/>
              </w:rPr>
            </w:pPr>
            <w:r>
              <w:rPr>
                <w:rFonts w:hint="eastAsia" w:ascii="楷体" w:hAnsi="楷体" w:eastAsia="楷体" w:cs="宋体"/>
                <w:color w:val="auto"/>
                <w:kern w:val="0"/>
                <w:sz w:val="28"/>
                <w:highlight w:val="none"/>
              </w:rPr>
              <w:t>项目</w:t>
            </w:r>
            <w:r>
              <w:rPr>
                <w:rFonts w:hint="eastAsia" w:ascii="楷体" w:hAnsi="楷体" w:eastAsia="楷体" w:cs="宋体"/>
                <w:color w:val="auto"/>
                <w:kern w:val="0"/>
                <w:sz w:val="28"/>
                <w:highlight w:val="none"/>
                <w:lang w:val="en-US" w:eastAsia="zh-CN"/>
              </w:rPr>
              <w:t>总</w:t>
            </w:r>
            <w:r>
              <w:rPr>
                <w:rFonts w:hint="eastAsia" w:ascii="楷体" w:hAnsi="楷体" w:eastAsia="楷体" w:cs="宋体"/>
                <w:color w:val="auto"/>
                <w:kern w:val="0"/>
                <w:sz w:val="28"/>
                <w:highlight w:val="none"/>
              </w:rPr>
              <w:t>报价</w:t>
            </w:r>
          </w:p>
        </w:tc>
        <w:tc>
          <w:tcPr>
            <w:tcW w:w="5428" w:type="dxa"/>
            <w:tcBorders>
              <w:top w:val="nil"/>
              <w:left w:val="nil"/>
              <w:bottom w:val="single" w:color="auto" w:sz="4" w:space="0"/>
              <w:right w:val="single" w:color="auto" w:sz="4" w:space="0"/>
            </w:tcBorders>
            <w:noWrap w:val="0"/>
            <w:vAlign w:val="center"/>
          </w:tcPr>
          <w:p w14:paraId="17803BC5">
            <w:pPr>
              <w:widowControl/>
              <w:spacing w:line="360" w:lineRule="auto"/>
              <w:ind w:firstLine="562" w:firstLineChars="200"/>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大写：人民币</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元</w:t>
            </w:r>
          </w:p>
          <w:p w14:paraId="0108E134">
            <w:pPr>
              <w:pStyle w:val="45"/>
              <w:rPr>
                <w:rFonts w:hint="default"/>
                <w:color w:val="auto"/>
                <w:lang w:val="en-US"/>
              </w:rPr>
            </w:pPr>
            <w:r>
              <w:rPr>
                <w:rFonts w:hint="eastAsia" w:ascii="楷体" w:hAnsi="楷体" w:eastAsia="楷体" w:cs="楷体"/>
                <w:b/>
                <w:bCs/>
                <w:color w:val="auto"/>
                <w:sz w:val="28"/>
                <w:szCs w:val="28"/>
                <w:highlight w:val="none"/>
                <w:lang w:val="en-US" w:eastAsia="zh-CN"/>
              </w:rPr>
              <w:t>小写：¥</w:t>
            </w:r>
            <w:r>
              <w:rPr>
                <w:rFonts w:hint="eastAsia" w:ascii="楷体" w:hAnsi="楷体" w:eastAsia="楷体" w:cs="楷体"/>
                <w:b/>
                <w:bCs/>
                <w:color w:val="auto"/>
                <w:sz w:val="28"/>
                <w:szCs w:val="28"/>
                <w:highlight w:val="none"/>
                <w:u w:val="single"/>
                <w:lang w:val="en-US" w:eastAsia="zh-CN"/>
              </w:rPr>
              <w:t xml:space="preserve">           </w:t>
            </w:r>
          </w:p>
        </w:tc>
      </w:tr>
      <w:tr w14:paraId="63CFE187">
        <w:tblPrEx>
          <w:tblCellMar>
            <w:top w:w="0" w:type="dxa"/>
            <w:left w:w="108" w:type="dxa"/>
            <w:bottom w:w="0" w:type="dxa"/>
            <w:right w:w="108" w:type="dxa"/>
          </w:tblCellMar>
        </w:tblPrEx>
        <w:trPr>
          <w:trHeight w:val="834" w:hRule="atLeast"/>
        </w:trPr>
        <w:tc>
          <w:tcPr>
            <w:tcW w:w="3088" w:type="dxa"/>
            <w:tcBorders>
              <w:top w:val="nil"/>
              <w:left w:val="single" w:color="auto" w:sz="4" w:space="0"/>
              <w:bottom w:val="single" w:color="auto" w:sz="4" w:space="0"/>
              <w:right w:val="single" w:color="auto" w:sz="4" w:space="0"/>
            </w:tcBorders>
            <w:noWrap w:val="0"/>
            <w:vAlign w:val="center"/>
          </w:tcPr>
          <w:p w14:paraId="66A2875D">
            <w:pPr>
              <w:widowControl/>
              <w:spacing w:line="360" w:lineRule="auto"/>
              <w:rPr>
                <w:rFonts w:hint="default" w:ascii="楷体" w:hAnsi="楷体" w:eastAsia="楷体" w:cs="宋体"/>
                <w:color w:val="auto"/>
                <w:kern w:val="0"/>
                <w:sz w:val="28"/>
                <w:highlight w:val="none"/>
                <w:lang w:val="en-US" w:eastAsia="zh-CN"/>
              </w:rPr>
            </w:pPr>
            <w:r>
              <w:rPr>
                <w:rFonts w:hint="eastAsia" w:ascii="楷体" w:hAnsi="楷体" w:eastAsia="楷体" w:cs="宋体"/>
                <w:color w:val="auto"/>
                <w:kern w:val="0"/>
                <w:sz w:val="28"/>
                <w:highlight w:val="none"/>
                <w:lang w:val="en-US" w:eastAsia="zh-CN"/>
              </w:rPr>
              <w:t>工期</w:t>
            </w:r>
          </w:p>
        </w:tc>
        <w:tc>
          <w:tcPr>
            <w:tcW w:w="5428" w:type="dxa"/>
            <w:tcBorders>
              <w:top w:val="nil"/>
              <w:left w:val="nil"/>
              <w:bottom w:val="single" w:color="auto" w:sz="4" w:space="0"/>
              <w:right w:val="single" w:color="auto" w:sz="4" w:space="0"/>
            </w:tcBorders>
            <w:noWrap w:val="0"/>
            <w:vAlign w:val="center"/>
          </w:tcPr>
          <w:p w14:paraId="1AE4F9B1">
            <w:pPr>
              <w:widowControl/>
              <w:spacing w:line="360" w:lineRule="auto"/>
              <w:rPr>
                <w:rFonts w:ascii="楷体" w:hAnsi="楷体" w:eastAsia="楷体" w:cs="宋体"/>
                <w:color w:val="auto"/>
                <w:kern w:val="0"/>
                <w:sz w:val="28"/>
                <w:highlight w:val="none"/>
              </w:rPr>
            </w:pPr>
          </w:p>
        </w:tc>
      </w:tr>
      <w:tr w14:paraId="4CF3BE6F">
        <w:tblPrEx>
          <w:tblCellMar>
            <w:top w:w="0" w:type="dxa"/>
            <w:left w:w="108" w:type="dxa"/>
            <w:bottom w:w="0" w:type="dxa"/>
            <w:right w:w="108" w:type="dxa"/>
          </w:tblCellMar>
        </w:tblPrEx>
        <w:trPr>
          <w:trHeight w:val="1269" w:hRule="atLeast"/>
        </w:trPr>
        <w:tc>
          <w:tcPr>
            <w:tcW w:w="3088" w:type="dxa"/>
            <w:tcBorders>
              <w:top w:val="nil"/>
              <w:left w:val="single" w:color="auto" w:sz="4" w:space="0"/>
              <w:bottom w:val="single" w:color="auto" w:sz="4" w:space="0"/>
              <w:right w:val="single" w:color="auto" w:sz="4" w:space="0"/>
            </w:tcBorders>
            <w:noWrap w:val="0"/>
            <w:vAlign w:val="center"/>
          </w:tcPr>
          <w:p w14:paraId="7F8AB40F">
            <w:pPr>
              <w:widowControl/>
              <w:spacing w:line="360" w:lineRule="auto"/>
              <w:rPr>
                <w:rFonts w:ascii="楷体" w:hAnsi="楷体" w:eastAsia="楷体" w:cs="宋体"/>
                <w:color w:val="auto"/>
                <w:kern w:val="0"/>
                <w:sz w:val="28"/>
                <w:highlight w:val="none"/>
              </w:rPr>
            </w:pPr>
            <w:r>
              <w:rPr>
                <w:rFonts w:hint="eastAsia" w:ascii="楷体" w:hAnsi="楷体" w:eastAsia="楷体" w:cs="宋体"/>
                <w:color w:val="auto"/>
                <w:kern w:val="0"/>
                <w:sz w:val="28"/>
                <w:highlight w:val="none"/>
              </w:rPr>
              <w:t>备注</w:t>
            </w:r>
          </w:p>
        </w:tc>
        <w:tc>
          <w:tcPr>
            <w:tcW w:w="5428" w:type="dxa"/>
            <w:tcBorders>
              <w:top w:val="nil"/>
              <w:left w:val="nil"/>
              <w:bottom w:val="single" w:color="auto" w:sz="4" w:space="0"/>
              <w:right w:val="single" w:color="auto" w:sz="4" w:space="0"/>
            </w:tcBorders>
            <w:noWrap w:val="0"/>
            <w:vAlign w:val="center"/>
          </w:tcPr>
          <w:p w14:paraId="253A19EC">
            <w:pPr>
              <w:widowControl/>
              <w:spacing w:line="360" w:lineRule="auto"/>
              <w:rPr>
                <w:rFonts w:hint="default" w:ascii="楷体" w:hAnsi="楷体" w:eastAsia="楷体" w:cs="楷体"/>
                <w:color w:val="auto"/>
                <w:sz w:val="24"/>
                <w:szCs w:val="24"/>
                <w:highlight w:val="none"/>
                <w:lang w:val="en-US" w:eastAsia="zh-CN"/>
              </w:rPr>
            </w:pPr>
          </w:p>
        </w:tc>
      </w:tr>
    </w:tbl>
    <w:p w14:paraId="2ADAED7E">
      <w:pPr>
        <w:pStyle w:val="2"/>
        <w:spacing w:line="360" w:lineRule="auto"/>
        <w:rPr>
          <w:rFonts w:hint="eastAsia" w:ascii="楷体" w:hAnsi="楷体" w:eastAsia="楷体"/>
          <w:color w:val="auto"/>
          <w:sz w:val="24"/>
          <w:highlight w:val="none"/>
          <w:u w:val="single"/>
        </w:rPr>
      </w:pPr>
      <w:r>
        <w:rPr>
          <w:rFonts w:hint="eastAsia" w:ascii="楷体" w:hAnsi="楷体" w:eastAsia="楷体"/>
          <w:b/>
          <w:color w:val="auto"/>
          <w:sz w:val="21"/>
          <w:szCs w:val="21"/>
          <w:highlight w:val="none"/>
        </w:rPr>
        <w:t>注：</w:t>
      </w:r>
      <w:r>
        <w:rPr>
          <w:rFonts w:hint="eastAsia" w:ascii="楷体" w:hAnsi="楷体" w:eastAsia="楷体"/>
          <w:color w:val="auto"/>
          <w:sz w:val="24"/>
          <w:highlight w:val="none"/>
          <w:u w:val="single"/>
        </w:rPr>
        <w:t>1、报价包括完成项目的所有费用。采购人不再支付报价以外的任何费用。</w:t>
      </w:r>
    </w:p>
    <w:p w14:paraId="06C5C7B8">
      <w:pPr>
        <w:pStyle w:val="2"/>
        <w:spacing w:line="360" w:lineRule="auto"/>
        <w:ind w:left="178" w:leftChars="85" w:firstLine="280" w:firstLineChars="117"/>
        <w:rPr>
          <w:rFonts w:hint="eastAsia" w:ascii="楷体" w:hAnsi="楷体" w:eastAsia="楷体"/>
          <w:color w:val="auto"/>
          <w:sz w:val="24"/>
          <w:highlight w:val="none"/>
          <w:u w:val="single"/>
        </w:rPr>
      </w:pPr>
      <w:r>
        <w:rPr>
          <w:rFonts w:hint="eastAsia" w:ascii="楷体" w:hAnsi="楷体" w:eastAsia="楷体"/>
          <w:color w:val="auto"/>
          <w:sz w:val="24"/>
          <w:highlight w:val="none"/>
          <w:u w:val="single"/>
        </w:rPr>
        <w:t>2、报价以总价为准，大小写不一致以大写为准；</w:t>
      </w:r>
    </w:p>
    <w:p w14:paraId="0FD17D27">
      <w:pPr>
        <w:pStyle w:val="2"/>
        <w:spacing w:line="360" w:lineRule="auto"/>
        <w:ind w:left="178" w:leftChars="85" w:firstLine="280" w:firstLineChars="117"/>
        <w:rPr>
          <w:rFonts w:hint="eastAsia" w:ascii="楷体" w:hAnsi="楷体" w:eastAsia="楷体"/>
          <w:color w:val="auto"/>
          <w:sz w:val="24"/>
          <w:highlight w:val="none"/>
          <w:u w:val="single"/>
        </w:rPr>
      </w:pPr>
      <w:r>
        <w:rPr>
          <w:rFonts w:hint="eastAsia" w:ascii="楷体" w:hAnsi="楷体" w:eastAsia="楷体"/>
          <w:color w:val="auto"/>
          <w:sz w:val="24"/>
          <w:highlight w:val="none"/>
          <w:u w:val="single"/>
        </w:rPr>
        <w:t>3、如最后报价未列明单价（除不可竞争性报价外），则最后所报各项单价计算方法为：（最后报价/最初报价）*各项最初报价的单价。</w:t>
      </w:r>
    </w:p>
    <w:p w14:paraId="641D9A77">
      <w:pPr>
        <w:pStyle w:val="2"/>
        <w:pageBreakBefore w:val="0"/>
        <w:kinsoku/>
        <w:overflowPunct/>
        <w:topLinePunct w:val="0"/>
        <w:autoSpaceDE/>
        <w:autoSpaceDN/>
        <w:bidi w:val="0"/>
        <w:spacing w:line="360" w:lineRule="auto"/>
        <w:ind w:left="0" w:leftChars="0" w:right="0" w:rightChars="0" w:firstLine="480"/>
        <w:rPr>
          <w:rFonts w:hint="eastAsia" w:ascii="楷体" w:hAnsi="楷体" w:eastAsia="楷体" w:cs="楷体"/>
          <w:b/>
          <w:bCs/>
          <w:color w:val="auto"/>
          <w:sz w:val="24"/>
          <w:highlight w:val="none"/>
          <w:u w:val="single"/>
        </w:rPr>
      </w:pPr>
      <w:r>
        <w:rPr>
          <w:rFonts w:hint="eastAsia" w:ascii="楷体" w:hAnsi="楷体" w:eastAsia="楷体" w:cs="楷体"/>
          <w:b/>
          <w:bCs/>
          <w:color w:val="auto"/>
          <w:sz w:val="24"/>
          <w:highlight w:val="none"/>
          <w:u w:val="single"/>
        </w:rPr>
        <w:t>4、拟做第二次报价的，要随身携带此报价表一式两份并加盖公章，以备磋商时填写,作二次报价的以二次报价为准；</w:t>
      </w:r>
    </w:p>
    <w:p w14:paraId="32C860E2">
      <w:pPr>
        <w:pStyle w:val="2"/>
        <w:pageBreakBefore w:val="0"/>
        <w:kinsoku/>
        <w:overflowPunct/>
        <w:topLinePunct w:val="0"/>
        <w:autoSpaceDE/>
        <w:autoSpaceDN/>
        <w:bidi w:val="0"/>
        <w:spacing w:line="360" w:lineRule="auto"/>
        <w:ind w:left="0" w:leftChars="0" w:right="0" w:rightChars="0" w:firstLine="480"/>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u w:val="single"/>
        </w:rPr>
        <w:t>5、磋商过程中未对磋商内容作出实质性变更、修改的情况下，如二轮报价超过首轮报价，则二轮报价无效，仅以其首轮报价作为最终报价，如被评定为成交供应商，其首轮报价即为成交价格。</w:t>
      </w:r>
    </w:p>
    <w:p w14:paraId="7E8A51C5">
      <w:pPr>
        <w:ind w:firstLine="480" w:firstLineChars="200"/>
        <w:rPr>
          <w:rFonts w:hint="eastAsia"/>
          <w:color w:val="auto"/>
        </w:rPr>
      </w:pPr>
      <w:r>
        <w:rPr>
          <w:rFonts w:hint="eastAsia" w:ascii="楷体" w:hAnsi="楷体" w:eastAsia="楷体" w:cs="楷体"/>
          <w:color w:val="auto"/>
          <w:sz w:val="24"/>
          <w:szCs w:val="20"/>
          <w:highlight w:val="none"/>
          <w:u w:val="single"/>
        </w:rPr>
        <w:t>6、成交供应商须向采购人</w:t>
      </w:r>
      <w:r>
        <w:rPr>
          <w:rFonts w:hint="eastAsia" w:ascii="楷体" w:hAnsi="楷体" w:eastAsia="楷体" w:cs="楷体"/>
          <w:color w:val="auto"/>
          <w:sz w:val="24"/>
          <w:szCs w:val="20"/>
          <w:highlight w:val="none"/>
          <w:u w:val="single"/>
          <w:lang w:val="en-US" w:eastAsia="zh-CN"/>
        </w:rPr>
        <w:t>补</w:t>
      </w:r>
      <w:r>
        <w:rPr>
          <w:rFonts w:hint="eastAsia" w:ascii="楷体" w:hAnsi="楷体" w:eastAsia="楷体" w:cs="楷体"/>
          <w:color w:val="auto"/>
          <w:sz w:val="24"/>
          <w:szCs w:val="20"/>
          <w:highlight w:val="none"/>
          <w:u w:val="single"/>
        </w:rPr>
        <w:t>交最终报价清单的纸质版及计价软件版，纸质版报价清单须盖章。</w:t>
      </w:r>
    </w:p>
    <w:p w14:paraId="6B3F3269">
      <w:pPr>
        <w:rPr>
          <w:color w:val="auto"/>
        </w:rPr>
      </w:pPr>
    </w:p>
    <w:p w14:paraId="20BDB375">
      <w:pPr>
        <w:rPr>
          <w:rFonts w:ascii="楷体" w:hAnsi="楷体" w:eastAsia="楷体"/>
          <w:color w:val="auto"/>
          <w:sz w:val="28"/>
          <w:highlight w:val="none"/>
        </w:rPr>
      </w:pPr>
      <w:r>
        <w:rPr>
          <w:rFonts w:hint="eastAsia" w:ascii="楷体" w:hAnsi="楷体" w:eastAsia="楷体"/>
          <w:color w:val="auto"/>
          <w:sz w:val="28"/>
          <w:highlight w:val="none"/>
        </w:rPr>
        <w:t>法定代表人或其授权委托代理人</w:t>
      </w:r>
      <w:r>
        <w:rPr>
          <w:rFonts w:hint="eastAsia" w:ascii="楷体" w:hAnsi="楷体" w:eastAsia="楷体"/>
          <w:color w:val="auto"/>
          <w:sz w:val="28"/>
          <w:highlight w:val="none"/>
          <w:lang w:eastAsia="zh-CN"/>
        </w:rPr>
        <w:t>（</w:t>
      </w:r>
      <w:r>
        <w:rPr>
          <w:rFonts w:hint="eastAsia" w:ascii="楷体" w:hAnsi="楷体" w:eastAsia="楷体"/>
          <w:color w:val="auto"/>
          <w:sz w:val="28"/>
          <w:highlight w:val="none"/>
        </w:rPr>
        <w:t>签字</w:t>
      </w:r>
      <w:r>
        <w:rPr>
          <w:rFonts w:hint="eastAsia" w:ascii="楷体" w:hAnsi="楷体" w:eastAsia="楷体"/>
          <w:color w:val="auto"/>
          <w:sz w:val="28"/>
          <w:highlight w:val="none"/>
          <w:lang w:val="en-US" w:eastAsia="zh-CN"/>
        </w:rPr>
        <w:t>或盖章</w:t>
      </w:r>
      <w:r>
        <w:rPr>
          <w:rFonts w:hint="eastAsia" w:ascii="楷体" w:hAnsi="楷体" w:eastAsia="楷体"/>
          <w:color w:val="auto"/>
          <w:sz w:val="28"/>
          <w:highlight w:val="none"/>
          <w:lang w:eastAsia="zh-CN"/>
        </w:rPr>
        <w:t>）</w:t>
      </w:r>
      <w:r>
        <w:rPr>
          <w:rFonts w:hint="eastAsia" w:ascii="楷体" w:hAnsi="楷体" w:eastAsia="楷体"/>
          <w:color w:val="auto"/>
          <w:sz w:val="28"/>
          <w:highlight w:val="none"/>
        </w:rPr>
        <w:t xml:space="preserve">：                      </w:t>
      </w:r>
    </w:p>
    <w:p w14:paraId="0CBF7268">
      <w:pPr>
        <w:pStyle w:val="2"/>
        <w:spacing w:line="360" w:lineRule="auto"/>
        <w:rPr>
          <w:rFonts w:ascii="楷体" w:hAnsi="楷体" w:eastAsia="楷体"/>
          <w:color w:val="auto"/>
          <w:sz w:val="30"/>
          <w:highlight w:val="none"/>
        </w:rPr>
      </w:pPr>
    </w:p>
    <w:p w14:paraId="48AA283A">
      <w:pPr>
        <w:spacing w:line="360" w:lineRule="auto"/>
        <w:ind w:firstLine="3920" w:firstLineChars="1400"/>
        <w:jc w:val="left"/>
        <w:rPr>
          <w:rFonts w:hint="eastAsia" w:ascii="楷体" w:hAnsi="楷体" w:eastAsia="楷体"/>
          <w:color w:val="auto"/>
          <w:sz w:val="24"/>
          <w:highlight w:val="none"/>
          <w:lang w:eastAsia="zh-CN"/>
        </w:rPr>
      </w:pPr>
      <w:r>
        <w:rPr>
          <w:rFonts w:hint="eastAsia" w:ascii="楷体" w:hAnsi="楷体" w:eastAsia="楷体"/>
          <w:color w:val="auto"/>
          <w:sz w:val="28"/>
          <w:highlight w:val="none"/>
        </w:rPr>
        <w:t>供应商（公章）</w:t>
      </w:r>
      <w:r>
        <w:rPr>
          <w:rFonts w:hint="eastAsia" w:ascii="楷体" w:hAnsi="楷体" w:eastAsia="楷体"/>
          <w:color w:val="auto"/>
          <w:sz w:val="28"/>
          <w:highlight w:val="none"/>
          <w:lang w:eastAsia="zh-CN"/>
        </w:rPr>
        <w:t>：</w:t>
      </w:r>
    </w:p>
    <w:p w14:paraId="2C1897CE">
      <w:pPr>
        <w:pStyle w:val="287"/>
        <w:jc w:val="center"/>
        <w:outlineLvl w:val="9"/>
        <w:rPr>
          <w:rFonts w:hint="eastAsia" w:ascii="楷体" w:hAnsi="楷体" w:eastAsia="楷体"/>
          <w:color w:val="auto"/>
          <w:highlight w:val="none"/>
        </w:rPr>
      </w:pPr>
      <w:r>
        <w:rPr>
          <w:rFonts w:hint="eastAsia" w:ascii="楷体" w:hAnsi="楷体" w:eastAsia="楷体"/>
          <w:color w:val="auto"/>
          <w:highlight w:val="none"/>
        </w:rPr>
        <w:t xml:space="preserve">                                  日期：    年  月  日</w:t>
      </w:r>
    </w:p>
    <w:p w14:paraId="59F2F122">
      <w:pPr>
        <w:rPr>
          <w:rFonts w:hint="eastAsia" w:ascii="楷体" w:hAnsi="楷体" w:eastAsia="楷体"/>
          <w:color w:val="auto"/>
          <w:highlight w:val="none"/>
        </w:rPr>
      </w:pPr>
      <w:r>
        <w:rPr>
          <w:rFonts w:hint="eastAsia" w:ascii="楷体" w:hAnsi="楷体" w:eastAsia="楷体"/>
          <w:color w:val="auto"/>
          <w:highlight w:val="none"/>
        </w:rPr>
        <w:br w:type="page"/>
      </w:r>
    </w:p>
    <w:p w14:paraId="521B3E4F">
      <w:pPr>
        <w:pStyle w:val="287"/>
        <w:numPr>
          <w:ilvl w:val="0"/>
          <w:numId w:val="0"/>
        </w:numPr>
        <w:jc w:val="both"/>
        <w:outlineLvl w:val="9"/>
        <w:rPr>
          <w:rFonts w:hint="eastAsia" w:ascii="楷体" w:hAnsi="楷体" w:eastAsia="楷体" w:cs="楷体"/>
          <w:color w:val="auto"/>
        </w:rPr>
      </w:pPr>
      <w:bookmarkStart w:id="273" w:name="_Toc256000078"/>
    </w:p>
    <w:p w14:paraId="3333E633">
      <w:pPr>
        <w:pStyle w:val="287"/>
        <w:jc w:val="center"/>
        <w:outlineLvl w:val="1"/>
        <w:rPr>
          <w:rFonts w:hint="default" w:ascii="楷体" w:hAnsi="楷体" w:eastAsia="楷体" w:cs="楷体"/>
          <w:b/>
          <w:bCs/>
          <w:color w:val="auto"/>
          <w:sz w:val="32"/>
          <w:szCs w:val="28"/>
          <w:lang w:val="en-US" w:eastAsia="zh-CN"/>
        </w:rPr>
      </w:pPr>
      <w:bookmarkStart w:id="274" w:name="_Toc6484"/>
      <w:r>
        <w:rPr>
          <w:rFonts w:hint="eastAsia" w:ascii="楷体" w:hAnsi="楷体" w:eastAsia="楷体" w:cs="楷体"/>
          <w:b/>
          <w:bCs/>
          <w:color w:val="auto"/>
          <w:sz w:val="32"/>
          <w:szCs w:val="28"/>
          <w:lang w:val="en-US" w:eastAsia="zh-CN"/>
        </w:rPr>
        <w:t>四、技术部分</w:t>
      </w:r>
      <w:bookmarkEnd w:id="274"/>
    </w:p>
    <w:bookmarkEnd w:id="273"/>
    <w:p w14:paraId="51C24EC5">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eastAsia" w:ascii="楷体" w:hAnsi="楷体" w:eastAsia="楷体" w:cs="楷体"/>
          <w:color w:val="auto"/>
          <w:sz w:val="28"/>
        </w:rPr>
      </w:pPr>
      <w:bookmarkStart w:id="275" w:name="_Toc25136"/>
      <w:bookmarkStart w:id="276" w:name="_Toc31736"/>
      <w:r>
        <w:rPr>
          <w:rFonts w:hint="eastAsia" w:ascii="楷体" w:hAnsi="楷体" w:eastAsia="楷体" w:cs="楷体"/>
          <w:color w:val="auto"/>
          <w:sz w:val="28"/>
        </w:rPr>
        <w:t>(</w:t>
      </w:r>
      <w:r>
        <w:rPr>
          <w:rFonts w:hint="eastAsia" w:ascii="楷体" w:hAnsi="楷体" w:eastAsia="楷体" w:cs="楷体"/>
          <w:color w:val="auto"/>
          <w:sz w:val="28"/>
          <w:lang w:val="en-US" w:eastAsia="zh-CN"/>
        </w:rPr>
        <w:t>一</w:t>
      </w:r>
      <w:r>
        <w:rPr>
          <w:rFonts w:hint="eastAsia" w:ascii="楷体" w:hAnsi="楷体" w:eastAsia="楷体" w:cs="楷体"/>
          <w:color w:val="auto"/>
          <w:sz w:val="28"/>
        </w:rPr>
        <w:t>)</w:t>
      </w:r>
      <w:r>
        <w:rPr>
          <w:rFonts w:hint="eastAsia" w:ascii="楷体" w:hAnsi="楷体" w:eastAsia="楷体" w:cs="楷体"/>
          <w:color w:val="auto"/>
          <w:sz w:val="28"/>
          <w:lang w:val="en-US" w:eastAsia="zh-CN"/>
        </w:rPr>
        <w:t>项目需求</w:t>
      </w:r>
      <w:r>
        <w:rPr>
          <w:rFonts w:hint="eastAsia" w:ascii="楷体" w:hAnsi="楷体" w:eastAsia="楷体" w:cs="楷体"/>
          <w:color w:val="auto"/>
          <w:sz w:val="28"/>
        </w:rPr>
        <w:t>偏离表</w:t>
      </w:r>
      <w:bookmarkEnd w:id="275"/>
      <w:bookmarkEnd w:id="276"/>
    </w:p>
    <w:p w14:paraId="2B59FE4E">
      <w:pPr>
        <w:spacing w:before="113"/>
        <w:rPr>
          <w:rFonts w:hint="eastAsia" w:ascii="楷体" w:hAnsi="楷体" w:eastAsia="楷体" w:cs="楷体"/>
          <w:color w:val="auto"/>
        </w:rPr>
      </w:pPr>
      <w:bookmarkStart w:id="277" w:name="三、商务部分"/>
      <w:bookmarkEnd w:id="277"/>
    </w:p>
    <w:tbl>
      <w:tblPr>
        <w:tblStyle w:val="301"/>
        <w:tblW w:w="85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3663"/>
        <w:gridCol w:w="1060"/>
        <w:gridCol w:w="2675"/>
      </w:tblGrid>
      <w:tr w14:paraId="67E0B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130" w:type="dxa"/>
            <w:noWrap w:val="0"/>
            <w:vAlign w:val="top"/>
          </w:tcPr>
          <w:p w14:paraId="6FF29B1F">
            <w:pPr>
              <w:widowControl w:val="0"/>
              <w:spacing w:line="294" w:lineRule="auto"/>
              <w:jc w:val="both"/>
              <w:rPr>
                <w:rFonts w:hint="eastAsia" w:ascii="楷体" w:hAnsi="楷体" w:eastAsia="楷体" w:cs="楷体"/>
                <w:color w:val="auto"/>
                <w:sz w:val="24"/>
                <w:szCs w:val="24"/>
                <w:lang w:val="en-US" w:eastAsia="zh-CN" w:bidi="ar-SA"/>
              </w:rPr>
            </w:pPr>
          </w:p>
          <w:p w14:paraId="0415526E">
            <w:pPr>
              <w:pStyle w:val="302"/>
              <w:widowControl w:val="0"/>
              <w:spacing w:before="78" w:after="80" w:line="220" w:lineRule="auto"/>
              <w:ind w:left="154"/>
              <w:jc w:val="left"/>
              <w:rPr>
                <w:rFonts w:hint="eastAsia" w:ascii="楷体" w:hAnsi="楷体" w:eastAsia="楷体" w:cs="楷体"/>
                <w:color w:val="auto"/>
                <w:sz w:val="24"/>
                <w:szCs w:val="24"/>
                <w:lang w:val="en-US" w:eastAsia="zh-CN" w:bidi="ar-SA"/>
              </w:rPr>
            </w:pPr>
            <w:r>
              <w:rPr>
                <w:rFonts w:hint="eastAsia" w:ascii="楷体" w:hAnsi="楷体" w:eastAsia="楷体" w:cs="楷体"/>
                <w:color w:val="auto"/>
                <w:spacing w:val="-7"/>
                <w:sz w:val="24"/>
                <w:szCs w:val="24"/>
                <w:lang w:val="en-US" w:eastAsia="zh-CN" w:bidi="ar-SA"/>
              </w:rPr>
              <w:t>项目</w:t>
            </w:r>
          </w:p>
        </w:tc>
        <w:tc>
          <w:tcPr>
            <w:tcW w:w="3663" w:type="dxa"/>
            <w:noWrap w:val="0"/>
            <w:vAlign w:val="top"/>
          </w:tcPr>
          <w:p w14:paraId="770FBB59">
            <w:pPr>
              <w:widowControl w:val="0"/>
              <w:spacing w:line="294" w:lineRule="auto"/>
              <w:jc w:val="both"/>
              <w:rPr>
                <w:rFonts w:hint="eastAsia" w:ascii="楷体" w:hAnsi="楷体" w:eastAsia="楷体" w:cs="楷体"/>
                <w:color w:val="auto"/>
                <w:sz w:val="24"/>
                <w:szCs w:val="24"/>
                <w:lang w:val="en-US" w:eastAsia="zh-CN" w:bidi="ar-SA"/>
              </w:rPr>
            </w:pPr>
          </w:p>
          <w:p w14:paraId="0CE32CE4">
            <w:pPr>
              <w:pStyle w:val="302"/>
              <w:widowControl w:val="0"/>
              <w:spacing w:before="78" w:after="80" w:line="220" w:lineRule="auto"/>
              <w:ind w:left="1117"/>
              <w:jc w:val="left"/>
              <w:rPr>
                <w:rFonts w:hint="eastAsia" w:ascii="楷体" w:hAnsi="楷体" w:eastAsia="楷体" w:cs="楷体"/>
                <w:color w:val="auto"/>
                <w:sz w:val="24"/>
                <w:szCs w:val="24"/>
                <w:lang w:val="en-US" w:eastAsia="zh-CN" w:bidi="ar-SA"/>
              </w:rPr>
            </w:pPr>
            <w:r>
              <w:rPr>
                <w:rFonts w:hint="eastAsia" w:ascii="楷体" w:hAnsi="楷体" w:eastAsia="楷体" w:cs="楷体"/>
                <w:color w:val="auto"/>
                <w:spacing w:val="-2"/>
                <w:sz w:val="24"/>
                <w:szCs w:val="24"/>
                <w:lang w:val="en-US" w:eastAsia="zh-CN" w:bidi="ar-SA"/>
              </w:rPr>
              <w:t>磋商文件要求</w:t>
            </w:r>
          </w:p>
        </w:tc>
        <w:tc>
          <w:tcPr>
            <w:tcW w:w="1060" w:type="dxa"/>
            <w:noWrap w:val="0"/>
            <w:vAlign w:val="top"/>
          </w:tcPr>
          <w:p w14:paraId="51E38462">
            <w:pPr>
              <w:pStyle w:val="302"/>
              <w:widowControl w:val="0"/>
              <w:spacing w:before="197" w:after="80" w:line="247" w:lineRule="auto"/>
              <w:ind w:left="297" w:right="166" w:hanging="118"/>
              <w:jc w:val="left"/>
              <w:rPr>
                <w:rFonts w:hint="eastAsia" w:ascii="楷体" w:hAnsi="楷体" w:eastAsia="楷体" w:cs="楷体"/>
                <w:color w:val="auto"/>
                <w:sz w:val="24"/>
                <w:szCs w:val="24"/>
                <w:lang w:val="en-US" w:eastAsia="zh-CN" w:bidi="ar-SA"/>
              </w:rPr>
            </w:pPr>
            <w:r>
              <w:rPr>
                <w:rFonts w:hint="eastAsia" w:ascii="楷体" w:hAnsi="楷体" w:eastAsia="楷体" w:cs="楷体"/>
                <w:color w:val="auto"/>
                <w:spacing w:val="-4"/>
                <w:sz w:val="24"/>
                <w:szCs w:val="24"/>
                <w:lang w:val="en-US" w:eastAsia="zh-CN" w:bidi="ar-SA"/>
              </w:rPr>
              <w:t>符合或</w:t>
            </w:r>
            <w:r>
              <w:rPr>
                <w:rFonts w:hint="eastAsia" w:ascii="楷体" w:hAnsi="楷体" w:eastAsia="楷体" w:cs="楷体"/>
                <w:color w:val="auto"/>
                <w:spacing w:val="-3"/>
                <w:sz w:val="24"/>
                <w:szCs w:val="24"/>
                <w:lang w:val="en-US" w:eastAsia="zh-CN" w:bidi="ar-SA"/>
              </w:rPr>
              <w:t>偏离</w:t>
            </w:r>
          </w:p>
        </w:tc>
        <w:tc>
          <w:tcPr>
            <w:tcW w:w="2675" w:type="dxa"/>
            <w:noWrap w:val="0"/>
            <w:vAlign w:val="top"/>
          </w:tcPr>
          <w:p w14:paraId="620BB3E3">
            <w:pPr>
              <w:widowControl w:val="0"/>
              <w:spacing w:line="294" w:lineRule="auto"/>
              <w:jc w:val="both"/>
              <w:rPr>
                <w:rFonts w:hint="eastAsia" w:ascii="楷体" w:hAnsi="楷体" w:eastAsia="楷体" w:cs="楷体"/>
                <w:color w:val="auto"/>
                <w:sz w:val="24"/>
                <w:szCs w:val="24"/>
                <w:lang w:val="en-US" w:eastAsia="zh-CN" w:bidi="ar-SA"/>
              </w:rPr>
            </w:pPr>
          </w:p>
          <w:p w14:paraId="0365B1C4">
            <w:pPr>
              <w:pStyle w:val="302"/>
              <w:widowControl w:val="0"/>
              <w:spacing w:before="78" w:after="80" w:line="219" w:lineRule="auto"/>
              <w:ind w:left="502"/>
              <w:jc w:val="left"/>
              <w:rPr>
                <w:rFonts w:hint="eastAsia" w:ascii="楷体" w:hAnsi="楷体" w:eastAsia="楷体" w:cs="楷体"/>
                <w:color w:val="auto"/>
                <w:sz w:val="24"/>
                <w:szCs w:val="24"/>
                <w:lang w:val="en-US" w:eastAsia="zh-CN" w:bidi="ar-SA"/>
              </w:rPr>
            </w:pPr>
            <w:r>
              <w:rPr>
                <w:rFonts w:hint="eastAsia" w:ascii="楷体" w:hAnsi="楷体" w:eastAsia="楷体" w:cs="楷体"/>
                <w:color w:val="auto"/>
                <w:spacing w:val="-2"/>
                <w:sz w:val="24"/>
                <w:szCs w:val="24"/>
                <w:lang w:val="en-US" w:eastAsia="zh-CN" w:bidi="ar-SA"/>
              </w:rPr>
              <w:t>供应商实际响应</w:t>
            </w:r>
          </w:p>
        </w:tc>
      </w:tr>
      <w:tr w14:paraId="1CFE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130" w:type="dxa"/>
            <w:noWrap w:val="0"/>
            <w:vAlign w:val="top"/>
          </w:tcPr>
          <w:p w14:paraId="05A9A58C">
            <w:pPr>
              <w:widowControl w:val="0"/>
              <w:jc w:val="both"/>
              <w:rPr>
                <w:rFonts w:hint="eastAsia" w:ascii="楷体" w:hAnsi="楷体" w:eastAsia="楷体" w:cs="楷体"/>
                <w:color w:val="auto"/>
                <w:sz w:val="24"/>
                <w:szCs w:val="24"/>
                <w:lang w:val="en-US" w:eastAsia="zh-CN" w:bidi="ar-SA"/>
              </w:rPr>
            </w:pPr>
          </w:p>
        </w:tc>
        <w:tc>
          <w:tcPr>
            <w:tcW w:w="3663" w:type="dxa"/>
            <w:noWrap w:val="0"/>
            <w:vAlign w:val="top"/>
          </w:tcPr>
          <w:p w14:paraId="76E729D3">
            <w:pPr>
              <w:widowControl w:val="0"/>
              <w:jc w:val="both"/>
              <w:rPr>
                <w:rFonts w:hint="eastAsia" w:ascii="楷体" w:hAnsi="楷体" w:eastAsia="楷体" w:cs="楷体"/>
                <w:color w:val="auto"/>
                <w:sz w:val="24"/>
                <w:szCs w:val="24"/>
                <w:lang w:val="en-US" w:eastAsia="zh-CN" w:bidi="ar-SA"/>
              </w:rPr>
            </w:pPr>
          </w:p>
        </w:tc>
        <w:tc>
          <w:tcPr>
            <w:tcW w:w="1060" w:type="dxa"/>
            <w:noWrap w:val="0"/>
            <w:vAlign w:val="top"/>
          </w:tcPr>
          <w:p w14:paraId="3DAB9B83">
            <w:pPr>
              <w:widowControl w:val="0"/>
              <w:jc w:val="both"/>
              <w:rPr>
                <w:rFonts w:hint="eastAsia" w:ascii="楷体" w:hAnsi="楷体" w:eastAsia="楷体" w:cs="楷体"/>
                <w:color w:val="auto"/>
                <w:sz w:val="24"/>
                <w:szCs w:val="24"/>
                <w:lang w:val="en-US" w:eastAsia="zh-CN" w:bidi="ar-SA"/>
              </w:rPr>
            </w:pPr>
          </w:p>
        </w:tc>
        <w:tc>
          <w:tcPr>
            <w:tcW w:w="2675" w:type="dxa"/>
            <w:noWrap w:val="0"/>
            <w:vAlign w:val="top"/>
          </w:tcPr>
          <w:p w14:paraId="5061AC5F">
            <w:pPr>
              <w:widowControl w:val="0"/>
              <w:jc w:val="both"/>
              <w:rPr>
                <w:rFonts w:hint="eastAsia" w:ascii="楷体" w:hAnsi="楷体" w:eastAsia="楷体" w:cs="楷体"/>
                <w:color w:val="auto"/>
                <w:sz w:val="24"/>
                <w:szCs w:val="24"/>
                <w:lang w:val="en-US" w:eastAsia="zh-CN" w:bidi="ar-SA"/>
              </w:rPr>
            </w:pPr>
          </w:p>
        </w:tc>
      </w:tr>
      <w:tr w14:paraId="697FD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130" w:type="dxa"/>
            <w:noWrap w:val="0"/>
            <w:vAlign w:val="top"/>
          </w:tcPr>
          <w:p w14:paraId="18CC5E72">
            <w:pPr>
              <w:widowControl w:val="0"/>
              <w:jc w:val="both"/>
              <w:rPr>
                <w:rFonts w:hint="eastAsia" w:ascii="楷体" w:hAnsi="楷体" w:eastAsia="楷体" w:cs="楷体"/>
                <w:color w:val="auto"/>
                <w:sz w:val="24"/>
                <w:szCs w:val="24"/>
                <w:lang w:val="en-US" w:eastAsia="zh-CN" w:bidi="ar-SA"/>
              </w:rPr>
            </w:pPr>
          </w:p>
        </w:tc>
        <w:tc>
          <w:tcPr>
            <w:tcW w:w="3663" w:type="dxa"/>
            <w:noWrap w:val="0"/>
            <w:vAlign w:val="top"/>
          </w:tcPr>
          <w:p w14:paraId="18672DDF">
            <w:pPr>
              <w:widowControl w:val="0"/>
              <w:jc w:val="both"/>
              <w:rPr>
                <w:rFonts w:hint="eastAsia" w:ascii="楷体" w:hAnsi="楷体" w:eastAsia="楷体" w:cs="楷体"/>
                <w:color w:val="auto"/>
                <w:sz w:val="24"/>
                <w:szCs w:val="24"/>
                <w:lang w:val="en-US" w:eastAsia="zh-CN" w:bidi="ar-SA"/>
              </w:rPr>
            </w:pPr>
          </w:p>
        </w:tc>
        <w:tc>
          <w:tcPr>
            <w:tcW w:w="1060" w:type="dxa"/>
            <w:noWrap w:val="0"/>
            <w:vAlign w:val="top"/>
          </w:tcPr>
          <w:p w14:paraId="2CE2AA02">
            <w:pPr>
              <w:widowControl w:val="0"/>
              <w:jc w:val="both"/>
              <w:rPr>
                <w:rFonts w:hint="eastAsia" w:ascii="楷体" w:hAnsi="楷体" w:eastAsia="楷体" w:cs="楷体"/>
                <w:color w:val="auto"/>
                <w:sz w:val="24"/>
                <w:szCs w:val="24"/>
                <w:lang w:val="en-US" w:eastAsia="zh-CN" w:bidi="ar-SA"/>
              </w:rPr>
            </w:pPr>
          </w:p>
        </w:tc>
        <w:tc>
          <w:tcPr>
            <w:tcW w:w="2675" w:type="dxa"/>
            <w:noWrap w:val="0"/>
            <w:vAlign w:val="top"/>
          </w:tcPr>
          <w:p w14:paraId="442B5E2B">
            <w:pPr>
              <w:widowControl w:val="0"/>
              <w:jc w:val="both"/>
              <w:rPr>
                <w:rFonts w:hint="eastAsia" w:ascii="楷体" w:hAnsi="楷体" w:eastAsia="楷体" w:cs="楷体"/>
                <w:color w:val="auto"/>
                <w:sz w:val="24"/>
                <w:szCs w:val="24"/>
                <w:lang w:val="en-US" w:eastAsia="zh-CN" w:bidi="ar-SA"/>
              </w:rPr>
            </w:pPr>
          </w:p>
        </w:tc>
      </w:tr>
      <w:tr w14:paraId="4F27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130" w:type="dxa"/>
            <w:noWrap w:val="0"/>
            <w:vAlign w:val="top"/>
          </w:tcPr>
          <w:p w14:paraId="1E489FEE">
            <w:pPr>
              <w:widowControl w:val="0"/>
              <w:jc w:val="both"/>
              <w:rPr>
                <w:rFonts w:hint="eastAsia" w:ascii="楷体" w:hAnsi="楷体" w:eastAsia="楷体" w:cs="楷体"/>
                <w:color w:val="auto"/>
                <w:sz w:val="24"/>
                <w:szCs w:val="24"/>
                <w:lang w:val="en-US" w:eastAsia="zh-CN" w:bidi="ar-SA"/>
              </w:rPr>
            </w:pPr>
          </w:p>
        </w:tc>
        <w:tc>
          <w:tcPr>
            <w:tcW w:w="3663" w:type="dxa"/>
            <w:noWrap w:val="0"/>
            <w:vAlign w:val="top"/>
          </w:tcPr>
          <w:p w14:paraId="381EAB7F">
            <w:pPr>
              <w:widowControl w:val="0"/>
              <w:jc w:val="both"/>
              <w:rPr>
                <w:rFonts w:hint="eastAsia" w:ascii="楷体" w:hAnsi="楷体" w:eastAsia="楷体" w:cs="楷体"/>
                <w:color w:val="auto"/>
                <w:sz w:val="24"/>
                <w:szCs w:val="24"/>
                <w:lang w:val="en-US" w:eastAsia="zh-CN" w:bidi="ar-SA"/>
              </w:rPr>
            </w:pPr>
          </w:p>
        </w:tc>
        <w:tc>
          <w:tcPr>
            <w:tcW w:w="1060" w:type="dxa"/>
            <w:noWrap w:val="0"/>
            <w:vAlign w:val="top"/>
          </w:tcPr>
          <w:p w14:paraId="7D001589">
            <w:pPr>
              <w:widowControl w:val="0"/>
              <w:jc w:val="both"/>
              <w:rPr>
                <w:rFonts w:hint="eastAsia" w:ascii="楷体" w:hAnsi="楷体" w:eastAsia="楷体" w:cs="楷体"/>
                <w:color w:val="auto"/>
                <w:sz w:val="24"/>
                <w:szCs w:val="24"/>
                <w:lang w:val="en-US" w:eastAsia="zh-CN" w:bidi="ar-SA"/>
              </w:rPr>
            </w:pPr>
          </w:p>
        </w:tc>
        <w:tc>
          <w:tcPr>
            <w:tcW w:w="2675" w:type="dxa"/>
            <w:noWrap w:val="0"/>
            <w:vAlign w:val="top"/>
          </w:tcPr>
          <w:p w14:paraId="6B88AFB8">
            <w:pPr>
              <w:widowControl w:val="0"/>
              <w:jc w:val="both"/>
              <w:rPr>
                <w:rFonts w:hint="eastAsia" w:ascii="楷体" w:hAnsi="楷体" w:eastAsia="楷体" w:cs="楷体"/>
                <w:color w:val="auto"/>
                <w:sz w:val="24"/>
                <w:szCs w:val="24"/>
                <w:lang w:val="en-US" w:eastAsia="zh-CN" w:bidi="ar-SA"/>
              </w:rPr>
            </w:pPr>
          </w:p>
        </w:tc>
      </w:tr>
      <w:tr w14:paraId="3F32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130" w:type="dxa"/>
            <w:noWrap w:val="0"/>
            <w:vAlign w:val="top"/>
          </w:tcPr>
          <w:p w14:paraId="34CD44B6">
            <w:pPr>
              <w:widowControl w:val="0"/>
              <w:jc w:val="both"/>
              <w:rPr>
                <w:rFonts w:hint="eastAsia" w:ascii="楷体" w:hAnsi="楷体" w:eastAsia="楷体" w:cs="楷体"/>
                <w:color w:val="auto"/>
                <w:sz w:val="24"/>
                <w:szCs w:val="24"/>
                <w:lang w:val="en-US" w:eastAsia="zh-CN" w:bidi="ar-SA"/>
              </w:rPr>
            </w:pPr>
          </w:p>
        </w:tc>
        <w:tc>
          <w:tcPr>
            <w:tcW w:w="3663" w:type="dxa"/>
            <w:noWrap w:val="0"/>
            <w:vAlign w:val="top"/>
          </w:tcPr>
          <w:p w14:paraId="2FD22459">
            <w:pPr>
              <w:widowControl w:val="0"/>
              <w:jc w:val="both"/>
              <w:rPr>
                <w:rFonts w:hint="eastAsia" w:ascii="楷体" w:hAnsi="楷体" w:eastAsia="楷体" w:cs="楷体"/>
                <w:color w:val="auto"/>
                <w:sz w:val="24"/>
                <w:szCs w:val="24"/>
                <w:lang w:val="en-US" w:eastAsia="zh-CN" w:bidi="ar-SA"/>
              </w:rPr>
            </w:pPr>
          </w:p>
        </w:tc>
        <w:tc>
          <w:tcPr>
            <w:tcW w:w="1060" w:type="dxa"/>
            <w:noWrap w:val="0"/>
            <w:vAlign w:val="top"/>
          </w:tcPr>
          <w:p w14:paraId="0CF149AE">
            <w:pPr>
              <w:widowControl w:val="0"/>
              <w:jc w:val="both"/>
              <w:rPr>
                <w:rFonts w:hint="eastAsia" w:ascii="楷体" w:hAnsi="楷体" w:eastAsia="楷体" w:cs="楷体"/>
                <w:color w:val="auto"/>
                <w:sz w:val="24"/>
                <w:szCs w:val="24"/>
                <w:lang w:val="en-US" w:eastAsia="zh-CN" w:bidi="ar-SA"/>
              </w:rPr>
            </w:pPr>
          </w:p>
        </w:tc>
        <w:tc>
          <w:tcPr>
            <w:tcW w:w="2675" w:type="dxa"/>
            <w:noWrap w:val="0"/>
            <w:vAlign w:val="top"/>
          </w:tcPr>
          <w:p w14:paraId="5D24FC3B">
            <w:pPr>
              <w:widowControl w:val="0"/>
              <w:jc w:val="both"/>
              <w:rPr>
                <w:rFonts w:hint="eastAsia" w:ascii="楷体" w:hAnsi="楷体" w:eastAsia="楷体" w:cs="楷体"/>
                <w:color w:val="auto"/>
                <w:sz w:val="24"/>
                <w:szCs w:val="24"/>
                <w:lang w:val="en-US" w:eastAsia="zh-CN" w:bidi="ar-SA"/>
              </w:rPr>
            </w:pPr>
          </w:p>
        </w:tc>
      </w:tr>
      <w:tr w14:paraId="039D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130" w:type="dxa"/>
            <w:noWrap w:val="0"/>
            <w:vAlign w:val="top"/>
          </w:tcPr>
          <w:p w14:paraId="14037EFB">
            <w:pPr>
              <w:widowControl w:val="0"/>
              <w:jc w:val="both"/>
              <w:rPr>
                <w:rFonts w:hint="eastAsia" w:ascii="楷体" w:hAnsi="楷体" w:eastAsia="楷体" w:cs="楷体"/>
                <w:color w:val="auto"/>
                <w:sz w:val="24"/>
                <w:szCs w:val="24"/>
                <w:lang w:val="en-US" w:eastAsia="zh-CN" w:bidi="ar-SA"/>
              </w:rPr>
            </w:pPr>
          </w:p>
        </w:tc>
        <w:tc>
          <w:tcPr>
            <w:tcW w:w="3663" w:type="dxa"/>
            <w:noWrap w:val="0"/>
            <w:vAlign w:val="top"/>
          </w:tcPr>
          <w:p w14:paraId="361A056D">
            <w:pPr>
              <w:widowControl w:val="0"/>
              <w:jc w:val="both"/>
              <w:rPr>
                <w:rFonts w:hint="eastAsia" w:ascii="楷体" w:hAnsi="楷体" w:eastAsia="楷体" w:cs="楷体"/>
                <w:color w:val="auto"/>
                <w:sz w:val="24"/>
                <w:szCs w:val="24"/>
                <w:lang w:val="en-US" w:eastAsia="zh-CN" w:bidi="ar-SA"/>
              </w:rPr>
            </w:pPr>
          </w:p>
        </w:tc>
        <w:tc>
          <w:tcPr>
            <w:tcW w:w="1060" w:type="dxa"/>
            <w:noWrap w:val="0"/>
            <w:vAlign w:val="top"/>
          </w:tcPr>
          <w:p w14:paraId="6EDC5EDA">
            <w:pPr>
              <w:widowControl w:val="0"/>
              <w:jc w:val="both"/>
              <w:rPr>
                <w:rFonts w:hint="eastAsia" w:ascii="楷体" w:hAnsi="楷体" w:eastAsia="楷体" w:cs="楷体"/>
                <w:color w:val="auto"/>
                <w:sz w:val="24"/>
                <w:szCs w:val="24"/>
                <w:lang w:val="en-US" w:eastAsia="zh-CN" w:bidi="ar-SA"/>
              </w:rPr>
            </w:pPr>
          </w:p>
        </w:tc>
        <w:tc>
          <w:tcPr>
            <w:tcW w:w="2675" w:type="dxa"/>
            <w:noWrap w:val="0"/>
            <w:vAlign w:val="top"/>
          </w:tcPr>
          <w:p w14:paraId="56E35B11">
            <w:pPr>
              <w:widowControl w:val="0"/>
              <w:jc w:val="both"/>
              <w:rPr>
                <w:rFonts w:hint="eastAsia" w:ascii="楷体" w:hAnsi="楷体" w:eastAsia="楷体" w:cs="楷体"/>
                <w:color w:val="auto"/>
                <w:sz w:val="24"/>
                <w:szCs w:val="24"/>
                <w:lang w:val="en-US" w:eastAsia="zh-CN" w:bidi="ar-SA"/>
              </w:rPr>
            </w:pPr>
          </w:p>
        </w:tc>
      </w:tr>
      <w:tr w14:paraId="16F1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8528" w:type="dxa"/>
            <w:gridSpan w:val="4"/>
            <w:noWrap w:val="0"/>
            <w:vAlign w:val="top"/>
          </w:tcPr>
          <w:p w14:paraId="6A5EB871">
            <w:pPr>
              <w:pStyle w:val="302"/>
              <w:widowControl w:val="0"/>
              <w:spacing w:before="193" w:after="80" w:line="247" w:lineRule="auto"/>
              <w:ind w:left="117" w:right="192" w:firstLine="420"/>
              <w:jc w:val="left"/>
              <w:rPr>
                <w:rFonts w:hint="eastAsia" w:ascii="楷体" w:hAnsi="楷体" w:eastAsia="楷体" w:cs="楷体"/>
                <w:color w:val="auto"/>
                <w:sz w:val="24"/>
                <w:szCs w:val="24"/>
                <w:lang w:val="en-US" w:eastAsia="zh-CN" w:bidi="ar-SA"/>
              </w:rPr>
            </w:pPr>
            <w:r>
              <w:rPr>
                <w:rFonts w:hint="eastAsia" w:ascii="楷体" w:hAnsi="楷体" w:eastAsia="楷体" w:cs="楷体"/>
                <w:color w:val="auto"/>
                <w:spacing w:val="-2"/>
                <w:sz w:val="24"/>
                <w:szCs w:val="24"/>
                <w:lang w:val="en-US" w:eastAsia="zh-CN" w:bidi="ar-SA"/>
              </w:rPr>
              <w:t>供应商保证：除本项目需求偏离表列出的偏离外，我单位对磋商文件的其他项目需求条款完全响应，无偏离。</w:t>
            </w:r>
          </w:p>
        </w:tc>
      </w:tr>
    </w:tbl>
    <w:p w14:paraId="25AF4144">
      <w:pPr>
        <w:spacing w:before="80" w:line="220" w:lineRule="auto"/>
        <w:ind w:left="34"/>
        <w:rPr>
          <w:rFonts w:hint="eastAsia" w:ascii="楷体" w:hAnsi="楷体" w:eastAsia="楷体" w:cs="楷体"/>
          <w:color w:val="auto"/>
          <w:sz w:val="24"/>
          <w:szCs w:val="24"/>
        </w:rPr>
      </w:pPr>
      <w:r>
        <w:rPr>
          <w:rFonts w:hint="eastAsia" w:ascii="楷体" w:hAnsi="楷体" w:eastAsia="楷体" w:cs="楷体"/>
          <w:color w:val="auto"/>
          <w:sz w:val="24"/>
          <w:szCs w:val="24"/>
        </w:rPr>
        <w:t>备注</w:t>
      </w:r>
      <w:r>
        <w:rPr>
          <w:rFonts w:hint="eastAsia" w:ascii="楷体" w:hAnsi="楷体" w:eastAsia="楷体" w:cs="楷体"/>
          <w:color w:val="auto"/>
          <w:spacing w:val="-52"/>
          <w:sz w:val="24"/>
          <w:szCs w:val="24"/>
        </w:rPr>
        <w:t>：</w:t>
      </w:r>
      <w:r>
        <w:rPr>
          <w:rFonts w:hint="eastAsia" w:ascii="楷体" w:hAnsi="楷体" w:eastAsia="楷体" w:cs="楷体"/>
          <w:color w:val="auto"/>
          <w:spacing w:val="2"/>
          <w:sz w:val="24"/>
          <w:szCs w:val="24"/>
          <w:lang w:eastAsia="zh-CN"/>
        </w:rPr>
        <w:t>（</w:t>
      </w:r>
      <w:r>
        <w:rPr>
          <w:rFonts w:hint="eastAsia" w:ascii="楷体" w:hAnsi="楷体" w:eastAsia="楷体" w:cs="楷体"/>
          <w:color w:val="auto"/>
          <w:spacing w:val="2"/>
          <w:sz w:val="24"/>
          <w:szCs w:val="24"/>
          <w:lang w:val="en-US" w:eastAsia="zh-CN"/>
        </w:rPr>
        <w:t>1</w:t>
      </w:r>
      <w:r>
        <w:rPr>
          <w:rFonts w:hint="eastAsia" w:ascii="楷体" w:hAnsi="楷体" w:eastAsia="楷体" w:cs="楷体"/>
          <w:color w:val="auto"/>
          <w:spacing w:val="2"/>
          <w:sz w:val="24"/>
          <w:szCs w:val="24"/>
          <w:lang w:eastAsia="zh-CN"/>
        </w:rPr>
        <w:t>）</w:t>
      </w:r>
      <w:r>
        <w:rPr>
          <w:rFonts w:hint="eastAsia" w:ascii="楷体" w:hAnsi="楷体" w:eastAsia="楷体" w:cs="楷体"/>
          <w:color w:val="auto"/>
          <w:spacing w:val="2"/>
          <w:sz w:val="24"/>
          <w:szCs w:val="24"/>
        </w:rPr>
        <w:t>供应商</w:t>
      </w:r>
      <w:r>
        <w:rPr>
          <w:rFonts w:hint="eastAsia" w:ascii="楷体" w:hAnsi="楷体" w:eastAsia="楷体" w:cs="楷体"/>
          <w:color w:val="auto"/>
          <w:sz w:val="24"/>
          <w:szCs w:val="24"/>
        </w:rPr>
        <w:t>应根据</w:t>
      </w:r>
      <w:r>
        <w:rPr>
          <w:rFonts w:hint="eastAsia" w:ascii="楷体" w:hAnsi="楷体" w:eastAsia="楷体" w:cs="楷体"/>
          <w:color w:val="auto"/>
          <w:sz w:val="24"/>
          <w:szCs w:val="24"/>
          <w:lang w:val="en-US" w:eastAsia="zh-CN"/>
        </w:rPr>
        <w:t>磋商文件第四部分</w:t>
      </w:r>
      <w:r>
        <w:rPr>
          <w:rFonts w:hint="eastAsia" w:ascii="楷体" w:hAnsi="楷体" w:eastAsia="楷体" w:cs="楷体"/>
          <w:color w:val="auto"/>
          <w:sz w:val="24"/>
          <w:szCs w:val="24"/>
        </w:rPr>
        <w:t>“项目需求”填写本表；</w:t>
      </w:r>
    </w:p>
    <w:p w14:paraId="11686368">
      <w:pPr>
        <w:spacing w:before="68" w:line="360" w:lineRule="auto"/>
        <w:ind w:left="35" w:firstLine="634"/>
        <w:jc w:val="both"/>
        <w:rPr>
          <w:rFonts w:hint="eastAsia" w:ascii="楷体" w:hAnsi="楷体" w:eastAsia="楷体" w:cs="楷体"/>
          <w:color w:val="auto"/>
          <w:sz w:val="24"/>
          <w:szCs w:val="24"/>
        </w:rPr>
      </w:pPr>
      <w:r>
        <w:rPr>
          <w:rFonts w:hint="eastAsia" w:ascii="楷体" w:hAnsi="楷体" w:eastAsia="楷体" w:cs="楷体"/>
          <w:color w:val="auto"/>
          <w:spacing w:val="2"/>
          <w:sz w:val="24"/>
          <w:szCs w:val="24"/>
          <w:lang w:eastAsia="zh-CN"/>
        </w:rPr>
        <w:t>（</w:t>
      </w:r>
      <w:r>
        <w:rPr>
          <w:rFonts w:hint="eastAsia" w:ascii="楷体" w:hAnsi="楷体" w:eastAsia="楷体" w:cs="楷体"/>
          <w:color w:val="auto"/>
          <w:spacing w:val="2"/>
          <w:sz w:val="24"/>
          <w:szCs w:val="24"/>
          <w:lang w:val="en-US" w:eastAsia="zh-CN"/>
        </w:rPr>
        <w:t>2</w:t>
      </w:r>
      <w:r>
        <w:rPr>
          <w:rFonts w:hint="eastAsia" w:ascii="楷体" w:hAnsi="楷体" w:eastAsia="楷体" w:cs="楷体"/>
          <w:color w:val="auto"/>
          <w:spacing w:val="2"/>
          <w:sz w:val="24"/>
          <w:szCs w:val="24"/>
          <w:lang w:eastAsia="zh-CN"/>
        </w:rPr>
        <w:t>）</w:t>
      </w:r>
      <w:r>
        <w:rPr>
          <w:rFonts w:hint="eastAsia" w:ascii="楷体" w:hAnsi="楷体" w:eastAsia="楷体" w:cs="楷体"/>
          <w:color w:val="auto"/>
          <w:spacing w:val="2"/>
          <w:sz w:val="24"/>
          <w:szCs w:val="24"/>
        </w:rPr>
        <w:t>供应商如果对</w:t>
      </w:r>
      <w:r>
        <w:rPr>
          <w:rFonts w:hint="eastAsia" w:ascii="楷体" w:hAnsi="楷体" w:eastAsia="楷体" w:cs="楷体"/>
          <w:color w:val="auto"/>
          <w:sz w:val="24"/>
          <w:szCs w:val="24"/>
          <w:lang w:val="en-US" w:eastAsia="zh-CN"/>
        </w:rPr>
        <w:t>磋商文件第四部分</w:t>
      </w:r>
      <w:r>
        <w:rPr>
          <w:rFonts w:hint="eastAsia" w:ascii="楷体" w:hAnsi="楷体" w:eastAsia="楷体" w:cs="楷体"/>
          <w:color w:val="auto"/>
          <w:spacing w:val="2"/>
          <w:sz w:val="24"/>
          <w:szCs w:val="24"/>
        </w:rPr>
        <w:t>“项目需求”的响应有偏离，应将偏离条款逐条</w:t>
      </w:r>
      <w:r>
        <w:rPr>
          <w:rFonts w:hint="eastAsia" w:ascii="楷体" w:hAnsi="楷体" w:eastAsia="楷体" w:cs="楷体"/>
          <w:color w:val="auto"/>
          <w:spacing w:val="-6"/>
          <w:sz w:val="24"/>
          <w:szCs w:val="24"/>
        </w:rPr>
        <w:t>如实应答，并作出说明，行次不够请自行增加；如供应商无偏离事项，则在表格中“项目”</w:t>
      </w:r>
      <w:r>
        <w:rPr>
          <w:rFonts w:hint="eastAsia" w:ascii="楷体" w:hAnsi="楷体" w:eastAsia="楷体" w:cs="楷体"/>
          <w:color w:val="auto"/>
          <w:sz w:val="24"/>
          <w:szCs w:val="24"/>
        </w:rPr>
        <w:t>栏填写“无偏离项”即可。</w:t>
      </w:r>
    </w:p>
    <w:p w14:paraId="5CF6AC1E">
      <w:pPr>
        <w:spacing w:before="68" w:line="269" w:lineRule="auto"/>
        <w:ind w:left="122" w:right="127" w:firstLine="530"/>
        <w:rPr>
          <w:rFonts w:hint="eastAsia" w:ascii="楷体" w:hAnsi="楷体" w:eastAsia="楷体" w:cs="楷体"/>
          <w:color w:val="auto"/>
          <w:sz w:val="24"/>
          <w:szCs w:val="24"/>
        </w:rPr>
      </w:pPr>
      <w:r>
        <w:rPr>
          <w:rFonts w:hint="eastAsia" w:ascii="楷体" w:hAnsi="楷体" w:eastAsia="楷体" w:cs="楷体"/>
          <w:color w:val="auto"/>
          <w:spacing w:val="-2"/>
          <w:sz w:val="24"/>
          <w:szCs w:val="24"/>
        </w:rPr>
        <w:t>（3）如不提供此表，则视为供应商不满足</w:t>
      </w:r>
      <w:r>
        <w:rPr>
          <w:rFonts w:hint="eastAsia" w:ascii="楷体" w:hAnsi="楷体" w:eastAsia="楷体" w:cs="楷体"/>
          <w:color w:val="auto"/>
          <w:sz w:val="24"/>
          <w:szCs w:val="24"/>
          <w:lang w:val="en-US" w:eastAsia="zh-CN"/>
        </w:rPr>
        <w:t>磋商文件第四部分</w:t>
      </w:r>
      <w:r>
        <w:rPr>
          <w:rFonts w:hint="eastAsia" w:ascii="楷体" w:hAnsi="楷体" w:eastAsia="楷体" w:cs="楷体"/>
          <w:color w:val="auto"/>
          <w:spacing w:val="-2"/>
          <w:sz w:val="24"/>
          <w:szCs w:val="24"/>
        </w:rPr>
        <w:t>的所有条款要求，其响应</w:t>
      </w:r>
      <w:r>
        <w:rPr>
          <w:rFonts w:hint="eastAsia" w:ascii="楷体" w:hAnsi="楷体" w:eastAsia="楷体" w:cs="楷体"/>
          <w:color w:val="auto"/>
          <w:spacing w:val="-9"/>
          <w:sz w:val="24"/>
          <w:szCs w:val="24"/>
        </w:rPr>
        <w:t>无效。</w:t>
      </w:r>
    </w:p>
    <w:p w14:paraId="77D42B48">
      <w:pPr>
        <w:pStyle w:val="303"/>
        <w:spacing w:line="274" w:lineRule="auto"/>
        <w:rPr>
          <w:rFonts w:hint="eastAsia" w:ascii="楷体" w:hAnsi="楷体" w:eastAsia="楷体" w:cs="楷体"/>
          <w:color w:val="auto"/>
          <w:sz w:val="24"/>
          <w:szCs w:val="24"/>
        </w:rPr>
      </w:pPr>
    </w:p>
    <w:p w14:paraId="436502E6">
      <w:pPr>
        <w:spacing w:before="79" w:line="219" w:lineRule="auto"/>
        <w:ind w:left="122"/>
        <w:rPr>
          <w:rFonts w:hint="eastAsia" w:ascii="楷体" w:hAnsi="楷体" w:eastAsia="楷体" w:cs="楷体"/>
          <w:color w:val="auto"/>
          <w:spacing w:val="-13"/>
          <w:sz w:val="24"/>
          <w:szCs w:val="24"/>
        </w:rPr>
      </w:pPr>
    </w:p>
    <w:p w14:paraId="2541A5E5">
      <w:pPr>
        <w:spacing w:before="79" w:line="219" w:lineRule="auto"/>
        <w:ind w:left="122"/>
        <w:rPr>
          <w:rFonts w:hint="eastAsia" w:ascii="楷体" w:hAnsi="楷体" w:eastAsia="楷体" w:cs="楷体"/>
          <w:color w:val="auto"/>
          <w:spacing w:val="-2"/>
          <w:sz w:val="24"/>
          <w:szCs w:val="24"/>
        </w:rPr>
      </w:pPr>
      <w:r>
        <w:rPr>
          <w:rFonts w:hint="eastAsia" w:ascii="楷体" w:hAnsi="楷体" w:eastAsia="楷体" w:cs="楷体"/>
          <w:color w:val="auto"/>
          <w:spacing w:val="-13"/>
          <w:sz w:val="24"/>
          <w:szCs w:val="24"/>
        </w:rPr>
        <w:t>供应商名称（盖单位公章</w:t>
      </w:r>
      <w:r>
        <w:rPr>
          <w:rFonts w:hint="eastAsia" w:ascii="楷体" w:hAnsi="楷体" w:eastAsia="楷体" w:cs="楷体"/>
          <w:color w:val="auto"/>
          <w:spacing w:val="-2"/>
          <w:sz w:val="24"/>
          <w:szCs w:val="24"/>
        </w:rPr>
        <w:t>）：</w:t>
      </w:r>
    </w:p>
    <w:p w14:paraId="458A17B9">
      <w:pPr>
        <w:rPr>
          <w:rFonts w:hint="eastAsia" w:ascii="楷体" w:hAnsi="楷体" w:eastAsia="楷体" w:cs="楷体"/>
          <w:color w:val="auto"/>
          <w:spacing w:val="-2"/>
          <w:sz w:val="24"/>
          <w:szCs w:val="24"/>
        </w:rPr>
      </w:pPr>
      <w:r>
        <w:rPr>
          <w:rFonts w:hint="eastAsia" w:ascii="楷体" w:hAnsi="楷体" w:eastAsia="楷体" w:cs="楷体"/>
          <w:color w:val="auto"/>
          <w:spacing w:val="-2"/>
          <w:sz w:val="24"/>
          <w:szCs w:val="24"/>
        </w:rPr>
        <w:br w:type="page"/>
      </w:r>
    </w:p>
    <w:p w14:paraId="231E161C">
      <w:pPr>
        <w:pStyle w:val="282"/>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outlineLvl w:val="2"/>
        <w:rPr>
          <w:rFonts w:hint="default" w:ascii="楷体" w:hAnsi="楷体" w:eastAsia="楷体" w:cs="楷体"/>
          <w:color w:val="auto"/>
          <w:sz w:val="28"/>
          <w:lang w:val="en-US" w:eastAsia="zh-CN"/>
        </w:rPr>
      </w:pPr>
      <w:bookmarkStart w:id="278" w:name="_Toc12232"/>
      <w:r>
        <w:rPr>
          <w:rFonts w:hint="eastAsia" w:ascii="楷体" w:hAnsi="楷体" w:eastAsia="楷体" w:cs="楷体"/>
          <w:color w:val="auto"/>
          <w:sz w:val="28"/>
          <w:lang w:eastAsia="zh-CN"/>
        </w:rPr>
        <w:t>（</w:t>
      </w:r>
      <w:r>
        <w:rPr>
          <w:rFonts w:hint="eastAsia" w:ascii="楷体" w:hAnsi="楷体" w:eastAsia="楷体" w:cs="楷体"/>
          <w:color w:val="auto"/>
          <w:sz w:val="28"/>
          <w:lang w:val="en-US" w:eastAsia="zh-CN"/>
        </w:rPr>
        <w:t>二</w:t>
      </w:r>
      <w:r>
        <w:rPr>
          <w:rFonts w:hint="eastAsia" w:ascii="楷体" w:hAnsi="楷体" w:eastAsia="楷体" w:cs="楷体"/>
          <w:color w:val="auto"/>
          <w:sz w:val="28"/>
          <w:lang w:eastAsia="zh-CN"/>
        </w:rPr>
        <w:t>）</w:t>
      </w:r>
      <w:r>
        <w:rPr>
          <w:rFonts w:hint="eastAsia" w:ascii="楷体" w:hAnsi="楷体" w:eastAsia="楷体" w:cs="楷体"/>
          <w:color w:val="auto"/>
          <w:sz w:val="28"/>
          <w:lang w:val="en-US" w:eastAsia="zh-CN"/>
        </w:rPr>
        <w:t>技术服务方案</w:t>
      </w:r>
      <w:bookmarkEnd w:id="278"/>
    </w:p>
    <w:p w14:paraId="45834149">
      <w:pPr>
        <w:pStyle w:val="289"/>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楷体" w:hAnsi="楷体" w:eastAsia="楷体" w:cs="楷体"/>
          <w:color w:val="auto"/>
          <w:lang w:val="en-US" w:eastAsia="zh-CN"/>
        </w:rPr>
      </w:pPr>
      <w:r>
        <w:rPr>
          <w:rFonts w:hint="eastAsia" w:ascii="楷体" w:hAnsi="楷体" w:eastAsia="楷体" w:cs="楷体"/>
          <w:color w:val="auto"/>
          <w:lang w:val="en-US" w:eastAsia="zh-CN"/>
        </w:rPr>
        <w:t>供应商根据采购文件要求提供技术服务方案，包含且不限于以下内容：</w:t>
      </w:r>
    </w:p>
    <w:p w14:paraId="39786B30">
      <w:pPr>
        <w:pStyle w:val="289"/>
        <w:keepNext w:val="0"/>
        <w:keepLines w:val="0"/>
        <w:pageBreakBefore w:val="0"/>
        <w:widowControl/>
        <w:numPr>
          <w:ilvl w:val="0"/>
          <w:numId w:val="16"/>
        </w:numPr>
        <w:kinsoku/>
        <w:wordWrap/>
        <w:overflowPunct/>
        <w:topLinePunct w:val="0"/>
        <w:autoSpaceDE/>
        <w:autoSpaceDN/>
        <w:bidi w:val="0"/>
        <w:adjustRightInd/>
        <w:snapToGrid/>
        <w:ind w:left="1265" w:leftChars="0" w:hanging="425" w:firstLineChars="0"/>
        <w:jc w:val="both"/>
        <w:textAlignment w:val="auto"/>
        <w:outlineLvl w:val="9"/>
        <w:rPr>
          <w:rFonts w:hint="eastAsia" w:ascii="楷体" w:hAnsi="楷体" w:eastAsia="楷体" w:cs="楷体"/>
          <w:color w:val="auto"/>
          <w:lang w:val="en-US" w:eastAsia="zh-CN"/>
        </w:rPr>
      </w:pPr>
      <w:r>
        <w:rPr>
          <w:rFonts w:hint="eastAsia" w:ascii="楷体" w:hAnsi="楷体" w:eastAsia="楷体" w:cs="楷体"/>
          <w:color w:val="auto"/>
          <w:lang w:val="en-US" w:eastAsia="zh-CN"/>
        </w:rPr>
        <w:t>施工总进度计划</w:t>
      </w:r>
    </w:p>
    <w:p w14:paraId="631CA0F0">
      <w:pPr>
        <w:pStyle w:val="289"/>
        <w:keepNext w:val="0"/>
        <w:keepLines w:val="0"/>
        <w:pageBreakBefore w:val="0"/>
        <w:widowControl/>
        <w:numPr>
          <w:ilvl w:val="0"/>
          <w:numId w:val="16"/>
        </w:numPr>
        <w:kinsoku/>
        <w:wordWrap/>
        <w:overflowPunct/>
        <w:topLinePunct w:val="0"/>
        <w:autoSpaceDE/>
        <w:autoSpaceDN/>
        <w:bidi w:val="0"/>
        <w:adjustRightInd/>
        <w:snapToGrid/>
        <w:ind w:left="1265" w:leftChars="0" w:hanging="425" w:firstLineChars="0"/>
        <w:jc w:val="both"/>
        <w:textAlignment w:val="auto"/>
        <w:outlineLvl w:val="9"/>
        <w:rPr>
          <w:rFonts w:hint="eastAsia" w:ascii="楷体" w:hAnsi="楷体" w:eastAsia="楷体" w:cs="楷体"/>
          <w:color w:val="auto"/>
          <w:lang w:val="en-US" w:eastAsia="zh-CN"/>
        </w:rPr>
      </w:pPr>
      <w:r>
        <w:rPr>
          <w:rFonts w:hint="eastAsia" w:ascii="楷体" w:hAnsi="楷体" w:eastAsia="楷体" w:cs="楷体"/>
          <w:color w:val="auto"/>
          <w:lang w:val="en-US" w:eastAsia="zh-CN"/>
        </w:rPr>
        <w:t>分部分项工程的施工方案</w:t>
      </w:r>
    </w:p>
    <w:p w14:paraId="30D3F71A">
      <w:pPr>
        <w:pStyle w:val="289"/>
        <w:keepNext w:val="0"/>
        <w:keepLines w:val="0"/>
        <w:pageBreakBefore w:val="0"/>
        <w:widowControl/>
        <w:numPr>
          <w:ilvl w:val="0"/>
          <w:numId w:val="16"/>
        </w:numPr>
        <w:kinsoku/>
        <w:wordWrap/>
        <w:overflowPunct/>
        <w:topLinePunct w:val="0"/>
        <w:autoSpaceDE/>
        <w:autoSpaceDN/>
        <w:bidi w:val="0"/>
        <w:adjustRightInd/>
        <w:snapToGrid/>
        <w:ind w:left="1265" w:leftChars="0" w:hanging="425" w:firstLineChars="0"/>
        <w:jc w:val="both"/>
        <w:textAlignment w:val="auto"/>
        <w:outlineLvl w:val="9"/>
        <w:rPr>
          <w:rFonts w:hint="eastAsia" w:ascii="楷体" w:hAnsi="楷体" w:eastAsia="楷体" w:cs="楷体"/>
          <w:color w:val="auto"/>
          <w:lang w:val="en-US" w:eastAsia="zh-CN"/>
        </w:rPr>
      </w:pPr>
      <w:r>
        <w:rPr>
          <w:rFonts w:hint="eastAsia" w:ascii="楷体" w:hAnsi="楷体" w:eastAsia="楷体" w:cs="楷体"/>
          <w:color w:val="auto"/>
          <w:lang w:val="en-US" w:eastAsia="zh-CN"/>
        </w:rPr>
        <w:t>安全文明施工措施</w:t>
      </w:r>
    </w:p>
    <w:p w14:paraId="4B77FDDA">
      <w:pPr>
        <w:pStyle w:val="289"/>
        <w:keepNext w:val="0"/>
        <w:keepLines w:val="0"/>
        <w:pageBreakBefore w:val="0"/>
        <w:widowControl/>
        <w:numPr>
          <w:ilvl w:val="0"/>
          <w:numId w:val="16"/>
        </w:numPr>
        <w:kinsoku/>
        <w:wordWrap/>
        <w:overflowPunct/>
        <w:topLinePunct w:val="0"/>
        <w:autoSpaceDE/>
        <w:autoSpaceDN/>
        <w:bidi w:val="0"/>
        <w:adjustRightInd/>
        <w:snapToGrid/>
        <w:ind w:left="1265" w:leftChars="0" w:hanging="425" w:firstLineChars="0"/>
        <w:jc w:val="both"/>
        <w:textAlignment w:val="auto"/>
        <w:outlineLvl w:val="9"/>
        <w:rPr>
          <w:rFonts w:hint="eastAsia" w:ascii="楷体" w:hAnsi="楷体" w:eastAsia="楷体" w:cs="楷体"/>
          <w:color w:val="auto"/>
          <w:lang w:val="en-US" w:eastAsia="zh-CN"/>
        </w:rPr>
      </w:pPr>
      <w:r>
        <w:rPr>
          <w:rFonts w:hint="eastAsia" w:ascii="楷体" w:hAnsi="楷体" w:eastAsia="楷体" w:cs="楷体"/>
          <w:color w:val="auto"/>
          <w:lang w:val="en-US" w:eastAsia="zh-CN"/>
        </w:rPr>
        <w:t>应急措施方案</w:t>
      </w:r>
    </w:p>
    <w:p w14:paraId="66DDE243">
      <w:pPr>
        <w:pStyle w:val="289"/>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 w:hAnsi="楷体" w:eastAsia="楷体" w:cs="楷体"/>
          <w:color w:val="auto"/>
          <w:sz w:val="28"/>
          <w:lang w:eastAsia="zh-CN"/>
        </w:rPr>
      </w:pPr>
      <w:r>
        <w:rPr>
          <w:rFonts w:hint="eastAsia" w:ascii="楷体" w:hAnsi="楷体" w:eastAsia="楷体" w:cs="楷体"/>
          <w:color w:val="auto"/>
        </w:rPr>
        <w:br w:type="page" w:clear="all"/>
      </w:r>
      <w:bookmarkStart w:id="279" w:name="_Toc256000080"/>
    </w:p>
    <w:p w14:paraId="3CC11394">
      <w:pPr>
        <w:pStyle w:val="289"/>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 w:hAnsi="楷体" w:eastAsia="楷体" w:cs="楷体"/>
          <w:color w:val="auto"/>
          <w:sz w:val="28"/>
          <w:lang w:eastAsia="zh-CN"/>
        </w:rPr>
      </w:pPr>
    </w:p>
    <w:p w14:paraId="7BEFDA79">
      <w:pPr>
        <w:pStyle w:val="287"/>
        <w:numPr>
          <w:ilvl w:val="0"/>
          <w:numId w:val="0"/>
        </w:numPr>
        <w:jc w:val="center"/>
        <w:outlineLvl w:val="1"/>
        <w:rPr>
          <w:rFonts w:hint="eastAsia" w:ascii="楷体" w:hAnsi="楷体" w:eastAsia="楷体" w:cs="楷体"/>
          <w:b/>
          <w:bCs/>
          <w:color w:val="auto"/>
          <w:sz w:val="32"/>
          <w:szCs w:val="28"/>
          <w:lang w:val="en-US" w:eastAsia="zh-CN"/>
        </w:rPr>
      </w:pPr>
      <w:bookmarkStart w:id="280" w:name="_Toc29034"/>
      <w:bookmarkStart w:id="281" w:name="_Toc20146"/>
      <w:r>
        <w:rPr>
          <w:rFonts w:hint="eastAsia" w:ascii="楷体" w:hAnsi="楷体" w:eastAsia="楷体" w:cs="楷体"/>
          <w:b/>
          <w:bCs/>
          <w:color w:val="auto"/>
          <w:sz w:val="32"/>
          <w:szCs w:val="28"/>
          <w:lang w:val="en-US" w:eastAsia="zh-CN"/>
        </w:rPr>
        <w:t>五、其他部分</w:t>
      </w:r>
      <w:bookmarkEnd w:id="280"/>
      <w:bookmarkEnd w:id="281"/>
    </w:p>
    <w:p w14:paraId="24703BDB">
      <w:pPr>
        <w:pStyle w:val="287"/>
        <w:numPr>
          <w:ilvl w:val="0"/>
          <w:numId w:val="0"/>
        </w:numPr>
        <w:jc w:val="both"/>
        <w:outlineLvl w:val="9"/>
        <w:rPr>
          <w:rFonts w:hint="eastAsia" w:ascii="楷体" w:hAnsi="楷体" w:eastAsia="楷体" w:cs="楷体"/>
          <w:b/>
          <w:bCs/>
          <w:color w:val="auto"/>
          <w:sz w:val="32"/>
          <w:szCs w:val="28"/>
          <w:lang w:val="en-US" w:eastAsia="zh-CN"/>
        </w:rPr>
      </w:pPr>
    </w:p>
    <w:p w14:paraId="19C07BDD">
      <w:pPr>
        <w:pStyle w:val="289"/>
        <w:jc w:val="center"/>
        <w:outlineLvl w:val="2"/>
        <w:rPr>
          <w:rFonts w:hint="eastAsia" w:ascii="楷体" w:hAnsi="楷体" w:eastAsia="楷体" w:cs="楷体"/>
          <w:color w:val="auto"/>
          <w:sz w:val="28"/>
        </w:rPr>
      </w:pPr>
      <w:bookmarkStart w:id="282" w:name="(一)中小企业声明函"/>
      <w:bookmarkEnd w:id="282"/>
      <w:bookmarkStart w:id="283" w:name="_Toc1136"/>
      <w:bookmarkStart w:id="284" w:name="_Toc1831"/>
      <w:r>
        <w:rPr>
          <w:rFonts w:hint="eastAsia" w:ascii="楷体" w:hAnsi="楷体" w:eastAsia="楷体" w:cs="楷体"/>
          <w:color w:val="auto"/>
          <w:sz w:val="28"/>
        </w:rPr>
        <w:t>(</w:t>
      </w:r>
      <w:r>
        <w:rPr>
          <w:rFonts w:hint="eastAsia" w:ascii="楷体" w:hAnsi="楷体" w:eastAsia="楷体" w:cs="楷体"/>
          <w:color w:val="auto"/>
          <w:sz w:val="28"/>
          <w:lang w:val="en-US" w:eastAsia="zh-CN"/>
        </w:rPr>
        <w:t>一</w:t>
      </w:r>
      <w:r>
        <w:rPr>
          <w:rFonts w:hint="eastAsia" w:ascii="楷体" w:hAnsi="楷体" w:eastAsia="楷体" w:cs="楷体"/>
          <w:color w:val="auto"/>
          <w:sz w:val="28"/>
        </w:rPr>
        <w:t>)按</w:t>
      </w:r>
      <w:r>
        <w:rPr>
          <w:rFonts w:hint="eastAsia" w:ascii="楷体" w:hAnsi="楷体" w:eastAsia="楷体" w:cs="楷体"/>
          <w:color w:val="auto"/>
          <w:sz w:val="28"/>
          <w:lang w:eastAsia="zh-CN"/>
        </w:rPr>
        <w:t>磋商</w:t>
      </w:r>
      <w:r>
        <w:rPr>
          <w:rFonts w:hint="eastAsia" w:ascii="楷体" w:hAnsi="楷体" w:eastAsia="楷体" w:cs="楷体"/>
          <w:color w:val="auto"/>
          <w:sz w:val="28"/>
        </w:rPr>
        <w:t>文件要求供应商所能提供的其他文件</w:t>
      </w:r>
      <w:bookmarkEnd w:id="279"/>
      <w:bookmarkEnd w:id="283"/>
      <w:bookmarkEnd w:id="284"/>
    </w:p>
    <w:p w14:paraId="245BF2D9">
      <w:pPr>
        <w:pStyle w:val="294"/>
        <w:rPr>
          <w:rFonts w:hint="eastAsia" w:ascii="楷体" w:hAnsi="楷体" w:eastAsia="楷体" w:cs="楷体"/>
          <w:color w:val="auto"/>
        </w:rPr>
      </w:pPr>
    </w:p>
    <w:sectPr>
      <w:footerReference r:id="rId6" w:type="first"/>
      <w:headerReference r:id="rId4" w:type="default"/>
      <w:footerReference r:id="rId5" w:type="default"/>
      <w:pgSz w:w="11906" w:h="16838"/>
      <w:pgMar w:top="1440" w:right="1803" w:bottom="1440" w:left="1803" w:header="851" w:footer="992" w:gutter="0"/>
      <w:pgNumType w:fmt="decimal"/>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KaiTi_GB2312">
    <w:altName w:val="楷体"/>
    <w:panose1 w:val="0201060906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B0503020202020204"/>
    <w:charset w:val="00"/>
    <w:family w:val="auto"/>
    <w:pitch w:val="default"/>
    <w:sig w:usb0="00000000" w:usb1="00000000" w:usb2="00000000" w:usb3="00000000" w:csb0="00000000" w:csb1="00000000"/>
  </w:font>
  <w:font w:name="幼圆">
    <w:altName w:val="Yu Gothic UI"/>
    <w:panose1 w:val="020105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610B">
    <w:pPr>
      <w:pStyle w:val="2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2021">
    <w:pPr>
      <w:pStyle w:val="2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2D96F">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82D96F">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50E8">
    <w:pPr>
      <w:pStyle w:val="2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F04E8">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4F04E8">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382A">
    <w:pPr>
      <w:pStyle w:val="21"/>
      <w:tabs>
        <w:tab w:val="center" w:pos="4153"/>
        <w:tab w:val="right" w:pos="8306"/>
        <w:tab w:val="clear" w:pos="7143"/>
        <w:tab w:val="clear" w:pos="1428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501A2"/>
    <w:multiLevelType w:val="singleLevel"/>
    <w:tmpl w:val="863501A2"/>
    <w:lvl w:ilvl="0" w:tentative="0">
      <w:start w:val="1"/>
      <w:numFmt w:val="decimal"/>
      <w:suff w:val="nothing"/>
      <w:lvlText w:val="%1."/>
      <w:lvlJc w:val="left"/>
      <w:pPr>
        <w:ind w:left="1265" w:hanging="425"/>
      </w:pPr>
      <w:rPr>
        <w:rFonts w:hint="default"/>
      </w:rPr>
    </w:lvl>
  </w:abstractNum>
  <w:abstractNum w:abstractNumId="1">
    <w:nsid w:val="86FABF11"/>
    <w:multiLevelType w:val="singleLevel"/>
    <w:tmpl w:val="86FABF11"/>
    <w:lvl w:ilvl="0" w:tentative="0">
      <w:start w:val="2"/>
      <w:numFmt w:val="decimal"/>
      <w:suff w:val="nothing"/>
      <w:lvlText w:val="%1."/>
      <w:lvlJc w:val="left"/>
    </w:lvl>
  </w:abstractNum>
  <w:abstractNum w:abstractNumId="2">
    <w:nsid w:val="AEA89C4D"/>
    <w:multiLevelType w:val="singleLevel"/>
    <w:tmpl w:val="AEA89C4D"/>
    <w:lvl w:ilvl="0" w:tentative="0">
      <w:start w:val="1"/>
      <w:numFmt w:val="chineseCounting"/>
      <w:suff w:val="nothing"/>
      <w:lvlText w:val="%1、"/>
      <w:lvlJc w:val="left"/>
      <w:pPr>
        <w:ind w:left="0" w:firstLine="420"/>
      </w:pPr>
      <w:rPr>
        <w:rFonts w:hint="eastAsia"/>
      </w:rPr>
    </w:lvl>
  </w:abstractNum>
  <w:abstractNum w:abstractNumId="3">
    <w:nsid w:val="B5E306ED"/>
    <w:multiLevelType w:val="multilevel"/>
    <w:tmpl w:val="B5E306ED"/>
    <w:lvl w:ilvl="0" w:tentative="0">
      <w:start w:val="1"/>
      <w:numFmt w:val="upperLetter"/>
      <w:pStyle w:val="232"/>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50B88A8"/>
    <w:multiLevelType w:val="singleLevel"/>
    <w:tmpl w:val="C50B88A8"/>
    <w:lvl w:ilvl="0" w:tentative="0">
      <w:start w:val="1"/>
      <w:numFmt w:val="decimal"/>
      <w:suff w:val="nothing"/>
      <w:lvlText w:val="%1."/>
      <w:lvlJc w:val="left"/>
      <w:pPr>
        <w:ind w:left="425" w:hanging="425"/>
      </w:pPr>
      <w:rPr>
        <w:rFonts w:hint="default"/>
      </w:rPr>
    </w:lvl>
  </w:abstractNum>
  <w:abstractNum w:abstractNumId="5">
    <w:nsid w:val="C76690AC"/>
    <w:multiLevelType w:val="singleLevel"/>
    <w:tmpl w:val="C76690AC"/>
    <w:lvl w:ilvl="0" w:tentative="0">
      <w:start w:val="1"/>
      <w:numFmt w:val="decimal"/>
      <w:suff w:val="nothing"/>
      <w:lvlText w:val="%1."/>
      <w:lvlJc w:val="left"/>
      <w:pPr>
        <w:ind w:left="425" w:hanging="425"/>
      </w:pPr>
      <w:rPr>
        <w:rFonts w:hint="default"/>
      </w:rPr>
    </w:lvl>
  </w:abstractNum>
  <w:abstractNum w:abstractNumId="6">
    <w:nsid w:val="EBBE24F8"/>
    <w:multiLevelType w:val="singleLevel"/>
    <w:tmpl w:val="EBBE24F8"/>
    <w:lvl w:ilvl="0" w:tentative="0">
      <w:start w:val="1"/>
      <w:numFmt w:val="chineseCounting"/>
      <w:lvlText w:val="%1."/>
      <w:lvlJc w:val="left"/>
      <w:pPr>
        <w:tabs>
          <w:tab w:val="left" w:pos="312"/>
        </w:tabs>
      </w:pPr>
      <w:rPr>
        <w:rFonts w:hint="eastAsia"/>
      </w:rPr>
    </w:lvl>
  </w:abstractNum>
  <w:abstractNum w:abstractNumId="7">
    <w:nsid w:val="027184CD"/>
    <w:multiLevelType w:val="singleLevel"/>
    <w:tmpl w:val="027184CD"/>
    <w:lvl w:ilvl="0" w:tentative="0">
      <w:start w:val="1"/>
      <w:numFmt w:val="decimal"/>
      <w:suff w:val="nothing"/>
      <w:lvlText w:val="%1."/>
      <w:lvlJc w:val="left"/>
      <w:pPr>
        <w:ind w:left="425" w:hanging="425"/>
      </w:pPr>
      <w:rPr>
        <w:rFonts w:hint="default"/>
      </w:rPr>
    </w:lvl>
  </w:abstractNum>
  <w:abstractNum w:abstractNumId="8">
    <w:nsid w:val="08DD526E"/>
    <w:multiLevelType w:val="singleLevel"/>
    <w:tmpl w:val="08DD526E"/>
    <w:lvl w:ilvl="0" w:tentative="0">
      <w:start w:val="1"/>
      <w:numFmt w:val="decimal"/>
      <w:suff w:val="nothing"/>
      <w:lvlText w:val="%1."/>
      <w:lvlJc w:val="left"/>
      <w:pPr>
        <w:ind w:left="425" w:hanging="425"/>
      </w:pPr>
      <w:rPr>
        <w:rFonts w:hint="default"/>
      </w:rPr>
    </w:lvl>
  </w:abstractNum>
  <w:abstractNum w:abstractNumId="9">
    <w:nsid w:val="3DA6B9AE"/>
    <w:multiLevelType w:val="singleLevel"/>
    <w:tmpl w:val="3DA6B9AE"/>
    <w:lvl w:ilvl="0" w:tentative="0">
      <w:start w:val="1"/>
      <w:numFmt w:val="decimal"/>
      <w:suff w:val="nothing"/>
      <w:lvlText w:val="%1."/>
      <w:lvlJc w:val="left"/>
      <w:pPr>
        <w:ind w:left="425" w:hanging="425"/>
      </w:pPr>
      <w:rPr>
        <w:rFonts w:hint="default"/>
      </w:rPr>
    </w:lvl>
  </w:abstractNum>
  <w:abstractNum w:abstractNumId="10">
    <w:nsid w:val="60CB628F"/>
    <w:multiLevelType w:val="multilevel"/>
    <w:tmpl w:val="60CB628F"/>
    <w:lvl w:ilvl="0" w:tentative="0">
      <w:start w:val="1"/>
      <w:numFmt w:val="japaneseCounting"/>
      <w:suff w:val="nothing"/>
      <w:lvlText w:val="（%1）"/>
      <w:lvlJc w:val="left"/>
      <w:pPr>
        <w:ind w:left="765" w:hanging="765"/>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4512FA0"/>
    <w:multiLevelType w:val="singleLevel"/>
    <w:tmpl w:val="64512FA0"/>
    <w:lvl w:ilvl="0" w:tentative="0">
      <w:start w:val="1"/>
      <w:numFmt w:val="decimal"/>
      <w:suff w:val="nothing"/>
      <w:lvlText w:val="%1."/>
      <w:lvlJc w:val="left"/>
      <w:pPr>
        <w:ind w:left="425" w:hanging="425"/>
      </w:pPr>
      <w:rPr>
        <w:rFonts w:hint="default"/>
      </w:rPr>
    </w:lvl>
  </w:abstractNum>
  <w:abstractNum w:abstractNumId="12">
    <w:nsid w:val="67681FEF"/>
    <w:multiLevelType w:val="singleLevel"/>
    <w:tmpl w:val="67681FEF"/>
    <w:lvl w:ilvl="0" w:tentative="0">
      <w:start w:val="1"/>
      <w:numFmt w:val="chineseCounting"/>
      <w:suff w:val="nothing"/>
      <w:lvlText w:val="（%1）"/>
      <w:lvlJc w:val="left"/>
      <w:pPr>
        <w:ind w:left="0" w:firstLine="420"/>
      </w:pPr>
      <w:rPr>
        <w:rFonts w:hint="eastAsia"/>
      </w:rPr>
    </w:lvl>
  </w:abstractNum>
  <w:abstractNum w:abstractNumId="13">
    <w:nsid w:val="6889D462"/>
    <w:multiLevelType w:val="singleLevel"/>
    <w:tmpl w:val="6889D462"/>
    <w:lvl w:ilvl="0" w:tentative="0">
      <w:start w:val="1"/>
      <w:numFmt w:val="decimal"/>
      <w:suff w:val="nothing"/>
      <w:lvlText w:val="%1."/>
      <w:lvlJc w:val="left"/>
      <w:pPr>
        <w:ind w:left="425" w:hanging="425"/>
      </w:pPr>
      <w:rPr>
        <w:rFonts w:hint="default"/>
      </w:rPr>
    </w:lvl>
  </w:abstractNum>
  <w:abstractNum w:abstractNumId="14">
    <w:nsid w:val="6949F3A0"/>
    <w:multiLevelType w:val="singleLevel"/>
    <w:tmpl w:val="6949F3A0"/>
    <w:lvl w:ilvl="0" w:tentative="0">
      <w:start w:val="1"/>
      <w:numFmt w:val="decimal"/>
      <w:suff w:val="nothing"/>
      <w:lvlText w:val="%1."/>
      <w:lvlJc w:val="left"/>
      <w:pPr>
        <w:ind w:left="425" w:hanging="425"/>
      </w:pPr>
      <w:rPr>
        <w:rFonts w:hint="default"/>
      </w:rPr>
    </w:lvl>
  </w:abstractNum>
  <w:abstractNum w:abstractNumId="15">
    <w:nsid w:val="75F589AF"/>
    <w:multiLevelType w:val="singleLevel"/>
    <w:tmpl w:val="75F589AF"/>
    <w:lvl w:ilvl="0" w:tentative="0">
      <w:start w:val="1"/>
      <w:numFmt w:val="decimal"/>
      <w:suff w:val="nothing"/>
      <w:lvlText w:val="%1."/>
      <w:lvlJc w:val="left"/>
      <w:pPr>
        <w:ind w:left="425" w:hanging="425"/>
      </w:pPr>
      <w:rPr>
        <w:rFont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13"/>
  </w:num>
  <w:num w:numId="8">
    <w:abstractNumId w:val="7"/>
  </w:num>
  <w:num w:numId="9">
    <w:abstractNumId w:val="15"/>
  </w:num>
  <w:num w:numId="10">
    <w:abstractNumId w:val="14"/>
  </w:num>
  <w:num w:numId="11">
    <w:abstractNumId w:val="11"/>
  </w:num>
  <w:num w:numId="12">
    <w:abstractNumId w:val="8"/>
  </w:num>
  <w:num w:numId="13">
    <w:abstractNumId w:val="9"/>
  </w:num>
  <w:num w:numId="14">
    <w:abstractNumId w:val="10"/>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TQ2ZmRjY2ExODIyODI0YjcxOWFjYTJjOGU1ZDQifQ=="/>
  </w:docVars>
  <w:rsids>
    <w:rsidRoot w:val="00000000"/>
    <w:rsid w:val="00022C01"/>
    <w:rsid w:val="0010332D"/>
    <w:rsid w:val="01527EDF"/>
    <w:rsid w:val="018A6E9C"/>
    <w:rsid w:val="02016291"/>
    <w:rsid w:val="027D1902"/>
    <w:rsid w:val="02A96735"/>
    <w:rsid w:val="04716A6C"/>
    <w:rsid w:val="04936845"/>
    <w:rsid w:val="04A70B4D"/>
    <w:rsid w:val="056621AB"/>
    <w:rsid w:val="06545198"/>
    <w:rsid w:val="06AE3E0A"/>
    <w:rsid w:val="06D47779"/>
    <w:rsid w:val="071E0F8F"/>
    <w:rsid w:val="07FD38A0"/>
    <w:rsid w:val="086957C6"/>
    <w:rsid w:val="086C5C11"/>
    <w:rsid w:val="08C32BC8"/>
    <w:rsid w:val="0AAC0660"/>
    <w:rsid w:val="0B4527F5"/>
    <w:rsid w:val="0BB51797"/>
    <w:rsid w:val="0BBA0B5B"/>
    <w:rsid w:val="0BD66CAD"/>
    <w:rsid w:val="0C1F6610"/>
    <w:rsid w:val="0D7A7B8E"/>
    <w:rsid w:val="0E437898"/>
    <w:rsid w:val="0EEC162E"/>
    <w:rsid w:val="0F136D28"/>
    <w:rsid w:val="10961B97"/>
    <w:rsid w:val="10CF4CD1"/>
    <w:rsid w:val="118916FB"/>
    <w:rsid w:val="13F310AE"/>
    <w:rsid w:val="13F93358"/>
    <w:rsid w:val="14E35923"/>
    <w:rsid w:val="1537321C"/>
    <w:rsid w:val="17591601"/>
    <w:rsid w:val="17E21B65"/>
    <w:rsid w:val="18310B7B"/>
    <w:rsid w:val="18BA663E"/>
    <w:rsid w:val="19797D0C"/>
    <w:rsid w:val="19DB33D1"/>
    <w:rsid w:val="1A045DC3"/>
    <w:rsid w:val="1A283DB8"/>
    <w:rsid w:val="1A4152CE"/>
    <w:rsid w:val="1AB519E3"/>
    <w:rsid w:val="1ABC062B"/>
    <w:rsid w:val="1BF86094"/>
    <w:rsid w:val="1C397F8B"/>
    <w:rsid w:val="1D8A4831"/>
    <w:rsid w:val="1E200CF1"/>
    <w:rsid w:val="1F7163D5"/>
    <w:rsid w:val="1FBC4A4A"/>
    <w:rsid w:val="1FDB5A96"/>
    <w:rsid w:val="20602B21"/>
    <w:rsid w:val="20CB2884"/>
    <w:rsid w:val="20D8433D"/>
    <w:rsid w:val="21164837"/>
    <w:rsid w:val="21345E19"/>
    <w:rsid w:val="22032E04"/>
    <w:rsid w:val="223119FD"/>
    <w:rsid w:val="22AF4F5E"/>
    <w:rsid w:val="2355112E"/>
    <w:rsid w:val="236F44D6"/>
    <w:rsid w:val="241255C3"/>
    <w:rsid w:val="24156E1F"/>
    <w:rsid w:val="24B228BF"/>
    <w:rsid w:val="24B857B7"/>
    <w:rsid w:val="2657258F"/>
    <w:rsid w:val="266D36C5"/>
    <w:rsid w:val="26DD41E2"/>
    <w:rsid w:val="272C5E89"/>
    <w:rsid w:val="2829733C"/>
    <w:rsid w:val="288B65B1"/>
    <w:rsid w:val="294930D0"/>
    <w:rsid w:val="29742004"/>
    <w:rsid w:val="29785E86"/>
    <w:rsid w:val="2AF66A43"/>
    <w:rsid w:val="2B3274D0"/>
    <w:rsid w:val="2B793FF1"/>
    <w:rsid w:val="2BBA09D7"/>
    <w:rsid w:val="2C7F265E"/>
    <w:rsid w:val="2D4C621B"/>
    <w:rsid w:val="2DC73510"/>
    <w:rsid w:val="2E894691"/>
    <w:rsid w:val="2F0E4B96"/>
    <w:rsid w:val="2FDC762C"/>
    <w:rsid w:val="300264A9"/>
    <w:rsid w:val="30360848"/>
    <w:rsid w:val="31F93BF3"/>
    <w:rsid w:val="32A1471A"/>
    <w:rsid w:val="35E83F69"/>
    <w:rsid w:val="36977F6D"/>
    <w:rsid w:val="37F759B3"/>
    <w:rsid w:val="38272A07"/>
    <w:rsid w:val="38A32CCB"/>
    <w:rsid w:val="39DD1E6A"/>
    <w:rsid w:val="3AA223DF"/>
    <w:rsid w:val="3AE07D2F"/>
    <w:rsid w:val="3BB0589F"/>
    <w:rsid w:val="3C1954EA"/>
    <w:rsid w:val="3C2D5CC2"/>
    <w:rsid w:val="3CA5345E"/>
    <w:rsid w:val="3D5A37F9"/>
    <w:rsid w:val="3E1877DF"/>
    <w:rsid w:val="3E491D1E"/>
    <w:rsid w:val="3EB50A34"/>
    <w:rsid w:val="3FFF2A05"/>
    <w:rsid w:val="409749EB"/>
    <w:rsid w:val="41354204"/>
    <w:rsid w:val="41E2438C"/>
    <w:rsid w:val="4241698C"/>
    <w:rsid w:val="439F720C"/>
    <w:rsid w:val="442559CE"/>
    <w:rsid w:val="44703ED1"/>
    <w:rsid w:val="459F03B4"/>
    <w:rsid w:val="45D471E6"/>
    <w:rsid w:val="48001B1E"/>
    <w:rsid w:val="48313978"/>
    <w:rsid w:val="48CF5F59"/>
    <w:rsid w:val="49B063EE"/>
    <w:rsid w:val="4ADD1D3A"/>
    <w:rsid w:val="4B0372DA"/>
    <w:rsid w:val="4DB90697"/>
    <w:rsid w:val="4DCE2B1A"/>
    <w:rsid w:val="4E363746"/>
    <w:rsid w:val="4E8D38D2"/>
    <w:rsid w:val="4ED32F08"/>
    <w:rsid w:val="50094803"/>
    <w:rsid w:val="503404A9"/>
    <w:rsid w:val="50483F54"/>
    <w:rsid w:val="51986815"/>
    <w:rsid w:val="51D84E2B"/>
    <w:rsid w:val="52432C25"/>
    <w:rsid w:val="529214B7"/>
    <w:rsid w:val="52A5743C"/>
    <w:rsid w:val="540A37DA"/>
    <w:rsid w:val="54256A3B"/>
    <w:rsid w:val="54F46459"/>
    <w:rsid w:val="55020747"/>
    <w:rsid w:val="553F6B07"/>
    <w:rsid w:val="553F7B02"/>
    <w:rsid w:val="55F67FAE"/>
    <w:rsid w:val="562623F2"/>
    <w:rsid w:val="569B13A3"/>
    <w:rsid w:val="56BF4844"/>
    <w:rsid w:val="57AC301B"/>
    <w:rsid w:val="57FB2176"/>
    <w:rsid w:val="592C090B"/>
    <w:rsid w:val="5B9B13DC"/>
    <w:rsid w:val="5C191B77"/>
    <w:rsid w:val="5C21669E"/>
    <w:rsid w:val="5D893812"/>
    <w:rsid w:val="5DFB1A87"/>
    <w:rsid w:val="5E0130EC"/>
    <w:rsid w:val="5E0E4AEA"/>
    <w:rsid w:val="5FBB1529"/>
    <w:rsid w:val="5FBD2955"/>
    <w:rsid w:val="602D6CFC"/>
    <w:rsid w:val="606C1599"/>
    <w:rsid w:val="609E5846"/>
    <w:rsid w:val="60EC26DA"/>
    <w:rsid w:val="60F71A13"/>
    <w:rsid w:val="62B64D4D"/>
    <w:rsid w:val="635F16B3"/>
    <w:rsid w:val="6390559E"/>
    <w:rsid w:val="66ED762C"/>
    <w:rsid w:val="680660B9"/>
    <w:rsid w:val="68E43E27"/>
    <w:rsid w:val="693B5FAC"/>
    <w:rsid w:val="6BC75C08"/>
    <w:rsid w:val="6CA83959"/>
    <w:rsid w:val="6D6078E9"/>
    <w:rsid w:val="6D7C09BF"/>
    <w:rsid w:val="6E1B1568"/>
    <w:rsid w:val="6EBE7952"/>
    <w:rsid w:val="6F6B739B"/>
    <w:rsid w:val="6FA3261F"/>
    <w:rsid w:val="6FA33FD7"/>
    <w:rsid w:val="6FFC3DE6"/>
    <w:rsid w:val="701448CB"/>
    <w:rsid w:val="70485B31"/>
    <w:rsid w:val="70810331"/>
    <w:rsid w:val="71555968"/>
    <w:rsid w:val="71834CCB"/>
    <w:rsid w:val="71F67D5B"/>
    <w:rsid w:val="72C51D7C"/>
    <w:rsid w:val="73107E04"/>
    <w:rsid w:val="733C433E"/>
    <w:rsid w:val="73CD0149"/>
    <w:rsid w:val="73DF1890"/>
    <w:rsid w:val="747A263E"/>
    <w:rsid w:val="765406AD"/>
    <w:rsid w:val="765E152C"/>
    <w:rsid w:val="76DB6D4A"/>
    <w:rsid w:val="77CA4110"/>
    <w:rsid w:val="786151C2"/>
    <w:rsid w:val="788627DB"/>
    <w:rsid w:val="78A13670"/>
    <w:rsid w:val="7A4B0019"/>
    <w:rsid w:val="7AF81F4F"/>
    <w:rsid w:val="7B185AFE"/>
    <w:rsid w:val="7B3E36DA"/>
    <w:rsid w:val="7C833A9B"/>
    <w:rsid w:val="7CD04806"/>
    <w:rsid w:val="7D146DE8"/>
    <w:rsid w:val="7DA63E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5"/>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link w:val="4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6"/>
    <w:link w:val="49"/>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50"/>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5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2"/>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53"/>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4"/>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5"/>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en-US" w:eastAsia="zh-CN" w:bidi="ar-SA"/>
    </w:rPr>
  </w:style>
  <w:style w:type="paragraph" w:styleId="6">
    <w:name w:val="Normal Indent"/>
    <w:basedOn w:val="1"/>
    <w:link w:val="288"/>
    <w:semiHidden/>
    <w:unhideWhenUsed/>
    <w:qFormat/>
    <w:uiPriority w:val="0"/>
    <w:pPr>
      <w:ind w:firstLine="420"/>
    </w:pPr>
    <w:rPr>
      <w:sz w:val="20"/>
      <w:lang w:val="en-US" w:eastAsia="en-US"/>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Body Text Indent"/>
    <w:basedOn w:val="1"/>
    <w:qFormat/>
    <w:uiPriority w:val="0"/>
    <w:pPr>
      <w:ind w:firstLine="645"/>
    </w:pPr>
    <w:rPr>
      <w:rFonts w:ascii="KaiTi_GB2312" w:eastAsia="KaiTi_GB2312" w:hAnsiTheme="minorHAnsi" w:cstheme="minorBidi"/>
      <w:sz w:val="32"/>
      <w:szCs w:val="22"/>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93"/>
    <w:semiHidden/>
    <w:unhideWhenUsed/>
    <w:qFormat/>
    <w:uiPriority w:val="99"/>
    <w:pPr>
      <w:spacing w:after="0" w:line="240" w:lineRule="auto"/>
    </w:pPr>
    <w:rPr>
      <w:sz w:val="20"/>
    </w:rPr>
  </w:style>
  <w:style w:type="paragraph" w:styleId="20">
    <w:name w:val="footer"/>
    <w:basedOn w:val="1"/>
    <w:link w:val="66"/>
    <w:unhideWhenUsed/>
    <w:qFormat/>
    <w:uiPriority w:val="99"/>
    <w:pPr>
      <w:tabs>
        <w:tab w:val="center" w:pos="7143"/>
        <w:tab w:val="right" w:pos="14287"/>
      </w:tabs>
      <w:spacing w:after="0" w:line="240" w:lineRule="auto"/>
    </w:pPr>
  </w:style>
  <w:style w:type="paragraph" w:styleId="21">
    <w:name w:val="header"/>
    <w:basedOn w:val="1"/>
    <w:link w:val="64"/>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9"/>
    <w:qFormat/>
    <w:uiPriority w:val="11"/>
    <w:pPr>
      <w:spacing w:before="200" w:after="200"/>
    </w:pPr>
    <w:rPr>
      <w:sz w:val="24"/>
      <w:szCs w:val="24"/>
    </w:rPr>
  </w:style>
  <w:style w:type="paragraph" w:styleId="25">
    <w:name w:val="footnote text"/>
    <w:basedOn w:val="1"/>
    <w:link w:val="19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link w:val="58"/>
    <w:qFormat/>
    <w:uiPriority w:val="10"/>
    <w:pPr>
      <w:spacing w:before="300" w:after="200"/>
      <w:contextualSpacing/>
    </w:pPr>
    <w:rPr>
      <w:sz w:val="48"/>
      <w:szCs w:val="48"/>
    </w:rPr>
  </w:style>
  <w:style w:type="paragraph" w:styleId="33">
    <w:name w:val="Body Text First Indent"/>
    <w:basedOn w:val="2"/>
    <w:next w:val="26"/>
    <w:qFormat/>
    <w:uiPriority w:val="0"/>
    <w:pPr>
      <w:widowControl w:val="0"/>
      <w:spacing w:after="120"/>
      <w:ind w:firstLine="100" w:firstLineChars="100"/>
      <w:jc w:val="both"/>
    </w:pPr>
    <w:rPr>
      <w:rFonts w:ascii="Times New Roman" w:hAnsi="仿宋_GB2312" w:eastAsia="宋体" w:cs="Times New Roman"/>
      <w:snapToGrid/>
      <w:kern w:val="0"/>
      <w:sz w:val="28"/>
      <w:szCs w:val="28"/>
      <w:lang w:val="en-US" w:eastAsia="zh-CN" w:bidi="ar-SA"/>
    </w:rPr>
  </w:style>
  <w:style w:type="paragraph" w:styleId="34">
    <w:name w:val="Body Text First Indent 2"/>
    <w:basedOn w:val="15"/>
    <w:next w:val="1"/>
    <w:semiHidden/>
    <w:unhideWhenUsed/>
    <w:qFormat/>
    <w:uiPriority w:val="0"/>
    <w:pPr>
      <w:spacing w:after="120"/>
      <w:ind w:left="420" w:firstLine="420"/>
    </w:pPr>
    <w:rPr>
      <w:rFonts w:ascii="Arial" w:hAnsi="Arial" w:eastAsia="方正仿宋_GBK" w:cs="Arial"/>
      <w:sz w:val="21"/>
      <w:szCs w:val="24"/>
    </w:rPr>
  </w:style>
  <w:style w:type="table" w:styleId="3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endnote reference"/>
    <w:semiHidden/>
    <w:unhideWhenUsed/>
    <w:qFormat/>
    <w:uiPriority w:val="99"/>
    <w:rPr>
      <w:vertAlign w:val="superscript"/>
    </w:rPr>
  </w:style>
  <w:style w:type="character" w:styleId="40">
    <w:name w:val="page number"/>
    <w:basedOn w:val="37"/>
    <w:qFormat/>
    <w:uiPriority w:val="0"/>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character" w:customStyle="1" w:styleId="43">
    <w:name w:val="标题 3 Char"/>
    <w:link w:val="44"/>
    <w:qFormat/>
    <w:uiPriority w:val="9"/>
    <w:rPr>
      <w:b/>
      <w:bCs/>
      <w:sz w:val="32"/>
      <w:szCs w:val="32"/>
    </w:rPr>
  </w:style>
  <w:style w:type="paragraph" w:customStyle="1" w:styleId="44">
    <w:name w:val="标题 31"/>
    <w:basedOn w:val="1"/>
    <w:next w:val="1"/>
    <w:link w:val="43"/>
    <w:qFormat/>
    <w:uiPriority w:val="9"/>
    <w:pPr>
      <w:keepNext/>
      <w:keepLines/>
      <w:spacing w:before="260" w:after="260" w:line="416" w:lineRule="atLeast"/>
      <w:outlineLvl w:val="2"/>
    </w:pPr>
    <w:rPr>
      <w:b/>
      <w:bCs/>
      <w:sz w:val="32"/>
      <w:szCs w:val="32"/>
      <w:lang w:val="en-US" w:eastAsia="en-US"/>
    </w:rPr>
  </w:style>
  <w:style w:type="paragraph" w:customStyle="1" w:styleId="45">
    <w:name w:val="列表段落1"/>
    <w:basedOn w:val="1"/>
    <w:qFormat/>
    <w:uiPriority w:val="99"/>
    <w:pPr>
      <w:ind w:firstLine="420" w:firstLineChars="200"/>
    </w:pPr>
    <w:rPr>
      <w:rFonts w:ascii="Times New Roman" w:hAnsi="Times New Roman" w:eastAsia="宋体" w:cs="Times New Roman"/>
      <w:szCs w:val="20"/>
    </w:rPr>
  </w:style>
  <w:style w:type="paragraph" w:customStyle="1" w:styleId="46">
    <w:name w:val="Normal_19"/>
    <w:qFormat/>
    <w:uiPriority w:val="0"/>
    <w:pPr>
      <w:widowControl w:val="0"/>
      <w:jc w:val="both"/>
    </w:pPr>
    <w:rPr>
      <w:rFonts w:hint="default" w:ascii="Times New Roman" w:hAnsi="Times New Roman" w:eastAsia="宋体" w:cs="Times New Roman"/>
      <w:sz w:val="21"/>
      <w:szCs w:val="24"/>
      <w:lang w:bidi="ar-SA"/>
    </w:rPr>
  </w:style>
  <w:style w:type="character" w:customStyle="1" w:styleId="47">
    <w:name w:val="Heading 1 Char"/>
    <w:link w:val="3"/>
    <w:qFormat/>
    <w:uiPriority w:val="9"/>
    <w:rPr>
      <w:rFonts w:ascii="Arial" w:hAnsi="Arial" w:eastAsia="Arial" w:cs="Arial"/>
      <w:sz w:val="40"/>
      <w:szCs w:val="40"/>
    </w:rPr>
  </w:style>
  <w:style w:type="character" w:customStyle="1" w:styleId="48">
    <w:name w:val="Heading 2 Char"/>
    <w:link w:val="4"/>
    <w:qFormat/>
    <w:uiPriority w:val="9"/>
    <w:rPr>
      <w:rFonts w:ascii="Arial" w:hAnsi="Arial" w:eastAsia="Arial" w:cs="Arial"/>
      <w:sz w:val="34"/>
    </w:rPr>
  </w:style>
  <w:style w:type="character" w:customStyle="1" w:styleId="49">
    <w:name w:val="Heading 3 Char"/>
    <w:link w:val="5"/>
    <w:qFormat/>
    <w:uiPriority w:val="9"/>
    <w:rPr>
      <w:rFonts w:ascii="Arial" w:hAnsi="Arial" w:eastAsia="Arial" w:cs="Arial"/>
      <w:sz w:val="30"/>
      <w:szCs w:val="30"/>
    </w:rPr>
  </w:style>
  <w:style w:type="character" w:customStyle="1" w:styleId="50">
    <w:name w:val="Heading 4 Char"/>
    <w:link w:val="7"/>
    <w:qFormat/>
    <w:uiPriority w:val="9"/>
    <w:rPr>
      <w:rFonts w:ascii="Arial" w:hAnsi="Arial" w:eastAsia="Arial" w:cs="Arial"/>
      <w:b/>
      <w:bCs/>
      <w:sz w:val="26"/>
      <w:szCs w:val="26"/>
    </w:rPr>
  </w:style>
  <w:style w:type="character" w:customStyle="1" w:styleId="51">
    <w:name w:val="Heading 5 Char"/>
    <w:link w:val="8"/>
    <w:qFormat/>
    <w:uiPriority w:val="9"/>
    <w:rPr>
      <w:rFonts w:ascii="Arial" w:hAnsi="Arial" w:eastAsia="Arial" w:cs="Arial"/>
      <w:b/>
      <w:bCs/>
      <w:sz w:val="24"/>
      <w:szCs w:val="24"/>
    </w:rPr>
  </w:style>
  <w:style w:type="character" w:customStyle="1" w:styleId="52">
    <w:name w:val="Heading 6 Char"/>
    <w:link w:val="9"/>
    <w:qFormat/>
    <w:uiPriority w:val="9"/>
    <w:rPr>
      <w:rFonts w:ascii="Arial" w:hAnsi="Arial" w:eastAsia="Arial" w:cs="Arial"/>
      <w:b/>
      <w:bCs/>
      <w:sz w:val="22"/>
      <w:szCs w:val="22"/>
    </w:rPr>
  </w:style>
  <w:style w:type="character" w:customStyle="1" w:styleId="53">
    <w:name w:val="Heading 7 Char"/>
    <w:link w:val="10"/>
    <w:qFormat/>
    <w:uiPriority w:val="9"/>
    <w:rPr>
      <w:rFonts w:ascii="Arial" w:hAnsi="Arial" w:eastAsia="Arial" w:cs="Arial"/>
      <w:b/>
      <w:bCs/>
      <w:i/>
      <w:iCs/>
      <w:sz w:val="22"/>
      <w:szCs w:val="22"/>
    </w:rPr>
  </w:style>
  <w:style w:type="character" w:customStyle="1" w:styleId="54">
    <w:name w:val="Heading 8 Char"/>
    <w:link w:val="11"/>
    <w:qFormat/>
    <w:uiPriority w:val="9"/>
    <w:rPr>
      <w:rFonts w:ascii="Arial" w:hAnsi="Arial" w:eastAsia="Arial" w:cs="Arial"/>
      <w:i/>
      <w:iCs/>
      <w:sz w:val="22"/>
      <w:szCs w:val="22"/>
    </w:rPr>
  </w:style>
  <w:style w:type="character" w:customStyle="1" w:styleId="55">
    <w:name w:val="Heading 9 Char"/>
    <w:link w:val="12"/>
    <w:qFormat/>
    <w:uiPriority w:val="9"/>
    <w:rPr>
      <w:rFonts w:ascii="Arial" w:hAnsi="Arial" w:eastAsia="Arial" w:cs="Arial"/>
      <w:i/>
      <w:iCs/>
      <w:sz w:val="21"/>
      <w:szCs w:val="21"/>
    </w:rPr>
  </w:style>
  <w:style w:type="paragraph" w:styleId="56">
    <w:name w:val="List Paragraph"/>
    <w:basedOn w:val="1"/>
    <w:qFormat/>
    <w:uiPriority w:val="34"/>
    <w:pPr>
      <w:ind w:left="720"/>
      <w:contextualSpacing/>
    </w:pPr>
  </w:style>
  <w:style w:type="paragraph" w:styleId="57">
    <w:name w:val="No Spacing"/>
    <w:qFormat/>
    <w:uiPriority w:val="1"/>
    <w:pPr>
      <w:spacing w:before="0" w:after="0" w:line="240" w:lineRule="auto"/>
    </w:pPr>
    <w:rPr>
      <w:rFonts w:hint="default" w:ascii="Calibri" w:hAnsi="Calibri" w:eastAsia="宋体" w:cs="Times New Roman"/>
    </w:rPr>
  </w:style>
  <w:style w:type="character" w:customStyle="1" w:styleId="58">
    <w:name w:val="Title Char"/>
    <w:link w:val="32"/>
    <w:qFormat/>
    <w:uiPriority w:val="10"/>
    <w:rPr>
      <w:sz w:val="48"/>
      <w:szCs w:val="48"/>
    </w:rPr>
  </w:style>
  <w:style w:type="character" w:customStyle="1" w:styleId="59">
    <w:name w:val="Subtitle Char"/>
    <w:link w:val="24"/>
    <w:qFormat/>
    <w:uiPriority w:val="11"/>
    <w:rPr>
      <w:sz w:val="24"/>
      <w:szCs w:val="24"/>
    </w:rPr>
  </w:style>
  <w:style w:type="paragraph" w:styleId="60">
    <w:name w:val="Quote"/>
    <w:basedOn w:val="1"/>
    <w:next w:val="1"/>
    <w:link w:val="61"/>
    <w:qFormat/>
    <w:uiPriority w:val="29"/>
    <w:pPr>
      <w:ind w:left="720" w:right="720"/>
    </w:pPr>
    <w:rPr>
      <w:i/>
    </w:rPr>
  </w:style>
  <w:style w:type="character" w:customStyle="1" w:styleId="61">
    <w:name w:val="Quote Char"/>
    <w:link w:val="60"/>
    <w:qFormat/>
    <w:uiPriority w:val="29"/>
    <w:rPr>
      <w:i/>
    </w:rPr>
  </w:style>
  <w:style w:type="paragraph" w:styleId="62">
    <w:name w:val="Intense Quote"/>
    <w:basedOn w:val="1"/>
    <w:next w:val="1"/>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3">
    <w:name w:val="Intense Quote Char"/>
    <w:link w:val="62"/>
    <w:qFormat/>
    <w:uiPriority w:val="30"/>
    <w:rPr>
      <w:i/>
    </w:rPr>
  </w:style>
  <w:style w:type="character" w:customStyle="1" w:styleId="64">
    <w:name w:val="Header Char"/>
    <w:link w:val="21"/>
    <w:qFormat/>
    <w:uiPriority w:val="99"/>
  </w:style>
  <w:style w:type="character" w:customStyle="1" w:styleId="65">
    <w:name w:val="Footer Char"/>
    <w:link w:val="20"/>
    <w:qFormat/>
    <w:uiPriority w:val="99"/>
  </w:style>
  <w:style w:type="character" w:customStyle="1" w:styleId="66">
    <w:name w:val="Caption Char"/>
    <w:link w:val="20"/>
    <w:qFormat/>
    <w:uiPriority w:val="99"/>
  </w:style>
  <w:style w:type="table" w:customStyle="1" w:styleId="6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2">
    <w:name w:val="Footnote Text Char"/>
    <w:link w:val="25"/>
    <w:qFormat/>
    <w:uiPriority w:val="99"/>
    <w:rPr>
      <w:sz w:val="18"/>
    </w:rPr>
  </w:style>
  <w:style w:type="character" w:customStyle="1" w:styleId="193">
    <w:name w:val="Endnote Text Char"/>
    <w:link w:val="19"/>
    <w:qFormat/>
    <w:uiPriority w:val="99"/>
    <w:rPr>
      <w:sz w:val="20"/>
    </w:rPr>
  </w:style>
  <w:style w:type="paragraph" w:customStyle="1" w:styleId="194">
    <w:name w:val="TOC Heading"/>
    <w:unhideWhenUsed/>
    <w:qFormat/>
    <w:uiPriority w:val="39"/>
    <w:rPr>
      <w:rFonts w:hint="default" w:ascii="Calibri" w:hAnsi="Calibri" w:eastAsia="宋体" w:cs="Times New Roman"/>
    </w:rPr>
  </w:style>
  <w:style w:type="paragraph" w:customStyle="1" w:styleId="195">
    <w:name w:val="标题 11"/>
    <w:basedOn w:val="1"/>
    <w:next w:val="1"/>
    <w:link w:val="242"/>
    <w:qFormat/>
    <w:uiPriority w:val="9"/>
    <w:pPr>
      <w:keepNext/>
      <w:keepLines/>
      <w:spacing w:before="340" w:after="330" w:line="578" w:lineRule="atLeast"/>
      <w:outlineLvl w:val="0"/>
    </w:pPr>
    <w:rPr>
      <w:b/>
      <w:bCs/>
      <w:sz w:val="44"/>
      <w:szCs w:val="44"/>
      <w:lang w:val="en-US" w:eastAsia="en-US"/>
    </w:rPr>
  </w:style>
  <w:style w:type="paragraph" w:customStyle="1" w:styleId="196">
    <w:name w:val="标题 21"/>
    <w:basedOn w:val="1"/>
    <w:next w:val="1"/>
    <w:link w:val="222"/>
    <w:qFormat/>
    <w:uiPriority w:val="9"/>
    <w:pPr>
      <w:keepNext/>
      <w:keepLines/>
      <w:spacing w:before="260" w:after="260" w:line="416" w:lineRule="auto"/>
      <w:jc w:val="center"/>
      <w:outlineLvl w:val="1"/>
    </w:pPr>
    <w:rPr>
      <w:rFonts w:ascii="幼圆" w:hAnsi="Arial" w:eastAsia="KaiTi_GB2312"/>
      <w:b/>
      <w:sz w:val="24"/>
      <w:szCs w:val="20"/>
      <w:lang w:val="en-US" w:eastAsia="en-US"/>
    </w:rPr>
  </w:style>
  <w:style w:type="character" w:customStyle="1" w:styleId="197">
    <w:name w:val="默认段落字体1"/>
    <w:link w:val="1"/>
    <w:semiHidden/>
    <w:unhideWhenUsed/>
    <w:qFormat/>
    <w:uiPriority w:val="1"/>
  </w:style>
  <w:style w:type="table" w:customStyle="1" w:styleId="198">
    <w:name w:val="普通表格1"/>
    <w:semiHidden/>
    <w:unhideWhenUsed/>
    <w:qFormat/>
    <w:uiPriority w:val="99"/>
  </w:style>
  <w:style w:type="paragraph" w:customStyle="1" w:styleId="199">
    <w:name w:val="列表 31"/>
    <w:basedOn w:val="1"/>
    <w:qFormat/>
    <w:uiPriority w:val="0"/>
    <w:pPr>
      <w:spacing w:line="240" w:lineRule="auto"/>
      <w:ind w:left="100" w:hanging="200"/>
    </w:pPr>
    <w:rPr>
      <w:rFonts w:ascii="Times New Roman" w:hAnsi="Times New Roman" w:eastAsia="宋体" w:cs="Times New Roman"/>
      <w:szCs w:val="21"/>
    </w:rPr>
  </w:style>
  <w:style w:type="paragraph" w:customStyle="1" w:styleId="200">
    <w:name w:val="正文缩进1"/>
    <w:basedOn w:val="1"/>
    <w:link w:val="228"/>
    <w:qFormat/>
    <w:uiPriority w:val="0"/>
    <w:pPr>
      <w:spacing w:line="240" w:lineRule="auto"/>
      <w:ind w:firstLine="420"/>
    </w:pPr>
    <w:rPr>
      <w:rFonts w:ascii="Times New Roman" w:hAnsi="Times New Roman"/>
      <w:sz w:val="20"/>
      <w:szCs w:val="20"/>
      <w:lang w:val="en-US" w:eastAsia="en-US"/>
    </w:rPr>
  </w:style>
  <w:style w:type="paragraph" w:customStyle="1" w:styleId="201">
    <w:name w:val="正文文本1"/>
    <w:basedOn w:val="1"/>
    <w:next w:val="202"/>
    <w:link w:val="223"/>
    <w:qFormat/>
    <w:uiPriority w:val="0"/>
    <w:pPr>
      <w:spacing w:line="240" w:lineRule="auto"/>
    </w:pPr>
    <w:rPr>
      <w:rFonts w:ascii="KaiTi_GB2312" w:hAnsi="Arial" w:eastAsia="KaiTi_GB2312"/>
      <w:sz w:val="28"/>
      <w:szCs w:val="20"/>
      <w:lang w:val="en-US" w:eastAsia="en-US"/>
    </w:rPr>
  </w:style>
  <w:style w:type="paragraph" w:customStyle="1" w:styleId="202">
    <w:name w:val="一级条标题"/>
    <w:basedOn w:val="203"/>
    <w:next w:val="20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3">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04">
    <w:name w:val="段"/>
    <w:basedOn w:val="205"/>
    <w:next w:val="1"/>
    <w:qFormat/>
    <w:uiPriority w:val="0"/>
    <w:pPr>
      <w:widowControl/>
      <w:ind w:firstLine="200"/>
    </w:pPr>
    <w:rPr>
      <w:sz w:val="20"/>
    </w:rPr>
  </w:style>
  <w:style w:type="paragraph" w:customStyle="1" w:styleId="205">
    <w:name w:val="正文1"/>
    <w:basedOn w:val="1"/>
    <w:next w:val="201"/>
    <w:qFormat/>
    <w:uiPriority w:val="0"/>
    <w:pPr>
      <w:spacing w:line="360" w:lineRule="atLeast"/>
      <w:jc w:val="left"/>
    </w:pPr>
    <w:rPr>
      <w:rFonts w:ascii="宋体" w:hAnsi="Calibri"/>
      <w:sz w:val="24"/>
      <w:szCs w:val="20"/>
    </w:rPr>
  </w:style>
  <w:style w:type="paragraph" w:customStyle="1" w:styleId="206">
    <w:name w:val="正文文本缩进1"/>
    <w:basedOn w:val="1"/>
    <w:link w:val="225"/>
    <w:semiHidden/>
    <w:unhideWhenUsed/>
    <w:qFormat/>
    <w:uiPriority w:val="99"/>
    <w:pPr>
      <w:spacing w:after="120"/>
      <w:ind w:left="420"/>
    </w:pPr>
  </w:style>
  <w:style w:type="paragraph" w:customStyle="1" w:styleId="207">
    <w:name w:val="列表接续1"/>
    <w:basedOn w:val="1"/>
    <w:semiHidden/>
    <w:unhideWhenUsed/>
    <w:qFormat/>
    <w:uiPriority w:val="99"/>
    <w:pPr>
      <w:spacing w:after="120"/>
      <w:ind w:left="420"/>
      <w:contextualSpacing/>
    </w:pPr>
  </w:style>
  <w:style w:type="paragraph" w:customStyle="1" w:styleId="208">
    <w:name w:val="文本块1"/>
    <w:basedOn w:val="1"/>
    <w:qFormat/>
    <w:uiPriority w:val="0"/>
    <w:pPr>
      <w:spacing w:line="240" w:lineRule="auto"/>
      <w:ind w:left="630" w:right="630"/>
      <w:jc w:val="center"/>
    </w:pPr>
    <w:rPr>
      <w:rFonts w:ascii="宋体" w:hAnsi="Times New Roman" w:eastAsia="宋体" w:cs="Times New Roman"/>
      <w:b/>
      <w:sz w:val="32"/>
      <w:szCs w:val="24"/>
    </w:rPr>
  </w:style>
  <w:style w:type="paragraph" w:customStyle="1" w:styleId="209">
    <w:name w:val="目录 31"/>
    <w:basedOn w:val="1"/>
    <w:next w:val="1"/>
    <w:qFormat/>
    <w:uiPriority w:val="39"/>
    <w:pPr>
      <w:ind w:left="420"/>
      <w:jc w:val="left"/>
    </w:pPr>
    <w:rPr>
      <w:rFonts w:cs="Calibri"/>
      <w:i/>
      <w:iCs/>
      <w:sz w:val="20"/>
      <w:szCs w:val="20"/>
    </w:rPr>
  </w:style>
  <w:style w:type="paragraph" w:customStyle="1" w:styleId="210">
    <w:name w:val="纯文本1"/>
    <w:basedOn w:val="1"/>
    <w:link w:val="239"/>
    <w:qFormat/>
    <w:uiPriority w:val="0"/>
    <w:pPr>
      <w:spacing w:line="240" w:lineRule="auto"/>
    </w:pPr>
    <w:rPr>
      <w:rFonts w:ascii="宋体" w:hAnsi="Courier New"/>
      <w:sz w:val="20"/>
      <w:szCs w:val="21"/>
      <w:lang w:val="en-US" w:eastAsia="en-US"/>
    </w:rPr>
  </w:style>
  <w:style w:type="paragraph" w:customStyle="1" w:styleId="211">
    <w:name w:val="日期1"/>
    <w:basedOn w:val="1"/>
    <w:next w:val="1"/>
    <w:link w:val="227"/>
    <w:qFormat/>
    <w:uiPriority w:val="0"/>
    <w:pPr>
      <w:spacing w:line="240" w:lineRule="auto"/>
      <w:ind w:left="100"/>
    </w:pPr>
    <w:rPr>
      <w:rFonts w:ascii="仿宋_GB2312" w:hAnsi="Times New Roman" w:eastAsia="仿宋_GB2312"/>
      <w:b/>
      <w:sz w:val="36"/>
      <w:szCs w:val="24"/>
      <w:lang w:val="en-US" w:eastAsia="en-US"/>
    </w:rPr>
  </w:style>
  <w:style w:type="paragraph" w:customStyle="1" w:styleId="212">
    <w:name w:val="批注框文本1"/>
    <w:basedOn w:val="1"/>
    <w:link w:val="233"/>
    <w:semiHidden/>
    <w:unhideWhenUsed/>
    <w:qFormat/>
    <w:uiPriority w:val="99"/>
    <w:pPr>
      <w:spacing w:line="240" w:lineRule="auto"/>
    </w:pPr>
    <w:rPr>
      <w:sz w:val="18"/>
      <w:szCs w:val="18"/>
      <w:lang w:val="en-US" w:eastAsia="en-US"/>
    </w:rPr>
  </w:style>
  <w:style w:type="paragraph" w:customStyle="1" w:styleId="213">
    <w:name w:val="页脚1"/>
    <w:basedOn w:val="1"/>
    <w:link w:val="231"/>
    <w:unhideWhenUsed/>
    <w:qFormat/>
    <w:uiPriority w:val="99"/>
    <w:pPr>
      <w:tabs>
        <w:tab w:val="center" w:pos="4153"/>
        <w:tab w:val="right" w:pos="8306"/>
      </w:tabs>
      <w:spacing w:line="240" w:lineRule="atLeast"/>
      <w:jc w:val="left"/>
    </w:pPr>
    <w:rPr>
      <w:sz w:val="18"/>
      <w:szCs w:val="18"/>
      <w:lang w:val="en-US" w:eastAsia="en-US"/>
    </w:rPr>
  </w:style>
  <w:style w:type="paragraph" w:customStyle="1" w:styleId="214">
    <w:name w:val="页眉1"/>
    <w:basedOn w:val="1"/>
    <w:link w:val="230"/>
    <w:unhideWhenUsed/>
    <w:qFormat/>
    <w:uiPriority w:val="99"/>
    <w:pPr>
      <w:pBdr>
        <w:bottom w:val="single" w:color="000000" w:sz="6" w:space="1"/>
      </w:pBdr>
      <w:tabs>
        <w:tab w:val="center" w:pos="4153"/>
        <w:tab w:val="right" w:pos="8306"/>
      </w:tabs>
      <w:spacing w:line="240" w:lineRule="atLeast"/>
      <w:jc w:val="center"/>
    </w:pPr>
    <w:rPr>
      <w:sz w:val="18"/>
      <w:szCs w:val="18"/>
      <w:lang w:val="en-US" w:eastAsia="en-US"/>
    </w:rPr>
  </w:style>
  <w:style w:type="paragraph" w:customStyle="1" w:styleId="215">
    <w:name w:val="目录 11"/>
    <w:basedOn w:val="1"/>
    <w:next w:val="1"/>
    <w:qFormat/>
    <w:uiPriority w:val="39"/>
    <w:pPr>
      <w:spacing w:before="120" w:after="120"/>
      <w:jc w:val="left"/>
    </w:pPr>
    <w:rPr>
      <w:rFonts w:cs="Calibri"/>
      <w:b/>
      <w:bCs/>
      <w:caps/>
      <w:sz w:val="20"/>
      <w:szCs w:val="20"/>
    </w:rPr>
  </w:style>
  <w:style w:type="paragraph" w:customStyle="1" w:styleId="216">
    <w:name w:val="正文文本缩进 31"/>
    <w:basedOn w:val="1"/>
    <w:link w:val="226"/>
    <w:semiHidden/>
    <w:unhideWhenUsed/>
    <w:qFormat/>
    <w:uiPriority w:val="99"/>
    <w:pPr>
      <w:spacing w:after="120"/>
      <w:ind w:left="420"/>
    </w:pPr>
    <w:rPr>
      <w:sz w:val="16"/>
      <w:szCs w:val="16"/>
      <w:lang w:val="en-US" w:eastAsia="en-US"/>
    </w:rPr>
  </w:style>
  <w:style w:type="paragraph" w:customStyle="1" w:styleId="217">
    <w:name w:val="目录 21"/>
    <w:basedOn w:val="1"/>
    <w:next w:val="1"/>
    <w:unhideWhenUsed/>
    <w:qFormat/>
    <w:uiPriority w:val="39"/>
    <w:pPr>
      <w:ind w:left="210"/>
      <w:jc w:val="left"/>
    </w:pPr>
    <w:rPr>
      <w:rFonts w:cs="Calibri"/>
      <w:smallCaps/>
      <w:sz w:val="20"/>
      <w:szCs w:val="20"/>
    </w:rPr>
  </w:style>
  <w:style w:type="paragraph" w:customStyle="1" w:styleId="218">
    <w:name w:val="普通(网站)1"/>
    <w:basedOn w:val="1"/>
    <w:link w:val="234"/>
    <w:qFormat/>
    <w:uiPriority w:val="0"/>
    <w:pPr>
      <w:widowControl/>
      <w:spacing w:before="100" w:beforeAutospacing="1" w:after="100" w:afterAutospacing="1" w:line="240" w:lineRule="auto"/>
      <w:jc w:val="left"/>
    </w:pPr>
    <w:rPr>
      <w:rFonts w:ascii="宋体" w:hAnsi="宋体"/>
      <w:color w:val="000000"/>
      <w:sz w:val="24"/>
      <w:szCs w:val="24"/>
      <w:lang w:val="en-US" w:eastAsia="en-US"/>
    </w:rPr>
  </w:style>
  <w:style w:type="table" w:customStyle="1" w:styleId="219">
    <w:name w:val="网格型1"/>
    <w:basedOn w:val="198"/>
    <w:qFormat/>
    <w:uiPriority w:val="59"/>
    <w:pPr>
      <w:spacing w:line="240" w:lineRule="auto"/>
    </w:pPr>
  </w:style>
  <w:style w:type="character" w:customStyle="1" w:styleId="220">
    <w:name w:val="页码1"/>
    <w:basedOn w:val="197"/>
    <w:link w:val="1"/>
    <w:qFormat/>
    <w:uiPriority w:val="0"/>
  </w:style>
  <w:style w:type="character" w:customStyle="1" w:styleId="221">
    <w:name w:val="超链接1"/>
    <w:link w:val="1"/>
    <w:qFormat/>
    <w:uiPriority w:val="99"/>
    <w:rPr>
      <w:color w:val="0000FF"/>
      <w:u w:val="single"/>
    </w:rPr>
  </w:style>
  <w:style w:type="character" w:customStyle="1" w:styleId="222">
    <w:name w:val="标题 2 Char"/>
    <w:link w:val="196"/>
    <w:qFormat/>
    <w:uiPriority w:val="9"/>
    <w:rPr>
      <w:rFonts w:ascii="幼圆" w:hAnsi="Arial" w:eastAsia="KaiTi_GB2312" w:cs="Times New Roman"/>
      <w:b/>
      <w:sz w:val="24"/>
      <w:szCs w:val="20"/>
    </w:rPr>
  </w:style>
  <w:style w:type="character" w:customStyle="1" w:styleId="223">
    <w:name w:val="正文文本 Char"/>
    <w:link w:val="201"/>
    <w:qFormat/>
    <w:uiPriority w:val="0"/>
    <w:rPr>
      <w:rFonts w:ascii="KaiTi_GB2312" w:hAnsi="Arial" w:eastAsia="KaiTi_GB2312" w:cs="Times New Roman"/>
      <w:sz w:val="28"/>
      <w:szCs w:val="20"/>
    </w:rPr>
  </w:style>
  <w:style w:type="paragraph" w:customStyle="1" w:styleId="224">
    <w:name w:val="列出段落"/>
    <w:basedOn w:val="1"/>
    <w:qFormat/>
    <w:uiPriority w:val="34"/>
    <w:pPr>
      <w:spacing w:line="240" w:lineRule="auto"/>
      <w:ind w:firstLine="420"/>
    </w:pPr>
    <w:rPr>
      <w:rFonts w:ascii="等线" w:hAnsi="等线" w:eastAsia="等线" w:cs="宋体"/>
    </w:rPr>
  </w:style>
  <w:style w:type="character" w:customStyle="1" w:styleId="225">
    <w:name w:val="正文文本缩进 Char"/>
    <w:basedOn w:val="197"/>
    <w:link w:val="206"/>
    <w:semiHidden/>
    <w:qFormat/>
    <w:uiPriority w:val="99"/>
  </w:style>
  <w:style w:type="character" w:customStyle="1" w:styleId="226">
    <w:name w:val="正文文本缩进 3 Char"/>
    <w:link w:val="216"/>
    <w:semiHidden/>
    <w:qFormat/>
    <w:uiPriority w:val="99"/>
    <w:rPr>
      <w:sz w:val="16"/>
      <w:szCs w:val="16"/>
    </w:rPr>
  </w:style>
  <w:style w:type="character" w:customStyle="1" w:styleId="227">
    <w:name w:val="日期 Char"/>
    <w:link w:val="211"/>
    <w:qFormat/>
    <w:uiPriority w:val="0"/>
    <w:rPr>
      <w:rFonts w:ascii="仿宋_GB2312" w:hAnsi="Times New Roman" w:eastAsia="仿宋_GB2312" w:cs="Times New Roman"/>
      <w:b/>
      <w:sz w:val="36"/>
      <w:szCs w:val="24"/>
    </w:rPr>
  </w:style>
  <w:style w:type="character" w:customStyle="1" w:styleId="228">
    <w:name w:val="正文缩进 Char"/>
    <w:link w:val="200"/>
    <w:qFormat/>
    <w:uiPriority w:val="0"/>
    <w:rPr>
      <w:rFonts w:ascii="Times New Roman" w:hAnsi="Times New Roman" w:eastAsia="宋体" w:cs="Times New Roman"/>
      <w:szCs w:val="20"/>
    </w:rPr>
  </w:style>
  <w:style w:type="character" w:customStyle="1" w:styleId="229">
    <w:name w:val="htd0"/>
    <w:basedOn w:val="197"/>
    <w:link w:val="1"/>
    <w:qFormat/>
    <w:uiPriority w:val="0"/>
  </w:style>
  <w:style w:type="character" w:customStyle="1" w:styleId="230">
    <w:name w:val="页眉 Char"/>
    <w:link w:val="214"/>
    <w:qFormat/>
    <w:uiPriority w:val="99"/>
    <w:rPr>
      <w:sz w:val="18"/>
      <w:szCs w:val="18"/>
    </w:rPr>
  </w:style>
  <w:style w:type="character" w:customStyle="1" w:styleId="231">
    <w:name w:val="页脚 Char"/>
    <w:link w:val="213"/>
    <w:qFormat/>
    <w:uiPriority w:val="99"/>
    <w:rPr>
      <w:sz w:val="18"/>
      <w:szCs w:val="18"/>
    </w:rPr>
  </w:style>
  <w:style w:type="paragraph" w:customStyle="1" w:styleId="232">
    <w:name w:val="附录1"/>
    <w:qFormat/>
    <w:uiPriority w:val="0"/>
    <w:pPr>
      <w:numPr>
        <w:ilvl w:val="0"/>
        <w:numId w:val="1"/>
      </w:numPr>
      <w:spacing w:before="240" w:line="600" w:lineRule="atLeast"/>
    </w:pPr>
    <w:rPr>
      <w:rFonts w:hint="default" w:ascii="Times New Roman" w:hAnsi="Times New Roman" w:eastAsia="宋体" w:cs="Times New Roman"/>
      <w:b/>
      <w:i/>
      <w:sz w:val="28"/>
      <w:lang w:val="en-US" w:eastAsia="zh-CN" w:bidi="ar-SA"/>
    </w:rPr>
  </w:style>
  <w:style w:type="character" w:customStyle="1" w:styleId="233">
    <w:name w:val="批注框文本 Char"/>
    <w:link w:val="212"/>
    <w:semiHidden/>
    <w:qFormat/>
    <w:uiPriority w:val="99"/>
    <w:rPr>
      <w:sz w:val="18"/>
      <w:szCs w:val="18"/>
    </w:rPr>
  </w:style>
  <w:style w:type="character" w:customStyle="1" w:styleId="234">
    <w:name w:val="普通(网站) Char"/>
    <w:link w:val="218"/>
    <w:qFormat/>
    <w:uiPriority w:val="0"/>
    <w:rPr>
      <w:rFonts w:ascii="宋体" w:hAnsi="宋体" w:eastAsia="宋体" w:cs="宋体"/>
      <w:color w:val="000000"/>
      <w:sz w:val="24"/>
      <w:szCs w:val="24"/>
    </w:rPr>
  </w:style>
  <w:style w:type="character" w:customStyle="1" w:styleId="235">
    <w:name w:val="正文缩进 Char3"/>
    <w:link w:val="1"/>
    <w:qFormat/>
    <w:uiPriority w:val="0"/>
    <w:rPr>
      <w:rFonts w:ascii="Times New Roman" w:hAnsi="Times New Roman" w:eastAsia="宋体" w:cs="Times New Roman"/>
      <w:szCs w:val="24"/>
    </w:rPr>
  </w:style>
  <w:style w:type="paragraph" w:customStyle="1" w:styleId="236">
    <w:name w:val="列出段落3"/>
    <w:basedOn w:val="1"/>
    <w:qFormat/>
    <w:uiPriority w:val="99"/>
    <w:pPr>
      <w:spacing w:line="240" w:lineRule="auto"/>
      <w:ind w:firstLine="420"/>
    </w:pPr>
    <w:rPr>
      <w:rFonts w:ascii="Calibri" w:hAnsi="Calibri" w:eastAsia="宋体" w:cs="Times New Roman"/>
    </w:rPr>
  </w:style>
  <w:style w:type="paragraph" w:customStyle="1" w:styleId="237">
    <w:name w:val="列出段落1"/>
    <w:basedOn w:val="1"/>
    <w:qFormat/>
    <w:uiPriority w:val="0"/>
    <w:pPr>
      <w:spacing w:line="240" w:lineRule="auto"/>
      <w:ind w:firstLine="420"/>
    </w:pPr>
    <w:rPr>
      <w:rFonts w:ascii="Times New Roman" w:hAnsi="Times New Roman" w:eastAsia="宋体" w:cs="Times New Roman"/>
      <w:szCs w:val="24"/>
    </w:rPr>
  </w:style>
  <w:style w:type="paragraph" w:customStyle="1" w:styleId="238">
    <w:name w:val="正文_4"/>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39">
    <w:name w:val="纯文本 Char1"/>
    <w:link w:val="210"/>
    <w:qFormat/>
    <w:uiPriority w:val="0"/>
    <w:rPr>
      <w:rFonts w:ascii="宋体" w:hAnsi="Courier New" w:cs="Courier New"/>
      <w:szCs w:val="21"/>
    </w:rPr>
  </w:style>
  <w:style w:type="character" w:customStyle="1" w:styleId="240">
    <w:name w:val="纯文本 Char"/>
    <w:link w:val="1"/>
    <w:qFormat/>
    <w:uiPriority w:val="0"/>
    <w:rPr>
      <w:rFonts w:ascii="宋体" w:hAnsi="Courier New" w:eastAsia="宋体" w:cs="Courier New"/>
      <w:szCs w:val="21"/>
    </w:rPr>
  </w:style>
  <w:style w:type="paragraph" w:customStyle="1" w:styleId="241">
    <w:name w:val="Andy_正文格式"/>
    <w:basedOn w:val="1"/>
    <w:qFormat/>
    <w:uiPriority w:val="0"/>
    <w:pPr>
      <w:spacing w:line="240" w:lineRule="auto"/>
      <w:ind w:firstLine="560"/>
      <w:jc w:val="left"/>
    </w:pPr>
    <w:rPr>
      <w:rFonts w:ascii="仿宋_GB2312" w:hAnsi="Times New Roman" w:eastAsia="仿宋_GB2312" w:cs="Times New Roman"/>
      <w:sz w:val="28"/>
      <w:szCs w:val="28"/>
    </w:rPr>
  </w:style>
  <w:style w:type="character" w:customStyle="1" w:styleId="242">
    <w:name w:val="标题 1 Char"/>
    <w:link w:val="195"/>
    <w:qFormat/>
    <w:uiPriority w:val="9"/>
    <w:rPr>
      <w:b/>
      <w:bCs/>
      <w:sz w:val="44"/>
      <w:szCs w:val="44"/>
    </w:rPr>
  </w:style>
  <w:style w:type="paragraph" w:customStyle="1" w:styleId="243">
    <w:name w:val="TOC 标题1"/>
    <w:basedOn w:val="195"/>
    <w:next w:val="1"/>
    <w:unhideWhenUsed/>
    <w:qFormat/>
    <w:uiPriority w:val="39"/>
    <w:pPr>
      <w:widowControl/>
      <w:spacing w:before="240" w:after="0" w:line="259" w:lineRule="auto"/>
      <w:jc w:val="left"/>
      <w:outlineLvl w:val="9"/>
    </w:pPr>
    <w:rPr>
      <w:rFonts w:ascii="Cambria" w:hAnsi="Cambria" w:eastAsia="宋体" w:cs="Times New Roman"/>
      <w:b w:val="0"/>
      <w:bCs w:val="0"/>
      <w:color w:val="365F91"/>
      <w:sz w:val="32"/>
      <w:szCs w:val="32"/>
    </w:rPr>
  </w:style>
  <w:style w:type="paragraph" w:customStyle="1" w:styleId="244">
    <w:name w:val="WPSOffice手动目录 1"/>
    <w:qFormat/>
    <w:uiPriority w:val="0"/>
    <w:rPr>
      <w:rFonts w:hint="default" w:ascii="Calibri" w:hAnsi="Calibri" w:eastAsia="宋体" w:cs="Times New Roman"/>
      <w:lang w:val="en-US" w:eastAsia="zh-CN" w:bidi="ar-SA"/>
    </w:rPr>
  </w:style>
  <w:style w:type="paragraph" w:customStyle="1" w:styleId="245">
    <w:name w:val="WPSOffice手动目录 2"/>
    <w:qFormat/>
    <w:uiPriority w:val="0"/>
    <w:pPr>
      <w:ind w:left="200"/>
    </w:pPr>
    <w:rPr>
      <w:rFonts w:hint="default" w:ascii="Calibri" w:hAnsi="Calibri" w:eastAsia="宋体" w:cs="Times New Roman"/>
      <w:lang w:val="en-US" w:eastAsia="zh-CN" w:bidi="ar-SA"/>
    </w:rPr>
  </w:style>
  <w:style w:type="paragraph" w:customStyle="1" w:styleId="246">
    <w:name w:val="WPSOffice手动目录 3"/>
    <w:qFormat/>
    <w:uiPriority w:val="0"/>
    <w:pPr>
      <w:ind w:left="400"/>
    </w:pPr>
    <w:rPr>
      <w:rFonts w:hint="default" w:ascii="Calibri" w:hAnsi="Calibri" w:eastAsia="宋体" w:cs="Times New Roman"/>
      <w:lang w:val="en-US" w:eastAsia="zh-CN" w:bidi="ar-SA"/>
    </w:rPr>
  </w:style>
  <w:style w:type="paragraph" w:customStyle="1" w:styleId="247">
    <w:name w:val="目录 41"/>
    <w:basedOn w:val="1"/>
    <w:next w:val="1"/>
    <w:unhideWhenUsed/>
    <w:qFormat/>
    <w:uiPriority w:val="39"/>
    <w:pPr>
      <w:ind w:left="630"/>
      <w:jc w:val="left"/>
    </w:pPr>
    <w:rPr>
      <w:rFonts w:cs="Calibri"/>
      <w:sz w:val="18"/>
      <w:szCs w:val="18"/>
    </w:rPr>
  </w:style>
  <w:style w:type="paragraph" w:customStyle="1" w:styleId="248">
    <w:name w:val="目录 51"/>
    <w:basedOn w:val="1"/>
    <w:next w:val="1"/>
    <w:unhideWhenUsed/>
    <w:qFormat/>
    <w:uiPriority w:val="39"/>
    <w:pPr>
      <w:ind w:left="840"/>
      <w:jc w:val="left"/>
    </w:pPr>
    <w:rPr>
      <w:rFonts w:cs="Calibri"/>
      <w:sz w:val="18"/>
      <w:szCs w:val="18"/>
    </w:rPr>
  </w:style>
  <w:style w:type="paragraph" w:customStyle="1" w:styleId="249">
    <w:name w:val="目录 61"/>
    <w:basedOn w:val="1"/>
    <w:next w:val="1"/>
    <w:unhideWhenUsed/>
    <w:qFormat/>
    <w:uiPriority w:val="39"/>
    <w:pPr>
      <w:ind w:left="1050"/>
      <w:jc w:val="left"/>
    </w:pPr>
    <w:rPr>
      <w:rFonts w:cs="Calibri"/>
      <w:sz w:val="18"/>
      <w:szCs w:val="18"/>
    </w:rPr>
  </w:style>
  <w:style w:type="paragraph" w:customStyle="1" w:styleId="250">
    <w:name w:val="目录 71"/>
    <w:basedOn w:val="1"/>
    <w:next w:val="1"/>
    <w:unhideWhenUsed/>
    <w:qFormat/>
    <w:uiPriority w:val="39"/>
    <w:pPr>
      <w:ind w:left="1260"/>
      <w:jc w:val="left"/>
    </w:pPr>
    <w:rPr>
      <w:rFonts w:cs="Calibri"/>
      <w:sz w:val="18"/>
      <w:szCs w:val="18"/>
    </w:rPr>
  </w:style>
  <w:style w:type="paragraph" w:customStyle="1" w:styleId="251">
    <w:name w:val="目录 81"/>
    <w:basedOn w:val="1"/>
    <w:next w:val="1"/>
    <w:unhideWhenUsed/>
    <w:qFormat/>
    <w:uiPriority w:val="39"/>
    <w:pPr>
      <w:ind w:left="1470"/>
      <w:jc w:val="left"/>
    </w:pPr>
    <w:rPr>
      <w:rFonts w:cs="Calibri"/>
      <w:sz w:val="18"/>
      <w:szCs w:val="18"/>
    </w:rPr>
  </w:style>
  <w:style w:type="paragraph" w:customStyle="1" w:styleId="252">
    <w:name w:val="目录 91"/>
    <w:basedOn w:val="1"/>
    <w:next w:val="1"/>
    <w:unhideWhenUsed/>
    <w:qFormat/>
    <w:uiPriority w:val="39"/>
    <w:pPr>
      <w:ind w:left="1680"/>
      <w:jc w:val="left"/>
    </w:pPr>
    <w:rPr>
      <w:rFonts w:cs="Calibri"/>
      <w:sz w:val="18"/>
      <w:szCs w:val="18"/>
    </w:rPr>
  </w:style>
  <w:style w:type="paragraph" w:customStyle="1" w:styleId="253">
    <w:name w:val="正文_0"/>
    <w:qFormat/>
    <w:uiPriority w:val="0"/>
    <w:pPr>
      <w:widowControl w:val="0"/>
      <w:jc w:val="both"/>
    </w:pPr>
    <w:rPr>
      <w:rFonts w:hint="default" w:ascii="Calibri" w:hAnsi="Calibri" w:eastAsia="宋体" w:cs="Times New Roman"/>
      <w:sz w:val="21"/>
      <w:szCs w:val="22"/>
      <w:lang w:val="en-US" w:eastAsia="zh-CN" w:bidi="ar-SA"/>
    </w:rPr>
  </w:style>
  <w:style w:type="character" w:customStyle="1" w:styleId="254">
    <w:name w:val="titlebody"/>
    <w:basedOn w:val="197"/>
    <w:link w:val="1"/>
    <w:qFormat/>
    <w:uiPriority w:val="0"/>
    <w:rPr>
      <w:rFonts w:ascii="宋体" w:hAnsi="宋体" w:eastAsia="宋体" w:cs="宋体"/>
      <w:b/>
      <w:bCs/>
      <w:color w:val="000000"/>
      <w:sz w:val="24"/>
      <w:szCs w:val="24"/>
    </w:rPr>
  </w:style>
  <w:style w:type="paragraph" w:customStyle="1" w:styleId="255">
    <w:name w:val="Normal_0"/>
    <w:qFormat/>
    <w:uiPriority w:val="0"/>
    <w:rPr>
      <w:rFonts w:hint="default" w:ascii="Times New Roman" w:hAnsi="Times New Roman" w:eastAsia="Times New Roman" w:cs="Times New Roman"/>
      <w:sz w:val="24"/>
      <w:szCs w:val="24"/>
      <w:lang w:bidi="ar-SA"/>
    </w:rPr>
  </w:style>
  <w:style w:type="paragraph" w:customStyle="1" w:styleId="256">
    <w:name w:val="Normal_1"/>
    <w:qFormat/>
    <w:uiPriority w:val="0"/>
    <w:rPr>
      <w:rFonts w:hint="default" w:ascii="Times New Roman" w:hAnsi="Times New Roman" w:eastAsia="Times New Roman" w:cs="Times New Roman"/>
      <w:sz w:val="24"/>
      <w:szCs w:val="24"/>
      <w:lang w:bidi="ar-SA"/>
    </w:rPr>
  </w:style>
  <w:style w:type="paragraph" w:customStyle="1" w:styleId="257">
    <w:name w:val="Normal_2"/>
    <w:qFormat/>
    <w:uiPriority w:val="0"/>
    <w:rPr>
      <w:rFonts w:hint="default" w:ascii="Times New Roman" w:hAnsi="Times New Roman" w:eastAsia="Times New Roman" w:cs="Times New Roman"/>
      <w:sz w:val="24"/>
      <w:szCs w:val="24"/>
      <w:lang w:bidi="ar-SA"/>
    </w:rPr>
  </w:style>
  <w:style w:type="paragraph" w:customStyle="1" w:styleId="258">
    <w:name w:val="Normal_0_0"/>
    <w:qFormat/>
    <w:uiPriority w:val="0"/>
    <w:rPr>
      <w:rFonts w:hint="default" w:ascii="Times New Roman" w:hAnsi="Times New Roman" w:eastAsia="Times New Roman" w:cs="Times New Roman"/>
      <w:sz w:val="24"/>
      <w:szCs w:val="24"/>
      <w:lang w:bidi="ar-SA"/>
    </w:rPr>
  </w:style>
  <w:style w:type="paragraph" w:customStyle="1" w:styleId="259">
    <w:name w:val="Normal_1_0"/>
    <w:qFormat/>
    <w:uiPriority w:val="0"/>
    <w:rPr>
      <w:rFonts w:hint="default" w:ascii="Times New Roman" w:hAnsi="Times New Roman" w:eastAsia="Times New Roman" w:cs="Times New Roman"/>
      <w:sz w:val="24"/>
      <w:szCs w:val="24"/>
      <w:lang w:bidi="ar-SA"/>
    </w:rPr>
  </w:style>
  <w:style w:type="paragraph" w:customStyle="1" w:styleId="260">
    <w:name w:val="Normal_2_0"/>
    <w:qFormat/>
    <w:uiPriority w:val="0"/>
    <w:rPr>
      <w:rFonts w:hint="default" w:ascii="Times New Roman" w:hAnsi="Times New Roman" w:eastAsia="Times New Roman" w:cs="Times New Roman"/>
      <w:sz w:val="24"/>
      <w:szCs w:val="24"/>
      <w:lang w:bidi="ar-SA"/>
    </w:rPr>
  </w:style>
  <w:style w:type="paragraph" w:customStyle="1" w:styleId="261">
    <w:name w:val="Normal_3"/>
    <w:qFormat/>
    <w:uiPriority w:val="0"/>
    <w:rPr>
      <w:rFonts w:hint="default" w:ascii="Times New Roman" w:hAnsi="Times New Roman" w:eastAsia="Times New Roman" w:cs="Times New Roman"/>
      <w:sz w:val="24"/>
      <w:szCs w:val="24"/>
      <w:lang w:bidi="ar-SA"/>
    </w:rPr>
  </w:style>
  <w:style w:type="paragraph" w:customStyle="1" w:styleId="262">
    <w:name w:val="Normal_4"/>
    <w:qFormat/>
    <w:uiPriority w:val="0"/>
    <w:rPr>
      <w:rFonts w:hint="default" w:ascii="Times New Roman" w:hAnsi="Times New Roman" w:eastAsia="Times New Roman" w:cs="Times New Roman"/>
      <w:sz w:val="24"/>
      <w:szCs w:val="24"/>
      <w:lang w:bidi="ar-SA"/>
    </w:rPr>
  </w:style>
  <w:style w:type="paragraph" w:customStyle="1" w:styleId="263">
    <w:name w:val="正文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4">
    <w:name w:val="Normal_5"/>
    <w:qFormat/>
    <w:uiPriority w:val="0"/>
    <w:rPr>
      <w:rFonts w:hint="default" w:ascii="Times New Roman" w:hAnsi="Times New Roman" w:eastAsia="Times New Roman" w:cs="Times New Roman"/>
      <w:sz w:val="24"/>
      <w:szCs w:val="24"/>
      <w:lang w:bidi="ar-SA"/>
    </w:rPr>
  </w:style>
  <w:style w:type="paragraph" w:customStyle="1" w:styleId="265">
    <w:name w:val="正文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6">
    <w:name w:val="Normal_6"/>
    <w:qFormat/>
    <w:uiPriority w:val="0"/>
    <w:rPr>
      <w:rFonts w:hint="default" w:ascii="Times New Roman" w:hAnsi="Times New Roman" w:eastAsia="Times New Roman" w:cs="Times New Roman"/>
      <w:sz w:val="24"/>
      <w:szCs w:val="24"/>
      <w:lang w:bidi="ar-SA"/>
    </w:rPr>
  </w:style>
  <w:style w:type="paragraph" w:customStyle="1" w:styleId="267">
    <w:name w:val="正文_1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8">
    <w:name w:val="Normal_7"/>
    <w:qFormat/>
    <w:uiPriority w:val="0"/>
    <w:rPr>
      <w:rFonts w:hint="default" w:ascii="Times New Roman" w:hAnsi="Times New Roman" w:eastAsia="Times New Roman" w:cs="Times New Roman"/>
      <w:sz w:val="24"/>
      <w:szCs w:val="24"/>
      <w:lang w:bidi="ar-SA"/>
    </w:rPr>
  </w:style>
  <w:style w:type="paragraph" w:customStyle="1" w:styleId="269">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0">
    <w:name w:val="Normal_8"/>
    <w:qFormat/>
    <w:uiPriority w:val="0"/>
    <w:rPr>
      <w:rFonts w:hint="default" w:ascii="Times New Roman" w:hAnsi="Times New Roman" w:eastAsia="Times New Roman" w:cs="Times New Roman"/>
      <w:sz w:val="24"/>
      <w:szCs w:val="24"/>
      <w:lang w:bidi="ar-SA"/>
    </w:rPr>
  </w:style>
  <w:style w:type="paragraph" w:customStyle="1" w:styleId="271">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2">
    <w:name w:val="Normal_9"/>
    <w:qFormat/>
    <w:uiPriority w:val="0"/>
    <w:rPr>
      <w:rFonts w:hint="default" w:ascii="Times New Roman" w:hAnsi="Times New Roman" w:eastAsia="Times New Roman" w:cs="Times New Roman"/>
      <w:sz w:val="24"/>
      <w:szCs w:val="24"/>
      <w:lang w:bidi="ar-SA"/>
    </w:rPr>
  </w:style>
  <w:style w:type="paragraph" w:customStyle="1" w:styleId="273">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4">
    <w:name w:val="Normal_10"/>
    <w:qFormat/>
    <w:uiPriority w:val="0"/>
    <w:rPr>
      <w:rFonts w:hint="default" w:ascii="Times New Roman" w:hAnsi="Times New Roman" w:eastAsia="Times New Roman" w:cs="Times New Roman"/>
      <w:sz w:val="24"/>
      <w:szCs w:val="24"/>
      <w:lang w:bidi="ar-SA"/>
    </w:rPr>
  </w:style>
  <w:style w:type="paragraph" w:customStyle="1" w:styleId="275">
    <w:name w:val="正文_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6">
    <w:name w:val="Normal_11"/>
    <w:qFormat/>
    <w:uiPriority w:val="0"/>
    <w:rPr>
      <w:rFonts w:hint="default" w:ascii="Times New Roman" w:hAnsi="Times New Roman" w:eastAsia="Times New Roman" w:cs="Times New Roman"/>
      <w:sz w:val="24"/>
      <w:szCs w:val="24"/>
      <w:lang w:bidi="ar-SA"/>
    </w:rPr>
  </w:style>
  <w:style w:type="paragraph" w:customStyle="1" w:styleId="277">
    <w:name w:val="正文_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8">
    <w:name w:val="Normal_12"/>
    <w:qFormat/>
    <w:uiPriority w:val="0"/>
    <w:rPr>
      <w:rFonts w:hint="default" w:ascii="Times New Roman" w:hAnsi="Times New Roman" w:eastAsia="Times New Roman" w:cs="Times New Roman"/>
      <w:sz w:val="24"/>
      <w:szCs w:val="24"/>
      <w:lang w:bidi="ar-SA"/>
    </w:rPr>
  </w:style>
  <w:style w:type="paragraph" w:customStyle="1" w:styleId="279">
    <w:name w:val="Normal_13"/>
    <w:qFormat/>
    <w:uiPriority w:val="0"/>
    <w:pPr>
      <w:widowControl w:val="0"/>
      <w:jc w:val="both"/>
    </w:pPr>
    <w:rPr>
      <w:rFonts w:hint="default" w:ascii="Calibri" w:hAnsi="Calibri" w:eastAsia="宋体" w:cs="Times New Roman"/>
      <w:sz w:val="21"/>
      <w:szCs w:val="22"/>
      <w:lang w:bidi="ar-SA"/>
    </w:rPr>
  </w:style>
  <w:style w:type="paragraph" w:customStyle="1" w:styleId="280">
    <w:name w:val="批注文字1"/>
    <w:basedOn w:val="279"/>
    <w:link w:val="281"/>
    <w:unhideWhenUsed/>
    <w:qFormat/>
    <w:uiPriority w:val="99"/>
    <w:pPr>
      <w:spacing w:line="360" w:lineRule="auto"/>
      <w:jc w:val="left"/>
    </w:pPr>
    <w:rPr>
      <w:rFonts w:ascii="Times New Roman" w:hAnsi="Times New Roman"/>
      <w:sz w:val="24"/>
      <w:szCs w:val="24"/>
      <w:lang w:val="en-US" w:eastAsia="en-US"/>
    </w:rPr>
  </w:style>
  <w:style w:type="character" w:customStyle="1" w:styleId="281">
    <w:name w:val="批注文字 Char"/>
    <w:link w:val="280"/>
    <w:qFormat/>
    <w:uiPriority w:val="99"/>
    <w:rPr>
      <w:rFonts w:ascii="Times New Roman" w:hAnsi="Times New Roman"/>
      <w:sz w:val="24"/>
      <w:szCs w:val="24"/>
    </w:rPr>
  </w:style>
  <w:style w:type="paragraph" w:customStyle="1" w:styleId="282">
    <w:name w:val="Normal_14"/>
    <w:qFormat/>
    <w:uiPriority w:val="0"/>
    <w:rPr>
      <w:rFonts w:hint="default" w:ascii="Times New Roman" w:hAnsi="Times New Roman" w:eastAsia="Times New Roman" w:cs="Times New Roman"/>
      <w:sz w:val="24"/>
      <w:szCs w:val="24"/>
      <w:lang w:bidi="ar-SA"/>
    </w:rPr>
  </w:style>
  <w:style w:type="paragraph" w:customStyle="1" w:styleId="283">
    <w:name w:val="Normal_15"/>
    <w:qFormat/>
    <w:uiPriority w:val="0"/>
    <w:rPr>
      <w:rFonts w:hint="default" w:ascii="Times New Roman" w:hAnsi="Times New Roman" w:eastAsia="Times New Roman" w:cs="Times New Roman"/>
      <w:sz w:val="24"/>
      <w:szCs w:val="24"/>
      <w:lang w:bidi="ar-SA"/>
    </w:rPr>
  </w:style>
  <w:style w:type="paragraph" w:customStyle="1" w:styleId="284">
    <w:name w:val="Normal_16"/>
    <w:qFormat/>
    <w:uiPriority w:val="0"/>
    <w:rPr>
      <w:rFonts w:hint="default" w:ascii="Times New Roman" w:hAnsi="Times New Roman" w:eastAsia="Times New Roman" w:cs="Times New Roman"/>
      <w:sz w:val="24"/>
      <w:szCs w:val="24"/>
      <w:lang w:bidi="ar-SA"/>
    </w:rPr>
  </w:style>
  <w:style w:type="paragraph" w:customStyle="1" w:styleId="285">
    <w:name w:val="正文_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86">
    <w:name w:val="Normal_17"/>
    <w:qFormat/>
    <w:uiPriority w:val="0"/>
    <w:rPr>
      <w:rFonts w:hint="default" w:ascii="Times New Roman" w:hAnsi="Times New Roman" w:eastAsia="Times New Roman" w:cs="Times New Roman"/>
      <w:sz w:val="24"/>
      <w:szCs w:val="24"/>
      <w:lang w:bidi="ar-SA"/>
    </w:rPr>
  </w:style>
  <w:style w:type="paragraph" w:customStyle="1" w:styleId="287">
    <w:name w:val="Normal_18"/>
    <w:qFormat/>
    <w:uiPriority w:val="0"/>
    <w:rPr>
      <w:rFonts w:hint="default" w:ascii="Times New Roman" w:hAnsi="Times New Roman" w:eastAsia="Times New Roman" w:cs="Times New Roman"/>
      <w:sz w:val="24"/>
      <w:szCs w:val="24"/>
      <w:lang w:bidi="ar-SA"/>
    </w:rPr>
  </w:style>
  <w:style w:type="character" w:customStyle="1" w:styleId="288">
    <w:name w:val="正文缩进 Char_0"/>
    <w:link w:val="6"/>
    <w:semiHidden/>
    <w:qFormat/>
    <w:uiPriority w:val="0"/>
    <w:rPr>
      <w:rFonts w:ascii="Times New Roman" w:hAnsi="Times New Roman" w:eastAsia="宋体" w:cs="Times New Roman"/>
      <w:szCs w:val="24"/>
    </w:rPr>
  </w:style>
  <w:style w:type="paragraph" w:customStyle="1" w:styleId="289">
    <w:name w:val="Normal_20"/>
    <w:qFormat/>
    <w:uiPriority w:val="0"/>
    <w:rPr>
      <w:rFonts w:hint="default" w:ascii="Times New Roman" w:hAnsi="Times New Roman" w:eastAsia="Times New Roman" w:cs="Times New Roman"/>
      <w:sz w:val="24"/>
      <w:szCs w:val="24"/>
      <w:lang w:bidi="ar-SA"/>
    </w:rPr>
  </w:style>
  <w:style w:type="paragraph" w:customStyle="1" w:styleId="290">
    <w:name w:val="正文缩进_0"/>
    <w:basedOn w:val="291"/>
    <w:link w:val="292"/>
    <w:qFormat/>
    <w:uiPriority w:val="0"/>
    <w:pPr>
      <w:ind w:firstLine="420"/>
    </w:pPr>
    <w:rPr>
      <w:rFonts w:ascii="Times New Roman" w:hAnsi="Times New Roman"/>
      <w:szCs w:val="20"/>
      <w:lang w:val="en-US" w:eastAsia="en-US"/>
    </w:rPr>
  </w:style>
  <w:style w:type="paragraph" w:customStyle="1" w:styleId="291">
    <w:name w:val="正文_8"/>
    <w:qFormat/>
    <w:uiPriority w:val="0"/>
    <w:pPr>
      <w:widowControl w:val="0"/>
      <w:jc w:val="both"/>
    </w:pPr>
    <w:rPr>
      <w:rFonts w:hint="default" w:ascii="Calibri" w:hAnsi="Calibri" w:eastAsia="宋体" w:cs="Times New Roman"/>
      <w:sz w:val="21"/>
      <w:szCs w:val="22"/>
      <w:lang w:val="en-US" w:eastAsia="zh-CN" w:bidi="ar-SA"/>
    </w:rPr>
  </w:style>
  <w:style w:type="character" w:customStyle="1" w:styleId="292">
    <w:name w:val="正文缩进 Char_0_0"/>
    <w:link w:val="290"/>
    <w:qFormat/>
    <w:uiPriority w:val="0"/>
    <w:rPr>
      <w:rFonts w:ascii="Times New Roman" w:hAnsi="Times New Roman"/>
      <w:sz w:val="21"/>
    </w:rPr>
  </w:style>
  <w:style w:type="paragraph" w:customStyle="1" w:styleId="293">
    <w:name w:val="Normal_21"/>
    <w:qFormat/>
    <w:uiPriority w:val="0"/>
    <w:rPr>
      <w:rFonts w:hint="default" w:ascii="Times New Roman" w:hAnsi="Times New Roman" w:eastAsia="Times New Roman" w:cs="Times New Roman"/>
      <w:sz w:val="24"/>
      <w:szCs w:val="24"/>
      <w:lang w:bidi="ar-SA"/>
    </w:rPr>
  </w:style>
  <w:style w:type="paragraph" w:customStyle="1" w:styleId="294">
    <w:name w:val="正文_9"/>
    <w:qFormat/>
    <w:uiPriority w:val="0"/>
    <w:pPr>
      <w:widowControl w:val="0"/>
      <w:jc w:val="both"/>
    </w:pPr>
    <w:rPr>
      <w:rFonts w:hint="default" w:ascii="Calibri" w:hAnsi="Calibri" w:eastAsia="宋体" w:cs="Times New Roman"/>
      <w:sz w:val="21"/>
      <w:szCs w:val="22"/>
      <w:lang w:val="en-US" w:eastAsia="zh-CN" w:bidi="ar-SA"/>
    </w:rPr>
  </w:style>
  <w:style w:type="character" w:customStyle="1" w:styleId="295">
    <w:name w:val="要点1"/>
    <w:basedOn w:val="197"/>
    <w:link w:val="1"/>
    <w:qFormat/>
    <w:uiPriority w:val="22"/>
    <w:rPr>
      <w:b/>
      <w:bCs/>
    </w:rPr>
  </w:style>
  <w:style w:type="paragraph" w:customStyle="1" w:styleId="296">
    <w:name w:val="Heading #4|1"/>
    <w:basedOn w:val="1"/>
    <w:qFormat/>
    <w:uiPriority w:val="0"/>
    <w:pPr>
      <w:widowControl w:val="0"/>
      <w:shd w:val="clear" w:color="auto" w:fill="auto"/>
      <w:spacing w:after="200" w:line="322" w:lineRule="exact"/>
      <w:outlineLvl w:val="3"/>
    </w:pPr>
    <w:rPr>
      <w:rFonts w:ascii="宋体" w:hAnsi="宋体" w:eastAsia="宋体" w:cs="宋体"/>
      <w:b/>
      <w:bCs/>
      <w:sz w:val="19"/>
      <w:szCs w:val="19"/>
      <w:u w:val="none"/>
      <w:shd w:val="clear" w:color="auto" w:fill="auto"/>
      <w:lang w:val="zh-TW" w:eastAsia="zh-TW" w:bidi="zh-TW"/>
    </w:rPr>
  </w:style>
  <w:style w:type="paragraph" w:customStyle="1" w:styleId="297">
    <w:name w:val="Body text|1"/>
    <w:basedOn w:val="1"/>
    <w:qFormat/>
    <w:uiPriority w:val="0"/>
    <w:pPr>
      <w:widowControl w:val="0"/>
      <w:shd w:val="clear" w:color="auto" w:fill="auto"/>
      <w:spacing w:after="80" w:line="350" w:lineRule="auto"/>
      <w:ind w:firstLine="400"/>
    </w:pPr>
    <w:rPr>
      <w:rFonts w:ascii="宋体" w:hAnsi="宋体" w:eastAsia="宋体" w:cs="宋体"/>
      <w:sz w:val="19"/>
      <w:szCs w:val="19"/>
      <w:u w:val="none"/>
      <w:shd w:val="clear" w:color="auto" w:fill="auto"/>
      <w:lang w:val="zh-TW" w:eastAsia="zh-TW" w:bidi="zh-TW"/>
    </w:rPr>
  </w:style>
  <w:style w:type="paragraph" w:customStyle="1" w:styleId="298">
    <w:name w:val="Other|1"/>
    <w:basedOn w:val="1"/>
    <w:qFormat/>
    <w:uiPriority w:val="0"/>
    <w:pPr>
      <w:widowControl w:val="0"/>
      <w:shd w:val="clear" w:color="auto" w:fill="auto"/>
      <w:spacing w:after="80" w:line="350" w:lineRule="auto"/>
      <w:ind w:firstLine="400"/>
    </w:pPr>
    <w:rPr>
      <w:rFonts w:ascii="宋体" w:hAnsi="宋体" w:eastAsia="宋体" w:cs="宋体"/>
      <w:sz w:val="19"/>
      <w:szCs w:val="19"/>
      <w:u w:val="none"/>
      <w:shd w:val="clear" w:color="auto" w:fill="auto"/>
      <w:lang w:val="zh-TW" w:eastAsia="zh-TW" w:bidi="zh-TW"/>
    </w:rPr>
  </w:style>
  <w:style w:type="paragraph" w:customStyle="1" w:styleId="299">
    <w:name w:val="Table caption|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300">
    <w:name w:val="Body text|2"/>
    <w:basedOn w:val="1"/>
    <w:qFormat/>
    <w:uiPriority w:val="0"/>
    <w:pPr>
      <w:widowControl w:val="0"/>
      <w:shd w:val="clear" w:color="auto" w:fill="auto"/>
      <w:spacing w:after="80"/>
      <w:ind w:firstLine="420"/>
    </w:pPr>
    <w:rPr>
      <w:sz w:val="20"/>
      <w:szCs w:val="20"/>
      <w:u w:val="none"/>
      <w:shd w:val="clear" w:color="auto" w:fill="auto"/>
    </w:rPr>
  </w:style>
  <w:style w:type="table" w:customStyle="1" w:styleId="301">
    <w:name w:val="Table Normal"/>
    <w:semiHidden/>
    <w:unhideWhenUsed/>
    <w:qFormat/>
    <w:uiPriority w:val="2"/>
    <w:tblPr>
      <w:tblCellMar>
        <w:top w:w="0" w:type="dxa"/>
        <w:left w:w="0" w:type="dxa"/>
        <w:bottom w:w="0" w:type="dxa"/>
        <w:right w:w="0" w:type="dxa"/>
      </w:tblCellMar>
    </w:tblPr>
  </w:style>
  <w:style w:type="paragraph" w:customStyle="1" w:styleId="302">
    <w:name w:val="Table Text"/>
    <w:basedOn w:val="1"/>
    <w:qFormat/>
    <w:uiPriority w:val="0"/>
    <w:pPr>
      <w:spacing w:before="80" w:after="80" w:line="240" w:lineRule="atLeast"/>
      <w:jc w:val="left"/>
    </w:pPr>
    <w:rPr>
      <w:rFonts w:ascii="等线" w:hAnsi="等线" w:eastAsia="等线" w:cs="Arial"/>
      <w:szCs w:val="21"/>
    </w:rPr>
  </w:style>
  <w:style w:type="paragraph" w:customStyle="1" w:styleId="303">
    <w:name w:val="正文文本11"/>
    <w:basedOn w:val="1"/>
    <w:next w:val="304"/>
    <w:qFormat/>
    <w:uiPriority w:val="0"/>
    <w:rPr>
      <w:rFonts w:ascii="楷体_GB2312" w:hAnsi="Arial" w:eastAsia="楷体_GB2312" w:cs="Times New Roman"/>
      <w:sz w:val="28"/>
      <w:szCs w:val="22"/>
    </w:rPr>
  </w:style>
  <w:style w:type="paragraph" w:customStyle="1" w:styleId="304">
    <w:name w:val="正文首行缩进11"/>
    <w:basedOn w:val="303"/>
    <w:unhideWhenUsed/>
    <w:qFormat/>
    <w:uiPriority w:val="0"/>
    <w:pPr>
      <w:spacing w:after="120"/>
      <w:ind w:firstLine="420"/>
    </w:pPr>
    <w:rPr>
      <w:rFonts w:ascii="Arial" w:eastAsia="等线"/>
      <w:sz w:val="21"/>
      <w:szCs w:val="21"/>
    </w:rPr>
  </w:style>
  <w:style w:type="paragraph" w:customStyle="1" w:styleId="305">
    <w:name w:val="_Style 6"/>
    <w:basedOn w:val="3"/>
    <w:next w:val="1"/>
    <w:qFormat/>
    <w:uiPriority w:val="0"/>
    <w:pPr>
      <w:widowControl/>
      <w:spacing w:before="480" w:after="0" w:line="276" w:lineRule="auto"/>
      <w:outlineLvl w:val="9"/>
    </w:pPr>
    <w:rPr>
      <w:rFonts w:ascii="Cambria" w:hAnsi="Cambria"/>
      <w:color w:val="365F91"/>
      <w:kern w:val="0"/>
      <w:sz w:val="28"/>
    </w:rPr>
  </w:style>
  <w:style w:type="paragraph" w:customStyle="1" w:styleId="30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07">
    <w:name w:val="Normal_8_0"/>
    <w:qFormat/>
    <w:uiPriority w:val="0"/>
    <w:rPr>
      <w:rFonts w:hint="default" w:ascii="Times New Roman" w:hAnsi="Times New Roman" w:eastAsia="Times New Roman" w:cs="Times New Roman"/>
      <w:sz w:val="24"/>
      <w:szCs w:val="24"/>
      <w:lang w:bidi="ar-SA"/>
    </w:rPr>
  </w:style>
  <w:style w:type="paragraph" w:customStyle="1" w:styleId="308">
    <w:name w:val="普通(网站)11"/>
    <w:basedOn w:val="1"/>
    <w:qFormat/>
    <w:uiPriority w:val="0"/>
    <w:pPr>
      <w:widowControl/>
      <w:spacing w:before="100" w:beforeAutospacing="1" w:after="100" w:afterAutospacing="1" w:line="240" w:lineRule="auto"/>
      <w:jc w:val="left"/>
    </w:pPr>
    <w:rPr>
      <w:rFonts w:ascii="宋体" w:hAnsi="宋体"/>
      <w:color w:val="000000"/>
      <w:sz w:val="24"/>
      <w:szCs w:val="24"/>
      <w:lang w:val="en-US" w:eastAsia="en-US"/>
    </w:rPr>
  </w:style>
  <w:style w:type="paragraph" w:customStyle="1" w:styleId="309">
    <w:name w:val="正文文本缩进_0"/>
    <w:basedOn w:val="253"/>
    <w:qFormat/>
    <w:uiPriority w:val="0"/>
    <w:pPr>
      <w:ind w:firstLine="645"/>
    </w:pPr>
    <w:rPr>
      <w:rFonts w:ascii="楷体_GB2312" w:cs="宋体"/>
      <w:sz w:val="32"/>
      <w:szCs w:val="32"/>
    </w:rPr>
  </w:style>
  <w:style w:type="paragraph" w:customStyle="1" w:styleId="310">
    <w:name w:val="_Style 4"/>
    <w:basedOn w:val="311"/>
    <w:next w:val="1"/>
    <w:qFormat/>
    <w:uiPriority w:val="0"/>
    <w:pPr>
      <w:outlineLvl w:val="9"/>
    </w:pPr>
  </w:style>
  <w:style w:type="paragraph" w:customStyle="1" w:styleId="311">
    <w:name w:val="标题 111"/>
    <w:basedOn w:val="1"/>
    <w:next w:val="1"/>
    <w:qFormat/>
    <w:uiPriority w:val="0"/>
    <w:pPr>
      <w:keepNext/>
      <w:keepLines/>
      <w:spacing w:before="480" w:after="200"/>
      <w:outlineLvl w:val="0"/>
    </w:pPr>
    <w:rPr>
      <w:rFonts w:ascii="Arial" w:hAnsi="Arial" w:eastAsia="Arial" w:cs="Arial"/>
      <w:sz w:val="40"/>
      <w:szCs w:val="40"/>
    </w:rPr>
  </w:style>
  <w:style w:type="paragraph" w:customStyle="1" w:styleId="312">
    <w:name w:val="正文文本21"/>
    <w:basedOn w:val="1"/>
    <w:next w:val="1"/>
    <w:qFormat/>
    <w:uiPriority w:val="0"/>
    <w:rPr>
      <w:rFonts w:ascii="楷体_GB2312" w:hAnsi="Arial" w:eastAsia="楷体_GB2312"/>
      <w:sz w:val="28"/>
      <w:szCs w:val="20"/>
    </w:rPr>
  </w:style>
  <w:style w:type="paragraph" w:customStyle="1" w:styleId="313">
    <w:name w:val="页脚11"/>
    <w:basedOn w:val="1"/>
    <w:unhideWhenUsed/>
    <w:qFormat/>
    <w:uiPriority w:val="99"/>
    <w:pPr>
      <w:tabs>
        <w:tab w:val="center" w:pos="7143"/>
        <w:tab w:val="right" w:pos="14287"/>
      </w:tabs>
    </w:p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31262</Words>
  <Characters>32508</Characters>
  <TotalTime>0</TotalTime>
  <ScaleCrop>false</ScaleCrop>
  <LinksUpToDate>false</LinksUpToDate>
  <CharactersWithSpaces>34185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2022-11-02T03:42:00Z</dcterms:created>
  <dc:creator>123</dc:creator>
  <cp:lastModifiedBy>秦松</cp:lastModifiedBy>
  <cp:lastPrinted>2025-07-30T01:31:00Z</cp:lastPrinted>
  <dcterms:modified xsi:type="dcterms:W3CDTF">2026-04-29T00:31:27Z</dcterms:modified>
  <cp:revision>658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E56FCB06769F4217A6306372D9F7A1AD_13</vt:lpwstr>
  </property>
</Properties>
</file>