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09"/>
        </w:tabs>
        <w:bidi w:val="0"/>
        <w:jc w:val="left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句容市2023年度农村生态河道管理范围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划定成果公示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根据《中华人民共和国水法》《中华人民共和国防洪法》《中华人民共和国河道管理条例》《江苏省水利工程管理条 例》《江苏省河道管理条例》《江苏省农村河道管护办法》等法律法规，结合实际，我市完成了29条农村生态河道、杜家山闸、夏荫坝及天王坝管理范围划定工作，现将有关成果向社会公示。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一、划界工作背景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依据《省水利厅关于开展“十四五”农村生态河道建设规划编制工作的通知》（苏水农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4号）《江苏省农村生态河道建设水平评分细则》《江苏省农村生态河道评分细则（修订）》以及镇江市水利局《镇江市农村生态河道建设水平考核评估计分细则（试行）》等相关文件要求，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我市开展了29条农村生态河道管理范围划定工作（含杜家山闸、夏荫坝、天王坝），依法划定29条河道及3座水工建筑物的管理边界，形成矢量化成果，为建立健全范围明确、权属清晰、责任落实、管理高效的农村生态河道体系打下了坚实的基础。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二、划界工作依据及技术规范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主要依据的法律法规和技术规范有：《中华人民共和国 水法》《中华人民共和国防洪法》《农田水利条例》《江苏省河道管理条例》《江苏省水利工程管理条例》《江苏省农村河道管护办法》《镇江市水利工程管理办法》（镇政规发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7号）、《句容市实施〈江苏省水利工程管理条例〉办法》（句政发：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1999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239号）、《句容市河道管理规定》（句政发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1998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201号）、《测绘成果质量检查与验收》(GB/T24356-2009)、《江苏省水利厅关于印发〈江苏省河湖管理范围和水利工程管理与保护范围划定技术规定 （试行）〉的通知》苏水管〔2015〕64号）、《江苏省水利厅关于印发〈江苏省河湖和水利工程管理范围划定成果信息采集技术要求（试行）〉的通知》（苏水管〔2015〕136号）《水利水电工程测量规范》(SL 197-2013)、《工程测量规范》(GB50026-2007)、《全球定位系统GPS测量规范》(GB/T18314-2009)、《全球定位系统城市测量技术规程》(CJJ73-2010 )、《全球定位系统实时动态测量（RTK）技术规范》(CH/T2009-2010)、《数字航空摄影测量控制测量规范》(CH/T3006-2011 )、《测绘成果质量检查与验收》(GB/T 24356-2009)、《省水利厅、省国土资源厅、省财政厅关于印发〈江苏省河湖和水利工程管理范围划定工作验收管理办法〉的通知》（苏水管〔2018〕12号）、江苏省水利厅后续出台的相关技术文件。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三、划界工作任务和划界标准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本次农村生态河道管理范围划定主要涉及29条乡级河道及三座水工建筑物，分别为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lang w:val="en-US" w:eastAsia="zh-CN"/>
        </w:rPr>
        <w:t>跃进河、行香排洪河、幸福河、官埝河、栗庄南河、东昌河、陈家圩河、大湖河、港北河、胜利河、许家后河、花岗河、泗庄排水河、万家河（华阳街道）、玉清河、茅陈河、南庄河、上杆河、玉晨河、万家河（茅山镇）、蔡巷河、浦溪河、唐谷河、六里河、桥头河、山岗河、武岐河、亭子东山河、老便民河、杜家山闸、夏荫坝、天王坝等。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具体划界标准详见下表：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表1</w:t>
      </w:r>
    </w:p>
    <w:tbl>
      <w:tblPr>
        <w:tblStyle w:val="5"/>
        <w:tblW w:w="90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187"/>
        <w:gridCol w:w="655"/>
        <w:gridCol w:w="2500"/>
        <w:gridCol w:w="1120"/>
        <w:gridCol w:w="1240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11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河道名称</w:t>
            </w:r>
          </w:p>
        </w:tc>
        <w:tc>
          <w:tcPr>
            <w:tcW w:w="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岸别</w:t>
            </w:r>
          </w:p>
        </w:tc>
        <w:tc>
          <w:tcPr>
            <w:tcW w:w="2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起止地点</w:t>
            </w:r>
          </w:p>
        </w:tc>
        <w:tc>
          <w:tcPr>
            <w:tcW w:w="2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河道正常管理范围线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河道等级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长度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距河口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背水坡坡脚线）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距离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(km)</w:t>
            </w:r>
          </w:p>
        </w:tc>
        <w:tc>
          <w:tcPr>
            <w:tcW w:w="12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跃进河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跃进闸-镇荣公路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行香排洪河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122省道路边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污水处理厂下游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幸福河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幸福水库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八人闸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官埝河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官埝-红门楼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栗庄南河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大小窑泵站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东山河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东昌河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徐家边北侧—墩墩山水库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陈家圩河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孔塘西北口河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-陈家圩泵站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大湖河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刘巷村－老秦淮河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港北河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港北幸福桥－中港桥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胜利河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三岔集镇—花兰墩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许家后河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埝北堤防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西圩三站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花岗河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福源小区南大塘-花岗排涝站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泗庄排水河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泗庄湖千棵桥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句容河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华阳街道万家河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句容水库溢洪河-吕家园桥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玉清河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玉清广场-葛仙湖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茅陈河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茅陈水库溢洪道-钱家棚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南庄河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南庄水库溢洪道-夏谷村东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上杆河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上杆水库溢洪道-新104国道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玉晨河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延茅路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茅山水库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茅山镇万家河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万家村-二圣水库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蔡巷河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沿江高速桥104国道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—天王河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浦溪河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新104国道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-南河上游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唐谷河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土桥河下游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-104国道与天王河交汇点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六里河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六里高铁桥-长江提水一站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桥头河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雷巷桥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老便民河口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武岐河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小银盘水库—大南山桥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山岗河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下凹隧道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-杨庄闸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亭子东山河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句蜀路—上亭子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老便民河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左</w:t>
            </w:r>
          </w:p>
        </w:tc>
        <w:tc>
          <w:tcPr>
            <w:tcW w:w="250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京沪铁路桥-长江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5.10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右</w:t>
            </w:r>
          </w:p>
        </w:tc>
        <w:tc>
          <w:tcPr>
            <w:tcW w:w="25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2.55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乡级河道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表2</w:t>
      </w:r>
    </w:p>
    <w:tbl>
      <w:tblPr>
        <w:tblStyle w:val="6"/>
        <w:tblW w:w="7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00"/>
        <w:gridCol w:w="2067"/>
        <w:gridCol w:w="1500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2067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地理位置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划界长度（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m）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划界标准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杜家山闸</w:t>
            </w:r>
          </w:p>
        </w:tc>
        <w:tc>
          <w:tcPr>
            <w:tcW w:w="2067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开发区杜家山村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1.03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依照上下游200米范围，河口外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夏荫坝</w:t>
            </w:r>
          </w:p>
        </w:tc>
        <w:tc>
          <w:tcPr>
            <w:tcW w:w="2067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宝华山路北侧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2.64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依照上下游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米范围，河口外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天王坝</w:t>
            </w:r>
          </w:p>
        </w:tc>
        <w:tc>
          <w:tcPr>
            <w:tcW w:w="2067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天王镇天王河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1.39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依照上下游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米范围，河口外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米，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左右各5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0米。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0"/>
          <w:w w:val="100"/>
          <w:position w:val="0"/>
          <w:sz w:val="32"/>
          <w:szCs w:val="32"/>
        </w:rPr>
        <w:t>四、实施情况和完成内容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1.项目立项及相关批复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default" w:ascii="Times New Roman" w:hAnsi="Times New Roman" w:eastAsia="方正仿宋_GB2312" w:cs="Times New Roman"/>
          <w:color w:val="auto"/>
          <w:spacing w:val="0"/>
          <w:w w:val="100"/>
          <w:position w:val="0"/>
          <w:sz w:val="32"/>
          <w:szCs w:val="32"/>
        </w:rPr>
        <w:t>句容市水利局根据省水利厅、镇江市水利局文件要求，同意</w:t>
      </w:r>
      <w:r>
        <w:rPr>
          <w:rFonts w:hint="default" w:ascii="Times New Roman" w:hAnsi="Times New Roman" w:eastAsia="方正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句容市重点小型农田水利项目建设管理处</w:t>
      </w:r>
      <w:r>
        <w:rPr>
          <w:rFonts w:hint="default" w:ascii="Times New Roman" w:hAnsi="Times New Roman" w:eastAsia="方正仿宋_GB2312" w:cs="Times New Roman"/>
          <w:color w:val="auto"/>
          <w:spacing w:val="0"/>
          <w:w w:val="100"/>
          <w:position w:val="0"/>
          <w:sz w:val="32"/>
          <w:szCs w:val="32"/>
        </w:rPr>
        <w:t>开展此项工作，落实了项目资金。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2.项目开展情况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default" w:ascii="Times New Roman" w:hAnsi="Times New Roman" w:eastAsia="方正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句容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市重点小型农田水利项目建设管理处</w:t>
      </w:r>
      <w:r>
        <w:rPr>
          <w:rFonts w:hint="default" w:ascii="Times New Roman" w:hAnsi="Times New Roman" w:eastAsia="方正仿宋_GB2312" w:cs="Times New Roman"/>
          <w:color w:val="auto"/>
          <w:spacing w:val="0"/>
          <w:w w:val="100"/>
          <w:position w:val="0"/>
          <w:sz w:val="32"/>
          <w:szCs w:val="32"/>
        </w:rPr>
        <w:t>委托镇江市长江测绘研究院有限公司作为该项目的</w:t>
      </w:r>
      <w:r>
        <w:rPr>
          <w:rFonts w:hint="default" w:ascii="Times New Roman" w:hAnsi="Times New Roman" w:eastAsia="方正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施工</w:t>
      </w:r>
      <w:r>
        <w:rPr>
          <w:rFonts w:hint="default" w:ascii="Times New Roman" w:hAnsi="Times New Roman" w:eastAsia="方正仿宋_GB2312" w:cs="Times New Roman"/>
          <w:color w:val="auto"/>
          <w:spacing w:val="0"/>
          <w:w w:val="100"/>
          <w:position w:val="0"/>
          <w:sz w:val="32"/>
          <w:szCs w:val="32"/>
        </w:rPr>
        <w:t>单位，双方签订了施工合同。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0"/>
          <w:w w:val="100"/>
          <w:position w:val="0"/>
          <w:sz w:val="32"/>
          <w:szCs w:val="32"/>
        </w:rPr>
        <w:t>3.任务完成情况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句容市2023年度农村生态河道划界项目完成具体工作量如下表：</w:t>
      </w:r>
    </w:p>
    <w:tbl>
      <w:tblPr>
        <w:tblStyle w:val="5"/>
        <w:tblW w:w="8216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4119"/>
        <w:gridCol w:w="1867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序号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湖泊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eastAsia="zh-CN" w:bidi="ar"/>
              </w:rPr>
              <w:t>）、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水工建筑物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划界长度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电子界桩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名称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（km）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个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跃进河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12.58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行香排洪河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1.36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幸福河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8.24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官埝河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1.23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栗庄南河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3.44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6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东昌河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7.68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7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陈家圩河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2.43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大湖河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2.68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港北河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5.10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胜利河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3.22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11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许家后河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9.45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12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花岗河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6.19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13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泗庄排水河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2.39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14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华阳街道万家河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3.27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15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玉清河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3.80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16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茅陈河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1.90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17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南庄河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8.03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18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上杆河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7.85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19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玉晨河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5.98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茅山镇万家河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5.91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21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蔡巷河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2.34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22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浦溪河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3.89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23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唐谷河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3.37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24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六里河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5.22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25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桥头河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7.76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26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武岐河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8.24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27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山岗河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6.02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28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亭子东山河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29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老便民河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7.65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30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杜家山闸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1.03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31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夏荫坝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2.64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32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天王坝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1.39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bidi="ar"/>
              </w:rPr>
              <w:t>合计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五、验收情况</w:t>
      </w:r>
    </w:p>
    <w:p>
      <w:pPr>
        <w:keepNext w:val="0"/>
        <w:keepLines w:val="0"/>
        <w:pageBreakBefore w:val="0"/>
        <w:widowControl w:val="0"/>
        <w:tabs>
          <w:tab w:val="left" w:pos="4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句容市水利局在局二楼会议室主持召开句容市2023年度农村生态河道划界项目验收会议，参加会议的有句容市自然资源和规划局、句容市水利局、句容市重点小型农田水利项目建设管理处、</w:t>
      </w:r>
      <w:r>
        <w:rPr>
          <w:rFonts w:hint="default" w:ascii="Times New Roman" w:hAnsi="Times New Roman" w:eastAsia="方正仿宋_GB2312" w:cs="Times New Roman"/>
          <w:spacing w:val="0"/>
          <w:w w:val="100"/>
          <w:position w:val="0"/>
          <w:sz w:val="32"/>
          <w:szCs w:val="32"/>
        </w:rPr>
        <w:t>镇江市长江测绘研究院有限公司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（施工单位）等单位代表，会议成立验收委员会，委员会听取了建设、施工等单位的工作报告，查阅了各项成果资料，对有关问题进行了质询，并进行了认真讨论，一致同意通过句容市29条农村生态河道、杜家山闸、夏荫坝以及天王坝管理范围划定工作的验收。</w:t>
      </w:r>
    </w:p>
    <w:p>
      <w:pPr>
        <w:pStyle w:val="4"/>
        <w:ind w:firstLine="640" w:firstLineChars="200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六、成果展示（局部图片）</w:t>
      </w:r>
    </w:p>
    <w:p>
      <w:pPr>
        <w:pStyle w:val="4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1、陈家圩河划界图</w:t>
      </w:r>
    </w:p>
    <w:p>
      <w:pPr>
        <w:pStyle w:val="4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38750" cy="2893695"/>
            <wp:effectExtent l="0" t="0" r="3810" b="1905"/>
            <wp:docPr id="1" name="图片 1" descr="75a029d880932a58eaba5cc21e208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a029d880932a58eaba5cc21e208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1"/>
        </w:numP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泗庄排水河划界图</w:t>
      </w:r>
    </w:p>
    <w:p>
      <w:pPr>
        <w:pStyle w:val="4"/>
        <w:numPr>
          <w:ilvl w:val="0"/>
          <w:numId w:val="0"/>
        </w:numPr>
        <w:jc w:val="both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73675" cy="3308985"/>
            <wp:effectExtent l="0" t="0" r="14605" b="13335"/>
            <wp:docPr id="2" name="图片 2" descr="e77adbbdb5e684eb6e4bb1459032e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7adbbdb5e684eb6e4bb1459032e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jc w:val="both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FF2EB2-ED99-4120-9EC0-2B34B54E58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3E0E992-4B0D-4772-91E9-2AE11A39920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2D1B4C2-FF58-4211-AAEC-7B71A1F6CE1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928BE6B-AC02-4468-8525-A104A206DB2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AD322810-040C-49D2-9662-6C8504F2783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024DE23A-8BEE-4FD6-8C5E-CB8786C15B6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BD0F5"/>
    <w:multiLevelType w:val="singleLevel"/>
    <w:tmpl w:val="8F1BD0F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OWViNGMzM2U4NDNiMjg3MTFlMjJjZmFjNTA2NzUifQ=="/>
  </w:docVars>
  <w:rsids>
    <w:rsidRoot w:val="1B6F1D5C"/>
    <w:rsid w:val="0AF9109F"/>
    <w:rsid w:val="0D1036FE"/>
    <w:rsid w:val="0EA3258E"/>
    <w:rsid w:val="10584265"/>
    <w:rsid w:val="106E487B"/>
    <w:rsid w:val="131B45D5"/>
    <w:rsid w:val="1B6F1D5C"/>
    <w:rsid w:val="1BF9747E"/>
    <w:rsid w:val="1C511068"/>
    <w:rsid w:val="1D8443E2"/>
    <w:rsid w:val="1EA25BAA"/>
    <w:rsid w:val="29D4744E"/>
    <w:rsid w:val="2AB347A4"/>
    <w:rsid w:val="2BB459FD"/>
    <w:rsid w:val="30C2192D"/>
    <w:rsid w:val="3C546787"/>
    <w:rsid w:val="3DE82D2A"/>
    <w:rsid w:val="418D4040"/>
    <w:rsid w:val="43571767"/>
    <w:rsid w:val="4911089E"/>
    <w:rsid w:val="4BED5E07"/>
    <w:rsid w:val="559E04E1"/>
    <w:rsid w:val="572B3C88"/>
    <w:rsid w:val="579E3923"/>
    <w:rsid w:val="5A8903CD"/>
    <w:rsid w:val="5B312652"/>
    <w:rsid w:val="5B515073"/>
    <w:rsid w:val="5C7B0ED6"/>
    <w:rsid w:val="5E097A3E"/>
    <w:rsid w:val="5FB24F46"/>
    <w:rsid w:val="627D50B1"/>
    <w:rsid w:val="692F270F"/>
    <w:rsid w:val="6AC41FD2"/>
    <w:rsid w:val="74556BCB"/>
    <w:rsid w:val="74664EE4"/>
    <w:rsid w:val="78736ECF"/>
    <w:rsid w:val="78A23B1E"/>
    <w:rsid w:val="791D747D"/>
    <w:rsid w:val="7E3C03A5"/>
    <w:rsid w:val="7FE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spacing w:before="120" w:after="120"/>
      <w:ind w:left="200" w:leftChars="200"/>
      <w:outlineLvl w:val="2"/>
    </w:pPr>
    <w:rPr>
      <w:rFonts w:eastAsia="黑体"/>
      <w:b/>
      <w:bCs/>
      <w:sz w:val="24"/>
      <w:szCs w:val="32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240" w:lineRule="auto"/>
      <w:outlineLvl w:val="3"/>
    </w:pPr>
    <w:rPr>
      <w:rFonts w:ascii="Arial" w:hAnsi="Arial"/>
      <w:b/>
      <w:sz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pPr>
      <w:autoSpaceDE w:val="0"/>
      <w:autoSpaceDN w:val="0"/>
      <w:adjustRightInd w:val="0"/>
      <w:jc w:val="center"/>
    </w:pPr>
    <w:rPr>
      <w:rFonts w:ascii="宋体" w:hAnsi="宋体"/>
      <w:color w:val="000000"/>
      <w:sz w:val="24"/>
      <w:szCs w:val="2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 #1|1"/>
    <w:basedOn w:val="1"/>
    <w:autoRedefine/>
    <w:qFormat/>
    <w:uiPriority w:val="0"/>
    <w:pPr>
      <w:widowControl w:val="0"/>
      <w:shd w:val="clear" w:color="auto" w:fill="auto"/>
      <w:spacing w:after="620" w:line="624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color w:val="252525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2021-12-31T01:26:00Z</dcterms:created>
  <dc:creator>Jun</dc:creator>
  <cp:lastModifiedBy>小孩</cp:lastModifiedBy>
  <cp:lastPrinted>2024-03-22T06:58:00Z</cp:lastPrinted>
  <dcterms:modified xsi:type="dcterms:W3CDTF">2024-04-12T00:59:08Z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4111253D05A14AB18B7826B1876DCB43_13</vt:lpwstr>
  </property>
</Properties>
</file>