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48DC5F">
      <w:pPr>
        <w:rPr>
          <w:rFonts w:hint="eastAsia" w:ascii="宋体" w:hAnsi="宋体" w:eastAsia="宋体" w:cs="宋体"/>
        </w:rPr>
      </w:pPr>
      <w:r>
        <w:rPr>
          <w:rFonts w:hint="eastAsia" w:ascii="宋体" w:hAnsi="宋体" w:eastAsia="宋体" w:cs="宋体"/>
          <w:color w:val="FF0000"/>
          <w:lang w:val="en-US" w:eastAsia="zh-CN"/>
        </w:rPr>
        <w:t xml:space="preserve">     </w:t>
      </w:r>
      <w:r>
        <w:rPr>
          <w:rFonts w:hint="eastAsia" w:ascii="宋体" w:hAnsi="宋体" w:eastAsia="宋体" w:cs="宋体"/>
          <w:color w:val="FF0000"/>
        </w:rPr>
        <w:t xml:space="preserve"> </w:t>
      </w:r>
    </w:p>
    <w:p w14:paraId="017D0E59">
      <w:pPr>
        <w:rPr>
          <w:rFonts w:hint="eastAsia" w:ascii="宋体" w:hAnsi="宋体" w:eastAsia="宋体" w:cs="宋体"/>
        </w:rPr>
      </w:pPr>
    </w:p>
    <w:p w14:paraId="36999655">
      <w:pPr>
        <w:pStyle w:val="2"/>
        <w:spacing w:line="480" w:lineRule="auto"/>
        <w:jc w:val="both"/>
        <w:rPr>
          <w:rFonts w:hint="eastAsia" w:ascii="宋体" w:hAnsi="宋体" w:cs="宋体"/>
          <w:color w:val="auto"/>
          <w:sz w:val="52"/>
          <w:szCs w:val="52"/>
        </w:rPr>
      </w:pPr>
    </w:p>
    <w:p w14:paraId="6E1525F9">
      <w:pPr>
        <w:pStyle w:val="2"/>
        <w:spacing w:line="480" w:lineRule="auto"/>
        <w:rPr>
          <w:rFonts w:hint="eastAsia" w:ascii="宋体" w:hAnsi="宋体" w:cs="宋体"/>
          <w:color w:val="auto"/>
          <w:sz w:val="52"/>
          <w:szCs w:val="52"/>
        </w:rPr>
      </w:pPr>
      <w:bookmarkStart w:id="0" w:name="_Toc32007"/>
      <w:r>
        <w:rPr>
          <w:rFonts w:hint="eastAsia" w:ascii="宋体" w:hAnsi="宋体" w:cs="宋体"/>
          <w:color w:val="auto"/>
          <w:sz w:val="72"/>
          <w:szCs w:val="72"/>
        </w:rPr>
        <w:t>建设项目环境影响报告表</w:t>
      </w:r>
      <w:bookmarkEnd w:id="0"/>
    </w:p>
    <w:p w14:paraId="6751B66E">
      <w:pPr>
        <w:pStyle w:val="2"/>
        <w:spacing w:line="480" w:lineRule="auto"/>
        <w:rPr>
          <w:rFonts w:hint="eastAsia" w:ascii="宋体" w:hAnsi="宋体" w:cs="宋体"/>
          <w:color w:val="auto"/>
          <w:sz w:val="52"/>
          <w:szCs w:val="52"/>
        </w:rPr>
      </w:pPr>
      <w:bookmarkStart w:id="1" w:name="_Toc25202"/>
      <w:r>
        <w:rPr>
          <w:rFonts w:hint="eastAsia" w:ascii="宋体" w:hAnsi="宋体" w:cs="宋体"/>
          <w:color w:val="auto"/>
          <w:sz w:val="52"/>
          <w:szCs w:val="52"/>
        </w:rPr>
        <w:t>（污染影响类）</w:t>
      </w:r>
      <w:bookmarkEnd w:id="1"/>
    </w:p>
    <w:p w14:paraId="7CCE169A">
      <w:pPr>
        <w:rPr>
          <w:rFonts w:hint="eastAsia" w:ascii="宋体" w:hAnsi="宋体" w:eastAsia="宋体" w:cs="宋体"/>
        </w:rPr>
      </w:pPr>
    </w:p>
    <w:p w14:paraId="1EAC8EFF">
      <w:pPr>
        <w:rPr>
          <w:rFonts w:hint="eastAsia" w:ascii="宋体" w:hAnsi="宋体" w:eastAsia="宋体" w:cs="宋体"/>
        </w:rPr>
      </w:pPr>
    </w:p>
    <w:p w14:paraId="58606569">
      <w:pPr>
        <w:rPr>
          <w:rFonts w:hint="eastAsia" w:ascii="宋体" w:hAnsi="宋体" w:eastAsia="宋体" w:cs="宋体"/>
        </w:rPr>
      </w:pPr>
    </w:p>
    <w:p w14:paraId="74672E86">
      <w:pPr>
        <w:pStyle w:val="10"/>
        <w:rPr>
          <w:rFonts w:hint="eastAsia" w:ascii="宋体" w:hAnsi="宋体" w:eastAsia="宋体" w:cs="宋体"/>
        </w:rPr>
      </w:pPr>
    </w:p>
    <w:p w14:paraId="00E5F06E">
      <w:pPr>
        <w:pStyle w:val="16"/>
        <w:numPr>
          <w:ilvl w:val="0"/>
          <w:numId w:val="0"/>
        </w:numPr>
        <w:rPr>
          <w:rFonts w:hint="eastAsia" w:ascii="宋体" w:hAnsi="宋体" w:eastAsia="宋体" w:cs="宋体"/>
        </w:rPr>
      </w:pPr>
    </w:p>
    <w:p w14:paraId="0313594B">
      <w:pPr>
        <w:rPr>
          <w:rFonts w:hint="eastAsia" w:ascii="宋体" w:hAnsi="宋体" w:eastAsia="宋体" w:cs="宋体"/>
        </w:rPr>
      </w:pPr>
    </w:p>
    <w:p w14:paraId="732335EC">
      <w:pPr>
        <w:rPr>
          <w:rFonts w:hint="eastAsia" w:ascii="宋体" w:hAnsi="宋体" w:eastAsia="宋体" w:cs="宋体"/>
        </w:rPr>
      </w:pPr>
    </w:p>
    <w:p w14:paraId="135F2FDC">
      <w:pPr>
        <w:rPr>
          <w:rFonts w:hint="eastAsia" w:ascii="宋体" w:hAnsi="宋体" w:eastAsia="宋体" w:cs="宋体"/>
        </w:rPr>
      </w:pPr>
    </w:p>
    <w:p w14:paraId="09857412">
      <w:pPr>
        <w:pStyle w:val="3"/>
        <w:adjustRightInd w:val="0"/>
        <w:snapToGrid w:val="0"/>
        <w:spacing w:line="480" w:lineRule="auto"/>
        <w:jc w:val="center"/>
        <w:rPr>
          <w:rFonts w:eastAsia="宋体" w:cs="宋体"/>
          <w:sz w:val="30"/>
          <w:szCs w:val="30"/>
          <w:u w:val="single"/>
        </w:rPr>
      </w:pPr>
      <w:r>
        <w:rPr>
          <w:rFonts w:hint="eastAsia" w:eastAsia="宋体" w:cs="宋体"/>
          <w:sz w:val="30"/>
          <w:szCs w:val="30"/>
        </w:rPr>
        <w:t>项目名称：</w:t>
      </w:r>
      <w:r>
        <w:rPr>
          <w:rFonts w:hint="eastAsia" w:eastAsia="宋体" w:cs="宋体"/>
          <w:sz w:val="30"/>
          <w:szCs w:val="30"/>
          <w:u w:val="single"/>
        </w:rPr>
        <w:t xml:space="preserve">  </w:t>
      </w:r>
      <w:r>
        <w:rPr>
          <w:rFonts w:hint="eastAsia" w:eastAsia="宋体" w:cs="宋体"/>
          <w:sz w:val="30"/>
          <w:szCs w:val="30"/>
          <w:u w:val="single"/>
          <w:lang w:eastAsia="zh-CN"/>
        </w:rPr>
        <w:t>医疗器械零部件制造项目</w:t>
      </w:r>
      <w:r>
        <w:rPr>
          <w:rFonts w:hint="eastAsia" w:eastAsia="宋体" w:cs="宋体"/>
          <w:sz w:val="30"/>
          <w:szCs w:val="30"/>
          <w:u w:val="single"/>
        </w:rPr>
        <w:t xml:space="preserve">  </w:t>
      </w:r>
    </w:p>
    <w:p w14:paraId="6F5E4FD4">
      <w:pPr>
        <w:pStyle w:val="3"/>
        <w:adjustRightInd w:val="0"/>
        <w:snapToGrid w:val="0"/>
        <w:spacing w:line="480" w:lineRule="auto"/>
        <w:jc w:val="center"/>
        <w:rPr>
          <w:rFonts w:eastAsia="宋体" w:cs="宋体"/>
          <w:sz w:val="30"/>
          <w:szCs w:val="30"/>
        </w:rPr>
      </w:pPr>
      <w:r>
        <w:rPr>
          <w:rFonts w:hint="eastAsia" w:eastAsia="宋体" w:cs="宋体"/>
          <w:sz w:val="30"/>
          <w:szCs w:val="30"/>
        </w:rPr>
        <w:t>建设单位（盖章）：</w:t>
      </w:r>
      <w:r>
        <w:rPr>
          <w:rFonts w:hint="eastAsia" w:eastAsia="宋体" w:cs="宋体"/>
          <w:sz w:val="30"/>
          <w:szCs w:val="30"/>
          <w:u w:val="single"/>
        </w:rPr>
        <w:t xml:space="preserve">  </w:t>
      </w:r>
      <w:r>
        <w:rPr>
          <w:rFonts w:hint="eastAsia" w:eastAsia="宋体" w:cs="宋体"/>
          <w:sz w:val="30"/>
          <w:szCs w:val="30"/>
          <w:u w:val="single"/>
          <w:lang w:eastAsia="zh-CN"/>
        </w:rPr>
        <w:t>江苏隆协机械有限公司</w:t>
      </w:r>
      <w:r>
        <w:rPr>
          <w:rFonts w:hint="eastAsia" w:eastAsia="宋体" w:cs="宋体"/>
          <w:sz w:val="30"/>
          <w:szCs w:val="30"/>
          <w:u w:val="single"/>
        </w:rPr>
        <w:t xml:space="preserve"> </w:t>
      </w:r>
    </w:p>
    <w:p w14:paraId="450B035A">
      <w:pPr>
        <w:pStyle w:val="3"/>
        <w:adjustRightInd w:val="0"/>
        <w:snapToGrid w:val="0"/>
        <w:spacing w:line="480" w:lineRule="auto"/>
        <w:jc w:val="center"/>
        <w:rPr>
          <w:rFonts w:eastAsia="宋体" w:cs="宋体"/>
        </w:rPr>
      </w:pPr>
      <w:r>
        <w:rPr>
          <w:rFonts w:hint="eastAsia" w:eastAsia="宋体" w:cs="宋体"/>
          <w:sz w:val="30"/>
          <w:szCs w:val="30"/>
        </w:rPr>
        <w:t>编制日期：</w:t>
      </w:r>
      <w:r>
        <w:rPr>
          <w:rFonts w:hint="eastAsia" w:eastAsia="宋体" w:cs="宋体"/>
          <w:sz w:val="30"/>
          <w:szCs w:val="30"/>
          <w:u w:val="single"/>
        </w:rPr>
        <w:t xml:space="preserve">  202</w:t>
      </w:r>
      <w:r>
        <w:rPr>
          <w:rFonts w:hint="eastAsia" w:eastAsia="宋体" w:cs="宋体"/>
          <w:sz w:val="30"/>
          <w:szCs w:val="30"/>
          <w:u w:val="single"/>
          <w:lang w:val="en-US" w:eastAsia="zh-CN"/>
        </w:rPr>
        <w:t>5</w:t>
      </w:r>
      <w:r>
        <w:rPr>
          <w:rFonts w:hint="eastAsia" w:eastAsia="宋体" w:cs="宋体"/>
          <w:sz w:val="30"/>
          <w:szCs w:val="30"/>
          <w:u w:val="single"/>
        </w:rPr>
        <w:t>年</w:t>
      </w:r>
      <w:r>
        <w:rPr>
          <w:rFonts w:hint="eastAsia" w:eastAsia="宋体" w:cs="宋体"/>
          <w:sz w:val="30"/>
          <w:szCs w:val="30"/>
          <w:u w:val="single"/>
          <w:lang w:val="en-US" w:eastAsia="zh-CN"/>
        </w:rPr>
        <w:t>7</w:t>
      </w:r>
      <w:bookmarkStart w:id="187" w:name="_GoBack"/>
      <w:bookmarkEnd w:id="187"/>
      <w:r>
        <w:rPr>
          <w:rFonts w:hint="eastAsia" w:eastAsia="宋体" w:cs="宋体"/>
          <w:sz w:val="30"/>
          <w:szCs w:val="30"/>
          <w:u w:val="single"/>
        </w:rPr>
        <w:t>月</w:t>
      </w:r>
      <w:bookmarkStart w:id="2" w:name="_Hlk57884087"/>
      <w:r>
        <w:rPr>
          <w:rFonts w:hint="eastAsia" w:eastAsia="宋体" w:cs="宋体"/>
          <w:sz w:val="30"/>
          <w:szCs w:val="30"/>
          <w:u w:val="single"/>
        </w:rPr>
        <w:t xml:space="preserve">  </w:t>
      </w:r>
    </w:p>
    <w:p w14:paraId="1EC26F75">
      <w:pPr>
        <w:rPr>
          <w:rFonts w:hint="eastAsia" w:ascii="宋体" w:hAnsi="宋体" w:eastAsia="宋体" w:cs="宋体"/>
        </w:rPr>
      </w:pPr>
    </w:p>
    <w:p w14:paraId="1A8796B5">
      <w:pPr>
        <w:pStyle w:val="10"/>
        <w:rPr>
          <w:rFonts w:hint="eastAsia"/>
        </w:rPr>
      </w:pPr>
    </w:p>
    <w:bookmarkEnd w:id="2"/>
    <w:p w14:paraId="22635B3F">
      <w:pPr>
        <w:pStyle w:val="2"/>
        <w:rPr>
          <w:rFonts w:hint="eastAsia" w:ascii="宋体" w:hAnsi="宋体" w:cs="宋体"/>
          <w:color w:val="auto"/>
        </w:rPr>
      </w:pPr>
      <w:bookmarkStart w:id="3" w:name="_Toc730"/>
      <w:r>
        <w:rPr>
          <w:rFonts w:hint="eastAsia" w:ascii="宋体" w:hAnsi="宋体" w:cs="宋体"/>
          <w:color w:val="auto"/>
        </w:rPr>
        <w:t>中华人民共和国生态环境部制</w:t>
      </w:r>
      <w:bookmarkEnd w:id="3"/>
    </w:p>
    <w:p w14:paraId="29AC37AF">
      <w:pPr>
        <w:rPr>
          <w:rFonts w:hint="eastAsia" w:ascii="宋体" w:hAnsi="宋体" w:eastAsia="宋体" w:cs="宋体"/>
        </w:rPr>
      </w:pPr>
    </w:p>
    <w:p w14:paraId="240678E6">
      <w:pPr>
        <w:rPr>
          <w:rFonts w:hint="eastAsia" w:ascii="宋体" w:hAnsi="宋体" w:eastAsia="宋体" w:cs="宋体"/>
        </w:rPr>
        <w:sectPr>
          <w:footerReference r:id="rId5" w:type="default"/>
          <w:footerReference r:id="rId6" w:type="even"/>
          <w:pgSz w:w="11906" w:h="16838"/>
          <w:pgMar w:top="1440" w:right="1800" w:bottom="1440" w:left="1800" w:header="851" w:footer="1077" w:gutter="0"/>
          <w:pgBorders>
            <w:top w:val="none" w:sz="0" w:space="0"/>
            <w:left w:val="none" w:sz="0" w:space="0"/>
            <w:bottom w:val="none" w:sz="0" w:space="0"/>
            <w:right w:val="none" w:sz="0" w:space="0"/>
          </w:pgBorders>
          <w:pgNumType w:start="3"/>
          <w:cols w:space="720" w:num="1"/>
          <w:docGrid w:linePitch="312" w:charSpace="0"/>
        </w:sectPr>
      </w:pPr>
    </w:p>
    <w:p w14:paraId="242A4D0C">
      <w:pPr>
        <w:pStyle w:val="2"/>
        <w:rPr>
          <w:rFonts w:hint="eastAsia" w:ascii="宋体" w:hAnsi="宋体" w:cs="宋体"/>
          <w:color w:val="auto"/>
        </w:rPr>
      </w:pPr>
      <w:bookmarkStart w:id="4" w:name="_Toc15064"/>
      <w:r>
        <w:rPr>
          <w:rFonts w:hint="eastAsia" w:ascii="宋体" w:hAnsi="宋体" w:cs="宋体"/>
          <w:color w:val="auto"/>
        </w:rPr>
        <w:t>目  录</w:t>
      </w:r>
      <w:bookmarkEnd w:id="4"/>
    </w:p>
    <w:p w14:paraId="77DA41DD">
      <w:pPr>
        <w:pStyle w:val="22"/>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TOC \o "1-1" \h \u </w:instrText>
      </w:r>
      <w:r>
        <w:rPr>
          <w:rFonts w:hint="eastAsia" w:ascii="宋体" w:hAnsi="宋体" w:eastAsia="宋体" w:cs="宋体"/>
        </w:rPr>
        <w:fldChar w:fldCharType="separate"/>
      </w:r>
    </w:p>
    <w:p w14:paraId="2DAEAAAD">
      <w:pPr>
        <w:pStyle w:val="22"/>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_Toc26032 </w:instrText>
      </w:r>
      <w:r>
        <w:rPr>
          <w:rFonts w:hint="eastAsia" w:ascii="宋体" w:hAnsi="宋体" w:eastAsia="宋体" w:cs="宋体"/>
        </w:rPr>
        <w:fldChar w:fldCharType="separate"/>
      </w:r>
      <w:r>
        <w:rPr>
          <w:rFonts w:hint="eastAsia" w:ascii="宋体" w:hAnsi="宋体" w:eastAsia="宋体" w:cs="宋体"/>
        </w:rPr>
        <w:t>一、建设项目基本情况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_Toc26032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rPr>
        <w:fldChar w:fldCharType="end"/>
      </w:r>
    </w:p>
    <w:p w14:paraId="210370E7">
      <w:pPr>
        <w:pStyle w:val="22"/>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_Toc20835 </w:instrText>
      </w:r>
      <w:r>
        <w:rPr>
          <w:rFonts w:hint="eastAsia" w:ascii="宋体" w:hAnsi="宋体" w:eastAsia="宋体" w:cs="宋体"/>
        </w:rPr>
        <w:fldChar w:fldCharType="separate"/>
      </w:r>
      <w:r>
        <w:rPr>
          <w:rFonts w:hint="eastAsia" w:ascii="宋体" w:hAnsi="宋体" w:eastAsia="宋体" w:cs="宋体"/>
        </w:rPr>
        <w:t>二、建设项目工程分析</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_Toc20835 \h </w:instrText>
      </w:r>
      <w:r>
        <w:rPr>
          <w:rFonts w:hint="eastAsia" w:ascii="宋体" w:hAnsi="宋体" w:eastAsia="宋体" w:cs="宋体"/>
        </w:rPr>
        <w:fldChar w:fldCharType="separate"/>
      </w:r>
      <w:r>
        <w:rPr>
          <w:rFonts w:hint="eastAsia" w:ascii="宋体" w:hAnsi="宋体" w:eastAsia="宋体" w:cs="宋体"/>
        </w:rPr>
        <w:t>23</w:t>
      </w:r>
      <w:r>
        <w:rPr>
          <w:rFonts w:hint="eastAsia" w:ascii="宋体" w:hAnsi="宋体" w:eastAsia="宋体" w:cs="宋体"/>
        </w:rPr>
        <w:fldChar w:fldCharType="end"/>
      </w:r>
      <w:r>
        <w:rPr>
          <w:rFonts w:hint="eastAsia" w:ascii="宋体" w:hAnsi="宋体" w:eastAsia="宋体" w:cs="宋体"/>
        </w:rPr>
        <w:fldChar w:fldCharType="end"/>
      </w:r>
    </w:p>
    <w:p w14:paraId="5B5A1E73">
      <w:pPr>
        <w:pStyle w:val="22"/>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_Toc23429 </w:instrText>
      </w:r>
      <w:r>
        <w:rPr>
          <w:rFonts w:hint="eastAsia" w:ascii="宋体" w:hAnsi="宋体" w:eastAsia="宋体" w:cs="宋体"/>
        </w:rPr>
        <w:fldChar w:fldCharType="separate"/>
      </w:r>
      <w:r>
        <w:rPr>
          <w:rFonts w:hint="eastAsia" w:ascii="宋体" w:hAnsi="宋体" w:eastAsia="宋体" w:cs="宋体"/>
        </w:rPr>
        <w:t>三、区域环境质量现状、环境保护目标及评价标准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_Toc23429 \h </w:instrText>
      </w:r>
      <w:r>
        <w:rPr>
          <w:rFonts w:hint="eastAsia" w:ascii="宋体" w:hAnsi="宋体" w:eastAsia="宋体" w:cs="宋体"/>
        </w:rPr>
        <w:fldChar w:fldCharType="separate"/>
      </w:r>
      <w:r>
        <w:rPr>
          <w:rFonts w:hint="eastAsia" w:ascii="宋体" w:hAnsi="宋体" w:eastAsia="宋体" w:cs="宋体"/>
        </w:rPr>
        <w:t>37</w:t>
      </w:r>
      <w:r>
        <w:rPr>
          <w:rFonts w:hint="eastAsia" w:ascii="宋体" w:hAnsi="宋体" w:eastAsia="宋体" w:cs="宋体"/>
        </w:rPr>
        <w:fldChar w:fldCharType="end"/>
      </w:r>
      <w:r>
        <w:rPr>
          <w:rFonts w:hint="eastAsia" w:ascii="宋体" w:hAnsi="宋体" w:eastAsia="宋体" w:cs="宋体"/>
        </w:rPr>
        <w:fldChar w:fldCharType="end"/>
      </w:r>
    </w:p>
    <w:p w14:paraId="77D71C69">
      <w:pPr>
        <w:pStyle w:val="22"/>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_Toc24474 </w:instrText>
      </w:r>
      <w:r>
        <w:rPr>
          <w:rFonts w:hint="eastAsia" w:ascii="宋体" w:hAnsi="宋体" w:eastAsia="宋体" w:cs="宋体"/>
        </w:rPr>
        <w:fldChar w:fldCharType="separate"/>
      </w:r>
      <w:r>
        <w:rPr>
          <w:rFonts w:hint="eastAsia" w:ascii="宋体" w:hAnsi="宋体" w:eastAsia="宋体" w:cs="宋体"/>
        </w:rPr>
        <w:t>四、主要环境影响和保护措施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_Toc24474 \h </w:instrText>
      </w:r>
      <w:r>
        <w:rPr>
          <w:rFonts w:hint="eastAsia" w:ascii="宋体" w:hAnsi="宋体" w:eastAsia="宋体" w:cs="宋体"/>
        </w:rPr>
        <w:fldChar w:fldCharType="separate"/>
      </w:r>
      <w:r>
        <w:rPr>
          <w:rFonts w:hint="eastAsia" w:ascii="宋体" w:hAnsi="宋体" w:eastAsia="宋体" w:cs="宋体"/>
        </w:rPr>
        <w:t>45</w:t>
      </w:r>
      <w:r>
        <w:rPr>
          <w:rFonts w:hint="eastAsia" w:ascii="宋体" w:hAnsi="宋体" w:eastAsia="宋体" w:cs="宋体"/>
        </w:rPr>
        <w:fldChar w:fldCharType="end"/>
      </w:r>
      <w:r>
        <w:rPr>
          <w:rFonts w:hint="eastAsia" w:ascii="宋体" w:hAnsi="宋体" w:eastAsia="宋体" w:cs="宋体"/>
        </w:rPr>
        <w:fldChar w:fldCharType="end"/>
      </w:r>
    </w:p>
    <w:p w14:paraId="128AAE42">
      <w:pPr>
        <w:pStyle w:val="22"/>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_Toc26802 </w:instrText>
      </w:r>
      <w:r>
        <w:rPr>
          <w:rFonts w:hint="eastAsia" w:ascii="宋体" w:hAnsi="宋体" w:eastAsia="宋体" w:cs="宋体"/>
        </w:rPr>
        <w:fldChar w:fldCharType="separate"/>
      </w:r>
      <w:r>
        <w:rPr>
          <w:rFonts w:hint="eastAsia" w:ascii="宋体" w:hAnsi="宋体" w:eastAsia="宋体" w:cs="宋体"/>
        </w:rPr>
        <w:t>五、环境保护措施监督检查清单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_Toc26802 \h </w:instrText>
      </w:r>
      <w:r>
        <w:rPr>
          <w:rFonts w:hint="eastAsia" w:ascii="宋体" w:hAnsi="宋体" w:eastAsia="宋体" w:cs="宋体"/>
        </w:rPr>
        <w:fldChar w:fldCharType="separate"/>
      </w:r>
      <w:r>
        <w:rPr>
          <w:rFonts w:hint="eastAsia" w:ascii="宋体" w:hAnsi="宋体" w:eastAsia="宋体" w:cs="宋体"/>
        </w:rPr>
        <w:t>62</w:t>
      </w:r>
      <w:r>
        <w:rPr>
          <w:rFonts w:hint="eastAsia" w:ascii="宋体" w:hAnsi="宋体" w:eastAsia="宋体" w:cs="宋体"/>
        </w:rPr>
        <w:fldChar w:fldCharType="end"/>
      </w:r>
      <w:r>
        <w:rPr>
          <w:rFonts w:hint="eastAsia" w:ascii="宋体" w:hAnsi="宋体" w:eastAsia="宋体" w:cs="宋体"/>
        </w:rPr>
        <w:fldChar w:fldCharType="end"/>
      </w:r>
    </w:p>
    <w:p w14:paraId="345D83E3">
      <w:pPr>
        <w:pStyle w:val="22"/>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_Toc4339 </w:instrText>
      </w:r>
      <w:r>
        <w:rPr>
          <w:rFonts w:hint="eastAsia" w:ascii="宋体" w:hAnsi="宋体" w:eastAsia="宋体" w:cs="宋体"/>
        </w:rPr>
        <w:fldChar w:fldCharType="separate"/>
      </w:r>
      <w:r>
        <w:rPr>
          <w:rFonts w:hint="eastAsia" w:ascii="宋体" w:hAnsi="宋体" w:eastAsia="宋体" w:cs="宋体"/>
        </w:rPr>
        <w:t>六、结论</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_Toc4339 \h </w:instrText>
      </w:r>
      <w:r>
        <w:rPr>
          <w:rFonts w:hint="eastAsia" w:ascii="宋体" w:hAnsi="宋体" w:eastAsia="宋体" w:cs="宋体"/>
        </w:rPr>
        <w:fldChar w:fldCharType="separate"/>
      </w:r>
      <w:r>
        <w:rPr>
          <w:rFonts w:hint="eastAsia" w:ascii="宋体" w:hAnsi="宋体" w:eastAsia="宋体" w:cs="宋体"/>
        </w:rPr>
        <w:t>85</w:t>
      </w:r>
      <w:r>
        <w:rPr>
          <w:rFonts w:hint="eastAsia" w:ascii="宋体" w:hAnsi="宋体" w:eastAsia="宋体" w:cs="宋体"/>
        </w:rPr>
        <w:fldChar w:fldCharType="end"/>
      </w:r>
      <w:r>
        <w:rPr>
          <w:rFonts w:hint="eastAsia" w:ascii="宋体" w:hAnsi="宋体" w:eastAsia="宋体" w:cs="宋体"/>
        </w:rPr>
        <w:fldChar w:fldCharType="end"/>
      </w:r>
    </w:p>
    <w:p w14:paraId="19A5B13F">
      <w:pPr>
        <w:pStyle w:val="2"/>
        <w:jc w:val="both"/>
        <w:rPr>
          <w:rFonts w:hint="eastAsia" w:ascii="宋体" w:hAnsi="宋体" w:cs="宋体"/>
          <w:color w:val="auto"/>
        </w:rPr>
      </w:pPr>
      <w:r>
        <w:rPr>
          <w:rFonts w:hint="eastAsia" w:ascii="宋体" w:hAnsi="宋体" w:cs="宋体"/>
          <w:color w:val="auto"/>
        </w:rPr>
        <w:fldChar w:fldCharType="end"/>
      </w:r>
    </w:p>
    <w:p w14:paraId="2F12464E">
      <w:pPr>
        <w:pStyle w:val="16"/>
        <w:numPr>
          <w:ilvl w:val="0"/>
          <w:numId w:val="0"/>
        </w:numPr>
        <w:adjustRightInd w:val="0"/>
        <w:snapToGrid w:val="0"/>
        <w:rPr>
          <w:rFonts w:hint="eastAsia" w:ascii="宋体" w:hAnsi="宋体" w:eastAsia="宋体" w:cs="宋体"/>
        </w:rPr>
      </w:pPr>
      <w:r>
        <w:rPr>
          <w:rFonts w:hint="eastAsia" w:ascii="宋体" w:hAnsi="宋体" w:eastAsia="宋体" w:cs="宋体"/>
          <w:b/>
          <w:bCs/>
        </w:rPr>
        <w:t>附图：</w:t>
      </w:r>
    </w:p>
    <w:p w14:paraId="0F103B03">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tLeast"/>
        <w:textAlignment w:val="auto"/>
        <w:rPr>
          <w:rFonts w:hint="eastAsia" w:ascii="宋体" w:hAnsi="宋体" w:eastAsia="宋体" w:cs="宋体"/>
        </w:rPr>
      </w:pPr>
      <w:r>
        <w:rPr>
          <w:rFonts w:hint="eastAsia" w:ascii="宋体" w:hAnsi="宋体" w:eastAsia="宋体" w:cs="宋体"/>
        </w:rPr>
        <w:t>附图1 建设项目区域地理位置图</w:t>
      </w:r>
    </w:p>
    <w:p w14:paraId="7818962D">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tLeast"/>
        <w:textAlignment w:val="auto"/>
        <w:rPr>
          <w:rFonts w:hint="eastAsia" w:ascii="宋体" w:hAnsi="宋体" w:eastAsia="宋体" w:cs="宋体"/>
        </w:rPr>
      </w:pPr>
      <w:r>
        <w:rPr>
          <w:rFonts w:hint="eastAsia" w:ascii="宋体" w:hAnsi="宋体" w:eastAsia="宋体" w:cs="宋体"/>
        </w:rPr>
        <w:t>附图2 建设项目周边500m环境概况图</w:t>
      </w:r>
    </w:p>
    <w:p w14:paraId="3FC0A8E4">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tLeast"/>
        <w:textAlignment w:val="auto"/>
        <w:rPr>
          <w:rFonts w:hint="eastAsia" w:ascii="宋体" w:hAnsi="宋体" w:eastAsia="宋体" w:cs="宋体"/>
        </w:rPr>
      </w:pPr>
      <w:r>
        <w:rPr>
          <w:rFonts w:hint="eastAsia" w:ascii="宋体" w:hAnsi="宋体" w:eastAsia="宋体" w:cs="宋体"/>
        </w:rPr>
        <w:t xml:space="preserve">附图3 </w:t>
      </w:r>
      <w:r>
        <w:rPr>
          <w:rFonts w:hint="eastAsia" w:ascii="宋体" w:hAnsi="宋体" w:eastAsia="宋体" w:cs="宋体"/>
          <w:lang w:eastAsia="zh-CN"/>
        </w:rPr>
        <w:t>建设项目厂</w:t>
      </w:r>
      <w:r>
        <w:rPr>
          <w:rFonts w:hint="eastAsia" w:ascii="宋体" w:hAnsi="宋体" w:eastAsia="宋体" w:cs="宋体"/>
          <w:lang w:val="en-US" w:eastAsia="zh-CN"/>
        </w:rPr>
        <w:t>区</w:t>
      </w:r>
      <w:r>
        <w:rPr>
          <w:rFonts w:hint="eastAsia" w:ascii="宋体" w:hAnsi="宋体" w:eastAsia="宋体" w:cs="宋体"/>
        </w:rPr>
        <w:t>平面布置图</w:t>
      </w:r>
    </w:p>
    <w:p w14:paraId="01B9F902">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tLeast"/>
        <w:textAlignment w:val="auto"/>
        <w:rPr>
          <w:rFonts w:hint="eastAsia" w:ascii="宋体" w:hAnsi="宋体" w:eastAsia="宋体" w:cs="宋体"/>
        </w:rPr>
      </w:pPr>
      <w:r>
        <w:rPr>
          <w:rFonts w:hint="eastAsia" w:ascii="宋体" w:hAnsi="宋体" w:eastAsia="宋体" w:cs="宋体"/>
        </w:rPr>
        <w:t>附图4 建设项目生态环境图</w:t>
      </w:r>
    </w:p>
    <w:p w14:paraId="310963BA">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tLeast"/>
        <w:textAlignment w:val="auto"/>
        <w:rPr>
          <w:rFonts w:hint="default" w:ascii="宋体" w:hAnsi="宋体" w:eastAsia="宋体" w:cs="宋体"/>
          <w:lang w:val="en-US" w:eastAsia="zh-CN"/>
        </w:rPr>
      </w:pPr>
      <w:r>
        <w:rPr>
          <w:rFonts w:hint="eastAsia" w:ascii="宋体" w:hAnsi="宋体" w:eastAsia="宋体" w:cs="宋体"/>
          <w:lang w:val="en-US" w:eastAsia="zh-CN"/>
        </w:rPr>
        <w:t xml:space="preserve">附图5 镇江市生态管控单元分布图 </w:t>
      </w:r>
    </w:p>
    <w:p w14:paraId="03138EBA">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tLeast"/>
        <w:textAlignment w:val="auto"/>
        <w:rPr>
          <w:rFonts w:hint="eastAsia" w:ascii="宋体" w:hAnsi="宋体" w:eastAsia="宋体" w:cs="宋体"/>
          <w:lang w:val="en-US" w:eastAsia="zh-CN"/>
        </w:rPr>
      </w:pPr>
      <w:r>
        <w:rPr>
          <w:rFonts w:hint="eastAsia" w:ascii="宋体" w:hAnsi="宋体" w:eastAsia="宋体" w:cs="宋体"/>
          <w:lang w:val="en-US" w:eastAsia="zh-CN"/>
        </w:rPr>
        <w:t>附图6 项目卫生防护距离包络图</w:t>
      </w:r>
    </w:p>
    <w:p w14:paraId="13B67C13">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tLeast"/>
        <w:textAlignment w:val="auto"/>
        <w:rPr>
          <w:rFonts w:hint="default" w:ascii="宋体" w:hAnsi="宋体" w:eastAsia="宋体" w:cs="宋体"/>
          <w:lang w:val="en-US" w:eastAsia="zh-CN"/>
        </w:rPr>
      </w:pPr>
    </w:p>
    <w:p w14:paraId="1E92253F">
      <w:pPr>
        <w:pStyle w:val="16"/>
        <w:numPr>
          <w:ilvl w:val="0"/>
          <w:numId w:val="0"/>
        </w:numPr>
        <w:adjustRightInd w:val="0"/>
        <w:snapToGrid w:val="0"/>
        <w:rPr>
          <w:rFonts w:hint="eastAsia" w:ascii="宋体" w:hAnsi="宋体" w:eastAsia="宋体" w:cs="宋体"/>
          <w:lang w:val="en-US" w:eastAsia="zh-CN"/>
        </w:rPr>
      </w:pPr>
      <w:r>
        <w:rPr>
          <w:rFonts w:hint="eastAsia" w:ascii="宋体" w:hAnsi="宋体" w:eastAsia="宋体" w:cs="宋体"/>
          <w:lang w:val="en-US" w:eastAsia="zh-CN"/>
        </w:rPr>
        <w:t>附图7 建设项目规划图</w:t>
      </w:r>
    </w:p>
    <w:p w14:paraId="2A214FA9">
      <w:pPr>
        <w:pStyle w:val="16"/>
        <w:numPr>
          <w:ilvl w:val="0"/>
          <w:numId w:val="0"/>
        </w:numPr>
        <w:adjustRightInd w:val="0"/>
        <w:snapToGrid w:val="0"/>
        <w:rPr>
          <w:rFonts w:hint="eastAsia" w:ascii="宋体" w:hAnsi="宋体" w:eastAsia="宋体" w:cs="宋体"/>
          <w:b/>
          <w:bCs/>
        </w:rPr>
      </w:pPr>
    </w:p>
    <w:p w14:paraId="6A464B3E">
      <w:pPr>
        <w:pStyle w:val="16"/>
        <w:numPr>
          <w:ilvl w:val="0"/>
          <w:numId w:val="0"/>
        </w:numPr>
        <w:adjustRightInd w:val="0"/>
        <w:snapToGrid w:val="0"/>
        <w:rPr>
          <w:rFonts w:ascii="宋体" w:hAnsi="宋体" w:eastAsia="宋体" w:cs="宋体"/>
        </w:rPr>
      </w:pPr>
      <w:r>
        <w:rPr>
          <w:rFonts w:hint="eastAsia" w:ascii="宋体" w:hAnsi="宋体" w:eastAsia="宋体" w:cs="宋体"/>
          <w:b/>
          <w:bCs/>
        </w:rPr>
        <w:t>附件：</w:t>
      </w:r>
    </w:p>
    <w:p w14:paraId="6A8C6CB5">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宋体" w:hAnsi="宋体" w:eastAsia="宋体" w:cs="宋体"/>
          <w:color w:val="auto"/>
        </w:rPr>
      </w:pPr>
      <w:r>
        <w:rPr>
          <w:rFonts w:hint="eastAsia" w:ascii="宋体" w:hAnsi="宋体" w:eastAsia="宋体" w:cs="宋体"/>
          <w:color w:val="auto"/>
        </w:rPr>
        <w:t>附件1 备案证</w:t>
      </w:r>
    </w:p>
    <w:p w14:paraId="12811F57">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宋体" w:hAnsi="宋体" w:eastAsia="宋体" w:cs="宋体"/>
          <w:color w:val="auto"/>
        </w:rPr>
      </w:pPr>
      <w:r>
        <w:rPr>
          <w:rFonts w:hint="eastAsia" w:ascii="宋体" w:hAnsi="宋体" w:eastAsia="宋体" w:cs="宋体"/>
          <w:color w:val="auto"/>
        </w:rPr>
        <w:t>附件2 企业营业执照</w:t>
      </w:r>
    </w:p>
    <w:p w14:paraId="253F9C8F">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default" w:ascii="宋体" w:hAnsi="宋体" w:eastAsia="宋体" w:cs="宋体"/>
          <w:color w:val="auto"/>
          <w:lang w:val="en-US" w:eastAsia="zh-CN"/>
        </w:rPr>
      </w:pPr>
      <w:r>
        <w:rPr>
          <w:rFonts w:hint="eastAsia" w:ascii="宋体" w:hAnsi="宋体" w:eastAsia="宋体" w:cs="宋体"/>
          <w:color w:val="auto"/>
        </w:rPr>
        <w:t xml:space="preserve">附件3 </w:t>
      </w:r>
      <w:r>
        <w:rPr>
          <w:rFonts w:hint="eastAsia" w:ascii="宋体" w:hAnsi="宋体" w:eastAsia="宋体" w:cs="宋体"/>
          <w:color w:val="auto"/>
          <w:lang w:val="en-US" w:eastAsia="zh-CN"/>
        </w:rPr>
        <w:t>法人身份证</w:t>
      </w:r>
    </w:p>
    <w:p w14:paraId="7CEB7551">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宋体" w:hAnsi="宋体" w:eastAsia="宋体" w:cs="宋体"/>
          <w:color w:val="auto"/>
          <w:lang w:val="en-US" w:eastAsia="zh-CN"/>
        </w:rPr>
      </w:pPr>
      <w:r>
        <w:rPr>
          <w:rFonts w:hint="eastAsia" w:ascii="宋体" w:hAnsi="宋体" w:eastAsia="宋体" w:cs="宋体"/>
          <w:color w:val="auto"/>
        </w:rPr>
        <w:t>附件4 土地证</w:t>
      </w:r>
      <w:r>
        <w:rPr>
          <w:rFonts w:hint="eastAsia" w:ascii="宋体" w:hAnsi="宋体" w:eastAsia="宋体" w:cs="宋体"/>
          <w:color w:val="auto"/>
          <w:lang w:val="en-US" w:eastAsia="zh-CN"/>
        </w:rPr>
        <w:t>明</w:t>
      </w:r>
    </w:p>
    <w:p w14:paraId="0ED6A6C6">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宋体" w:hAnsi="宋体" w:eastAsia="宋体" w:cs="宋体"/>
          <w:color w:val="auto"/>
          <w:lang w:eastAsia="zh-CN"/>
        </w:rPr>
      </w:pPr>
      <w:r>
        <w:rPr>
          <w:rFonts w:hint="eastAsia" w:ascii="宋体" w:hAnsi="宋体" w:eastAsia="宋体" w:cs="宋体"/>
          <w:color w:val="auto"/>
        </w:rPr>
        <w:t>附件</w:t>
      </w:r>
      <w:r>
        <w:rPr>
          <w:rFonts w:hint="eastAsia" w:ascii="宋体" w:hAnsi="宋体" w:eastAsia="宋体" w:cs="宋体"/>
          <w:color w:val="auto"/>
          <w:lang w:val="en-US" w:eastAsia="zh-CN"/>
        </w:rPr>
        <w:t>5</w:t>
      </w:r>
      <w:r>
        <w:rPr>
          <w:rFonts w:hint="eastAsia" w:ascii="宋体" w:hAnsi="宋体" w:eastAsia="宋体" w:cs="宋体"/>
          <w:color w:val="auto"/>
        </w:rPr>
        <w:t xml:space="preserve"> </w:t>
      </w:r>
      <w:r>
        <w:rPr>
          <w:rFonts w:hint="eastAsia" w:ascii="宋体" w:hAnsi="宋体" w:eastAsia="宋体" w:cs="宋体"/>
          <w:color w:val="auto"/>
          <w:lang w:val="en-US" w:eastAsia="zh-CN"/>
        </w:rPr>
        <w:t>土地情况说明</w:t>
      </w:r>
    </w:p>
    <w:p w14:paraId="6ECEA3CB">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宋体" w:hAnsi="宋体" w:eastAsia="宋体" w:cs="宋体"/>
          <w:color w:val="auto"/>
          <w:lang w:eastAsia="zh-CN"/>
        </w:rPr>
      </w:pPr>
      <w:r>
        <w:rPr>
          <w:rFonts w:hint="eastAsia" w:ascii="宋体" w:hAnsi="宋体" w:eastAsia="宋体" w:cs="宋体"/>
          <w:color w:val="auto"/>
        </w:rPr>
        <w:t>附件</w:t>
      </w:r>
      <w:r>
        <w:rPr>
          <w:rFonts w:hint="eastAsia" w:ascii="宋体" w:hAnsi="宋体" w:eastAsia="宋体" w:cs="宋体"/>
          <w:color w:val="auto"/>
          <w:lang w:val="en-US" w:eastAsia="zh-CN"/>
        </w:rPr>
        <w:t>6</w:t>
      </w:r>
      <w:r>
        <w:rPr>
          <w:rFonts w:hint="eastAsia" w:ascii="宋体" w:hAnsi="宋体" w:eastAsia="宋体" w:cs="宋体"/>
          <w:color w:val="auto"/>
        </w:rPr>
        <w:t xml:space="preserve"> </w:t>
      </w:r>
      <w:r>
        <w:rPr>
          <w:rFonts w:hint="eastAsia" w:ascii="宋体" w:hAnsi="宋体" w:eastAsia="宋体" w:cs="宋体"/>
          <w:color w:val="auto"/>
          <w:lang w:val="en-US" w:eastAsia="zh-CN"/>
        </w:rPr>
        <w:t>接管证明</w:t>
      </w:r>
    </w:p>
    <w:p w14:paraId="5B6F8EAB">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宋体" w:hAnsi="宋体" w:eastAsia="宋体" w:cs="宋体"/>
          <w:color w:val="auto"/>
          <w:lang w:val="en-US" w:eastAsia="zh-CN"/>
        </w:rPr>
      </w:pPr>
      <w:r>
        <w:rPr>
          <w:rFonts w:hint="eastAsia" w:ascii="宋体" w:hAnsi="宋体" w:eastAsia="宋体" w:cs="宋体"/>
          <w:color w:val="auto"/>
        </w:rPr>
        <w:t>附件</w:t>
      </w:r>
      <w:r>
        <w:rPr>
          <w:rFonts w:hint="eastAsia" w:ascii="宋体" w:hAnsi="宋体" w:eastAsia="宋体" w:cs="宋体"/>
          <w:color w:val="auto"/>
          <w:lang w:val="en-US" w:eastAsia="zh-CN"/>
        </w:rPr>
        <w:t>7</w:t>
      </w:r>
      <w:r>
        <w:rPr>
          <w:rFonts w:hint="eastAsia" w:ascii="宋体" w:hAnsi="宋体" w:eastAsia="宋体" w:cs="宋体"/>
          <w:color w:val="auto"/>
        </w:rPr>
        <w:t xml:space="preserve"> 原辅材料MSDS</w:t>
      </w:r>
    </w:p>
    <w:p w14:paraId="462D5B89">
      <w:pPr>
        <w:pStyle w:val="10"/>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宋体" w:hAnsi="宋体" w:eastAsia="宋体" w:cs="宋体"/>
          <w:color w:val="auto"/>
        </w:rPr>
      </w:pPr>
      <w:r>
        <w:rPr>
          <w:rFonts w:hint="eastAsia" w:ascii="宋体" w:hAnsi="宋体" w:eastAsia="宋体" w:cs="宋体"/>
          <w:color w:val="auto"/>
        </w:rPr>
        <w:t>附件</w:t>
      </w:r>
      <w:r>
        <w:rPr>
          <w:rFonts w:hint="eastAsia" w:ascii="宋体" w:hAnsi="宋体" w:eastAsia="宋体" w:cs="宋体"/>
          <w:color w:val="auto"/>
          <w:lang w:val="en-US" w:eastAsia="zh-CN"/>
        </w:rPr>
        <w:t>8</w:t>
      </w:r>
      <w:r>
        <w:rPr>
          <w:rFonts w:hint="eastAsia" w:ascii="宋体" w:hAnsi="宋体" w:eastAsia="宋体" w:cs="宋体"/>
          <w:color w:val="auto"/>
        </w:rPr>
        <w:t xml:space="preserve"> </w:t>
      </w:r>
      <w:r>
        <w:rPr>
          <w:rFonts w:hint="eastAsia" w:ascii="宋体" w:hAnsi="宋体" w:eastAsia="宋体" w:cs="宋体"/>
          <w:color w:val="auto"/>
          <w:lang w:val="en-US" w:eastAsia="zh-CN"/>
        </w:rPr>
        <w:t>TSP</w:t>
      </w:r>
      <w:r>
        <w:rPr>
          <w:rFonts w:hint="eastAsia" w:ascii="宋体" w:hAnsi="宋体" w:eastAsia="宋体" w:cs="宋体"/>
          <w:color w:val="auto"/>
        </w:rPr>
        <w:t>环境质量检测报告</w:t>
      </w:r>
    </w:p>
    <w:p w14:paraId="74D763E8">
      <w:pPr>
        <w:pStyle w:val="10"/>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default" w:ascii="宋体" w:hAnsi="宋体" w:eastAsia="宋体" w:cs="宋体"/>
          <w:color w:val="auto"/>
          <w:lang w:val="en-US" w:eastAsia="zh-CN"/>
        </w:rPr>
      </w:pPr>
      <w:r>
        <w:rPr>
          <w:rFonts w:hint="eastAsia" w:ascii="宋体" w:hAnsi="宋体" w:eastAsia="宋体" w:cs="宋体"/>
          <w:color w:val="auto"/>
        </w:rPr>
        <w:t>附件</w:t>
      </w:r>
      <w:r>
        <w:rPr>
          <w:rFonts w:hint="eastAsia" w:ascii="宋体" w:hAnsi="宋体" w:eastAsia="宋体" w:cs="宋体"/>
          <w:color w:val="auto"/>
          <w:lang w:val="en-US" w:eastAsia="zh-CN"/>
        </w:rPr>
        <w:t>9</w:t>
      </w:r>
      <w:r>
        <w:rPr>
          <w:rFonts w:hint="eastAsia" w:ascii="宋体" w:hAnsi="宋体" w:eastAsia="宋体" w:cs="宋体"/>
          <w:color w:val="auto"/>
        </w:rPr>
        <w:t xml:space="preserve"> </w:t>
      </w:r>
      <w:r>
        <w:rPr>
          <w:rFonts w:hint="eastAsia" w:ascii="宋体" w:hAnsi="宋体" w:eastAsia="宋体" w:cs="宋体"/>
          <w:color w:val="auto"/>
          <w:lang w:val="en-US" w:eastAsia="zh-CN"/>
        </w:rPr>
        <w:t>噪声现状检测报告</w:t>
      </w:r>
    </w:p>
    <w:p w14:paraId="5E59226D">
      <w:pPr>
        <w:pStyle w:val="10"/>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附件10 节能承诺表</w:t>
      </w:r>
    </w:p>
    <w:p w14:paraId="5585F751">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附件11 公众参与调查表</w:t>
      </w:r>
    </w:p>
    <w:p w14:paraId="0C094F18">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default" w:ascii="宋体" w:hAnsi="宋体" w:eastAsia="宋体" w:cs="宋体"/>
          <w:color w:val="auto"/>
          <w:lang w:val="en-US" w:eastAsia="zh-CN"/>
        </w:rPr>
      </w:pPr>
      <w:r>
        <w:rPr>
          <w:rFonts w:hint="eastAsia" w:ascii="宋体" w:hAnsi="宋体" w:eastAsia="宋体" w:cs="宋体"/>
          <w:color w:val="auto"/>
          <w:lang w:val="en-US" w:eastAsia="zh-CN"/>
        </w:rPr>
        <w:t>附件12 项目环境影响评价公众参与信息公示</w:t>
      </w:r>
    </w:p>
    <w:p w14:paraId="373E353E">
      <w:pPr>
        <w:pStyle w:val="10"/>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宋体" w:hAnsi="宋体" w:eastAsia="宋体" w:cs="宋体"/>
        </w:rPr>
      </w:pPr>
      <w:r>
        <w:rPr>
          <w:rFonts w:hint="eastAsia" w:ascii="宋体" w:hAnsi="宋体" w:eastAsia="宋体" w:cs="宋体"/>
          <w:color w:val="auto"/>
          <w:lang w:val="en-US" w:eastAsia="zh-CN"/>
        </w:rPr>
        <w:t xml:space="preserve">附件13 </w:t>
      </w:r>
      <w:r>
        <w:rPr>
          <w:rFonts w:hint="eastAsia" w:ascii="宋体" w:hAnsi="宋体" w:eastAsia="宋体" w:cs="宋体"/>
          <w:color w:val="auto"/>
        </w:rPr>
        <w:t>委托书、确认单、声</w:t>
      </w:r>
      <w:r>
        <w:rPr>
          <w:rFonts w:hint="eastAsia" w:ascii="宋体" w:hAnsi="宋体" w:eastAsia="宋体" w:cs="宋体"/>
        </w:rPr>
        <w:t>明</w:t>
      </w:r>
    </w:p>
    <w:p w14:paraId="03CCA09F">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宋体" w:hAnsi="宋体" w:eastAsia="宋体" w:cs="宋体"/>
          <w:lang w:val="en-US" w:eastAsia="zh-CN"/>
        </w:rPr>
      </w:pPr>
      <w:r>
        <w:rPr>
          <w:rFonts w:hint="eastAsia" w:ascii="宋体" w:hAnsi="宋体" w:eastAsia="宋体" w:cs="宋体"/>
          <w:lang w:val="en-US" w:eastAsia="zh-CN"/>
        </w:rPr>
        <w:t>附件14 报批申请书</w:t>
      </w:r>
    </w:p>
    <w:p w14:paraId="0E4EFE12">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宋体" w:hAnsi="宋体" w:eastAsia="宋体" w:cs="宋体"/>
          <w:lang w:val="en-US" w:eastAsia="zh-CN"/>
        </w:rPr>
      </w:pPr>
      <w:r>
        <w:rPr>
          <w:rFonts w:hint="eastAsia" w:ascii="宋体" w:hAnsi="宋体" w:eastAsia="宋体" w:cs="宋体"/>
          <w:lang w:val="en-US" w:eastAsia="zh-CN"/>
        </w:rPr>
        <w:t>附件15 公示说明</w:t>
      </w:r>
    </w:p>
    <w:p w14:paraId="2D8147AA">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default" w:ascii="宋体" w:hAnsi="宋体" w:eastAsia="宋体" w:cs="宋体"/>
          <w:lang w:val="en-US" w:eastAsia="zh-CN"/>
        </w:rPr>
      </w:pPr>
      <w:r>
        <w:rPr>
          <w:rFonts w:hint="eastAsia" w:ascii="宋体" w:hAnsi="宋体" w:eastAsia="宋体" w:cs="宋体"/>
          <w:lang w:val="en-US" w:eastAsia="zh-CN"/>
        </w:rPr>
        <w:t>附件16 公示页面</w:t>
      </w:r>
    </w:p>
    <w:p w14:paraId="01A3D443">
      <w:pPr>
        <w:pStyle w:val="10"/>
        <w:adjustRightInd w:val="0"/>
        <w:snapToGrid w:val="0"/>
        <w:rPr>
          <w:rFonts w:hint="eastAsia" w:ascii="宋体" w:hAnsi="宋体" w:eastAsia="宋体" w:cs="宋体"/>
        </w:rPr>
        <w:sectPr>
          <w:footerReference r:id="rId7" w:type="default"/>
          <w:pgSz w:w="11906" w:h="16838"/>
          <w:pgMar w:top="1440" w:right="1800" w:bottom="1440" w:left="1800" w:header="851" w:footer="1077" w:gutter="0"/>
          <w:pgBorders>
            <w:top w:val="none" w:sz="0" w:space="0"/>
            <w:left w:val="none" w:sz="0" w:space="0"/>
            <w:bottom w:val="none" w:sz="0" w:space="0"/>
            <w:right w:val="none" w:sz="0" w:space="0"/>
          </w:pgBorders>
          <w:pgNumType w:start="1"/>
          <w:cols w:space="720" w:num="1"/>
          <w:docGrid w:linePitch="312" w:charSpace="0"/>
        </w:sectPr>
      </w:pPr>
    </w:p>
    <w:p w14:paraId="6B821F85">
      <w:pPr>
        <w:pStyle w:val="2"/>
        <w:jc w:val="left"/>
        <w:rPr>
          <w:rFonts w:hint="eastAsia" w:ascii="宋体" w:hAnsi="宋体" w:cs="宋体"/>
          <w:color w:val="auto"/>
        </w:rPr>
      </w:pPr>
      <w:bookmarkStart w:id="5" w:name="_Toc26032"/>
      <w:r>
        <w:rPr>
          <w:rFonts w:hint="eastAsia"/>
        </w:rPr>
        <w:t>一、建设项目基本情况</w:t>
      </w:r>
      <w:bookmarkEnd w:id="5"/>
    </w:p>
    <w:tbl>
      <w:tblPr>
        <w:tblStyle w:val="30"/>
        <w:tblW w:w="902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007"/>
        <w:gridCol w:w="1948"/>
        <w:gridCol w:w="1837"/>
        <w:gridCol w:w="3233"/>
      </w:tblGrid>
      <w:tr w14:paraId="0B684B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007" w:type="dxa"/>
            <w:noWrap w:val="0"/>
            <w:tcMar>
              <w:top w:w="16" w:type="dxa"/>
              <w:left w:w="16" w:type="dxa"/>
              <w:right w:w="16" w:type="dxa"/>
            </w:tcMar>
            <w:vAlign w:val="center"/>
          </w:tcPr>
          <w:p w14:paraId="7D4B0A49">
            <w:pPr>
              <w:pStyle w:val="53"/>
              <w:keepNext w:val="0"/>
              <w:keepLines w:val="0"/>
              <w:suppressLineNumbers w:val="0"/>
              <w:spacing w:before="0" w:beforeAutospacing="0" w:after="0" w:afterAutospacing="0" w:line="440" w:lineRule="exact"/>
              <w:ind w:left="0" w:right="0"/>
              <w:rPr>
                <w:rFonts w:ascii="宋体" w:hAnsi="宋体" w:eastAsia="宋体" w:cs="宋体"/>
              </w:rPr>
            </w:pPr>
            <w:r>
              <w:rPr>
                <w:rFonts w:ascii="宋体" w:hAnsi="宋体" w:eastAsia="宋体" w:cs="宋体"/>
              </w:rPr>
              <w:t>建设项目名称</w:t>
            </w:r>
          </w:p>
        </w:tc>
        <w:tc>
          <w:tcPr>
            <w:tcW w:w="7018" w:type="dxa"/>
            <w:gridSpan w:val="3"/>
            <w:noWrap w:val="0"/>
            <w:vAlign w:val="center"/>
          </w:tcPr>
          <w:p w14:paraId="71E2DF04">
            <w:pPr>
              <w:pStyle w:val="53"/>
              <w:keepNext w:val="0"/>
              <w:keepLines w:val="0"/>
              <w:suppressLineNumbers w:val="0"/>
              <w:spacing w:before="0" w:beforeAutospacing="0" w:after="0" w:afterAutospacing="0" w:line="440" w:lineRule="exact"/>
              <w:ind w:left="0" w:right="0"/>
              <w:rPr>
                <w:rFonts w:hint="eastAsia" w:ascii="宋体" w:hAnsi="宋体" w:eastAsia="宋体" w:cs="宋体"/>
                <w:lang w:eastAsia="zh-CN"/>
              </w:rPr>
            </w:pPr>
            <w:r>
              <w:rPr>
                <w:rFonts w:hint="eastAsia" w:ascii="宋体" w:hAnsi="宋体" w:eastAsia="宋体" w:cs="宋体"/>
                <w:lang w:eastAsia="zh-CN"/>
              </w:rPr>
              <w:t>医疗器械零部件制造项目</w:t>
            </w:r>
          </w:p>
        </w:tc>
      </w:tr>
      <w:tr w14:paraId="798A56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007" w:type="dxa"/>
            <w:noWrap w:val="0"/>
            <w:tcMar>
              <w:top w:w="16" w:type="dxa"/>
              <w:left w:w="16" w:type="dxa"/>
              <w:right w:w="16" w:type="dxa"/>
            </w:tcMar>
            <w:vAlign w:val="center"/>
          </w:tcPr>
          <w:p w14:paraId="7AC15F80">
            <w:pPr>
              <w:pStyle w:val="53"/>
              <w:keepNext w:val="0"/>
              <w:keepLines w:val="0"/>
              <w:suppressLineNumbers w:val="0"/>
              <w:spacing w:before="0" w:beforeAutospacing="0" w:after="0" w:afterAutospacing="0" w:line="440" w:lineRule="exact"/>
              <w:ind w:left="0" w:right="0"/>
              <w:rPr>
                <w:rFonts w:ascii="宋体" w:hAnsi="宋体" w:eastAsia="宋体" w:cs="宋体"/>
              </w:rPr>
            </w:pPr>
            <w:r>
              <w:rPr>
                <w:rFonts w:ascii="宋体" w:hAnsi="宋体" w:eastAsia="宋体" w:cs="宋体"/>
              </w:rPr>
              <w:t>项目代码</w:t>
            </w:r>
          </w:p>
        </w:tc>
        <w:tc>
          <w:tcPr>
            <w:tcW w:w="7018" w:type="dxa"/>
            <w:gridSpan w:val="3"/>
            <w:noWrap w:val="0"/>
            <w:vAlign w:val="center"/>
          </w:tcPr>
          <w:p w14:paraId="42B2DADE">
            <w:pPr>
              <w:pStyle w:val="53"/>
              <w:keepNext w:val="0"/>
              <w:keepLines w:val="0"/>
              <w:suppressLineNumbers w:val="0"/>
              <w:spacing w:before="0" w:beforeAutospacing="0" w:after="0" w:afterAutospacing="0" w:line="440" w:lineRule="exact"/>
              <w:ind w:left="0" w:right="0"/>
              <w:rPr>
                <w:rFonts w:hint="default" w:ascii="宋体" w:hAnsi="宋体" w:eastAsia="宋体" w:cs="宋体"/>
                <w:lang w:val="en-US" w:eastAsia="zh-CN"/>
              </w:rPr>
            </w:pPr>
            <w:r>
              <w:rPr>
                <w:rFonts w:hint="eastAsia" w:ascii="宋体" w:hAnsi="宋体" w:eastAsia="宋体" w:cs="宋体"/>
                <w:lang w:val="en-US" w:eastAsia="zh-CN"/>
              </w:rPr>
              <w:t>2312-321183-89-01-811976</w:t>
            </w:r>
          </w:p>
        </w:tc>
      </w:tr>
      <w:tr w14:paraId="49DDCC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007" w:type="dxa"/>
            <w:noWrap w:val="0"/>
            <w:tcMar>
              <w:top w:w="16" w:type="dxa"/>
              <w:left w:w="16" w:type="dxa"/>
              <w:right w:w="16" w:type="dxa"/>
            </w:tcMar>
            <w:vAlign w:val="center"/>
          </w:tcPr>
          <w:p w14:paraId="0CA628E8">
            <w:pPr>
              <w:pStyle w:val="53"/>
              <w:keepNext w:val="0"/>
              <w:keepLines w:val="0"/>
              <w:suppressLineNumbers w:val="0"/>
              <w:spacing w:before="0" w:beforeAutospacing="0" w:after="0" w:afterAutospacing="0" w:line="440" w:lineRule="exact"/>
              <w:ind w:left="0" w:right="0"/>
              <w:rPr>
                <w:rFonts w:ascii="宋体" w:hAnsi="宋体" w:eastAsia="宋体" w:cs="宋体"/>
              </w:rPr>
            </w:pPr>
            <w:r>
              <w:rPr>
                <w:rFonts w:ascii="宋体" w:hAnsi="宋体" w:eastAsia="宋体" w:cs="宋体"/>
              </w:rPr>
              <w:t>建设单位联系人</w:t>
            </w:r>
          </w:p>
        </w:tc>
        <w:tc>
          <w:tcPr>
            <w:tcW w:w="1948" w:type="dxa"/>
            <w:noWrap w:val="0"/>
            <w:vAlign w:val="center"/>
          </w:tcPr>
          <w:p w14:paraId="74928D4C">
            <w:pPr>
              <w:pStyle w:val="53"/>
              <w:keepNext w:val="0"/>
              <w:keepLines w:val="0"/>
              <w:suppressLineNumbers w:val="0"/>
              <w:spacing w:before="0" w:beforeAutospacing="0" w:after="0" w:afterAutospacing="0" w:line="440" w:lineRule="exact"/>
              <w:ind w:left="0" w:right="0"/>
              <w:rPr>
                <w:rFonts w:ascii="宋体" w:hAnsi="宋体" w:eastAsia="宋体" w:cs="宋体"/>
              </w:rPr>
            </w:pPr>
            <w:r>
              <w:rPr>
                <w:rFonts w:hint="eastAsia" w:ascii="宋体" w:hAnsi="宋体" w:eastAsia="宋体" w:cs="宋体"/>
              </w:rPr>
              <w:t>陈向宏</w:t>
            </w:r>
          </w:p>
        </w:tc>
        <w:tc>
          <w:tcPr>
            <w:tcW w:w="1837" w:type="dxa"/>
            <w:noWrap w:val="0"/>
            <w:vAlign w:val="center"/>
          </w:tcPr>
          <w:p w14:paraId="069C9081">
            <w:pPr>
              <w:pStyle w:val="53"/>
              <w:keepNext w:val="0"/>
              <w:keepLines w:val="0"/>
              <w:suppressLineNumbers w:val="0"/>
              <w:spacing w:before="0" w:beforeAutospacing="0" w:after="0" w:afterAutospacing="0" w:line="440" w:lineRule="exact"/>
              <w:ind w:left="0" w:right="0"/>
              <w:rPr>
                <w:rFonts w:ascii="宋体" w:hAnsi="宋体" w:eastAsia="宋体" w:cs="宋体"/>
              </w:rPr>
            </w:pPr>
            <w:r>
              <w:rPr>
                <w:rFonts w:ascii="宋体" w:hAnsi="宋体" w:eastAsia="宋体" w:cs="宋体"/>
              </w:rPr>
              <w:t>联系方式</w:t>
            </w:r>
          </w:p>
        </w:tc>
        <w:tc>
          <w:tcPr>
            <w:tcW w:w="3233" w:type="dxa"/>
            <w:noWrap w:val="0"/>
            <w:vAlign w:val="center"/>
          </w:tcPr>
          <w:p w14:paraId="0519516A">
            <w:pPr>
              <w:pStyle w:val="53"/>
              <w:keepNext w:val="0"/>
              <w:keepLines w:val="0"/>
              <w:suppressLineNumbers w:val="0"/>
              <w:spacing w:before="0" w:beforeAutospacing="0" w:after="0" w:afterAutospacing="0" w:line="440" w:lineRule="exact"/>
              <w:ind w:left="0" w:right="0"/>
              <w:rPr>
                <w:rFonts w:ascii="宋体" w:hAnsi="宋体" w:eastAsia="宋体" w:cs="宋体"/>
              </w:rPr>
            </w:pPr>
            <w:r>
              <w:rPr>
                <w:rFonts w:hint="eastAsia" w:ascii="宋体" w:hAnsi="宋体" w:eastAsia="宋体" w:cs="宋体"/>
              </w:rPr>
              <w:t>15062231883</w:t>
            </w:r>
          </w:p>
        </w:tc>
      </w:tr>
      <w:tr w14:paraId="772CC1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007" w:type="dxa"/>
            <w:noWrap w:val="0"/>
            <w:tcMar>
              <w:top w:w="16" w:type="dxa"/>
              <w:left w:w="16" w:type="dxa"/>
              <w:right w:w="16" w:type="dxa"/>
            </w:tcMar>
            <w:vAlign w:val="center"/>
          </w:tcPr>
          <w:p w14:paraId="365B7733">
            <w:pPr>
              <w:pStyle w:val="53"/>
              <w:keepNext w:val="0"/>
              <w:keepLines w:val="0"/>
              <w:suppressLineNumbers w:val="0"/>
              <w:spacing w:before="0" w:beforeAutospacing="0" w:after="0" w:afterAutospacing="0" w:line="440" w:lineRule="exact"/>
              <w:ind w:left="0" w:right="0"/>
              <w:rPr>
                <w:rFonts w:ascii="宋体" w:hAnsi="宋体" w:eastAsia="宋体" w:cs="宋体"/>
              </w:rPr>
            </w:pPr>
            <w:r>
              <w:rPr>
                <w:rFonts w:ascii="宋体" w:hAnsi="宋体" w:eastAsia="宋体" w:cs="宋体"/>
              </w:rPr>
              <w:t>建设地点</w:t>
            </w:r>
          </w:p>
        </w:tc>
        <w:tc>
          <w:tcPr>
            <w:tcW w:w="7018" w:type="dxa"/>
            <w:gridSpan w:val="3"/>
            <w:noWrap w:val="0"/>
            <w:vAlign w:val="center"/>
          </w:tcPr>
          <w:p w14:paraId="2B27E600">
            <w:pPr>
              <w:pStyle w:val="53"/>
              <w:keepNext w:val="0"/>
              <w:keepLines w:val="0"/>
              <w:suppressLineNumbers w:val="0"/>
              <w:spacing w:before="0" w:beforeAutospacing="0" w:after="0" w:afterAutospacing="0" w:line="440" w:lineRule="exact"/>
              <w:ind w:left="0" w:right="0"/>
              <w:rPr>
                <w:rFonts w:hint="default" w:ascii="宋体" w:hAnsi="宋体" w:eastAsia="宋体" w:cs="宋体"/>
                <w:lang w:val="en-US" w:eastAsia="zh-CN"/>
              </w:rPr>
            </w:pPr>
            <w:r>
              <w:rPr>
                <w:rFonts w:ascii="宋体" w:hAnsi="宋体" w:eastAsia="宋体" w:cs="宋体"/>
              </w:rPr>
              <w:t>镇江市</w:t>
            </w:r>
            <w:r>
              <w:rPr>
                <w:rFonts w:hint="eastAsia" w:ascii="宋体" w:hAnsi="宋体" w:eastAsia="宋体" w:cs="宋体"/>
                <w:lang w:val="en-US" w:eastAsia="zh-CN"/>
              </w:rPr>
              <w:t>句容市边城镇陈武街137号</w:t>
            </w:r>
          </w:p>
        </w:tc>
      </w:tr>
      <w:tr w14:paraId="6F1B6B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007" w:type="dxa"/>
            <w:noWrap w:val="0"/>
            <w:tcMar>
              <w:top w:w="16" w:type="dxa"/>
              <w:left w:w="16" w:type="dxa"/>
              <w:right w:w="16" w:type="dxa"/>
            </w:tcMar>
            <w:vAlign w:val="center"/>
          </w:tcPr>
          <w:p w14:paraId="6F34CC5A">
            <w:pPr>
              <w:pStyle w:val="53"/>
              <w:keepNext w:val="0"/>
              <w:keepLines w:val="0"/>
              <w:suppressLineNumbers w:val="0"/>
              <w:spacing w:before="0" w:beforeAutospacing="0" w:after="0" w:afterAutospacing="0" w:line="440" w:lineRule="exact"/>
              <w:ind w:left="0" w:right="0"/>
              <w:rPr>
                <w:rFonts w:ascii="宋体" w:hAnsi="宋体" w:eastAsia="宋体" w:cs="宋体"/>
                <w:color w:val="FF0000"/>
              </w:rPr>
            </w:pPr>
            <w:r>
              <w:rPr>
                <w:rFonts w:ascii="宋体" w:hAnsi="宋体" w:eastAsia="宋体" w:cs="宋体"/>
              </w:rPr>
              <w:t>地理坐标</w:t>
            </w:r>
          </w:p>
        </w:tc>
        <w:tc>
          <w:tcPr>
            <w:tcW w:w="7018" w:type="dxa"/>
            <w:gridSpan w:val="3"/>
            <w:noWrap w:val="0"/>
            <w:vAlign w:val="center"/>
          </w:tcPr>
          <w:p w14:paraId="08C16D7D">
            <w:pPr>
              <w:pStyle w:val="53"/>
              <w:keepNext w:val="0"/>
              <w:keepLines w:val="0"/>
              <w:suppressLineNumbers w:val="0"/>
              <w:spacing w:before="0" w:beforeAutospacing="0" w:after="0" w:afterAutospacing="0" w:line="440" w:lineRule="exact"/>
              <w:ind w:left="0" w:right="0"/>
              <w:rPr>
                <w:rFonts w:ascii="宋体" w:hAnsi="宋体" w:eastAsia="宋体" w:cs="宋体"/>
                <w:color w:val="FF0000"/>
              </w:rPr>
            </w:pPr>
            <w:r>
              <w:rPr>
                <w:rFonts w:ascii="宋体" w:hAnsi="宋体" w:eastAsia="宋体" w:cs="宋体"/>
              </w:rPr>
              <w:t>（</w:t>
            </w:r>
            <w:r>
              <w:rPr>
                <w:rFonts w:ascii="宋体" w:hAnsi="宋体" w:eastAsia="宋体" w:cs="宋体"/>
                <w:u w:val="single"/>
              </w:rPr>
              <w:t xml:space="preserve"> 119 </w:t>
            </w:r>
            <w:r>
              <w:rPr>
                <w:rFonts w:ascii="宋体" w:hAnsi="宋体" w:eastAsia="宋体" w:cs="宋体"/>
              </w:rPr>
              <w:t>度</w:t>
            </w:r>
            <w:r>
              <w:rPr>
                <w:rFonts w:ascii="宋体" w:hAnsi="宋体" w:eastAsia="宋体" w:cs="宋体"/>
                <w:u w:val="single"/>
              </w:rPr>
              <w:t xml:space="preserve">  </w:t>
            </w:r>
            <w:r>
              <w:rPr>
                <w:rFonts w:hint="eastAsia" w:ascii="宋体" w:hAnsi="宋体" w:eastAsia="宋体" w:cs="宋体"/>
                <w:u w:val="single"/>
                <w:lang w:val="en-US" w:eastAsia="zh-CN"/>
              </w:rPr>
              <w:t>16</w:t>
            </w:r>
            <w:r>
              <w:rPr>
                <w:rFonts w:ascii="宋体" w:hAnsi="宋体" w:eastAsia="宋体" w:cs="宋体"/>
                <w:u w:val="single"/>
              </w:rPr>
              <w:t xml:space="preserve">  </w:t>
            </w:r>
            <w:r>
              <w:rPr>
                <w:rFonts w:ascii="宋体" w:hAnsi="宋体" w:eastAsia="宋体" w:cs="宋体"/>
              </w:rPr>
              <w:t>分</w:t>
            </w:r>
            <w:r>
              <w:rPr>
                <w:rFonts w:ascii="宋体" w:hAnsi="宋体" w:eastAsia="宋体" w:cs="宋体"/>
                <w:u w:val="single"/>
              </w:rPr>
              <w:t xml:space="preserve">  </w:t>
            </w:r>
            <w:r>
              <w:rPr>
                <w:rFonts w:hint="eastAsia" w:ascii="宋体" w:hAnsi="宋体" w:eastAsia="宋体" w:cs="宋体"/>
                <w:u w:val="single"/>
                <w:lang w:val="en-US" w:eastAsia="zh-CN"/>
              </w:rPr>
              <w:t>13.98</w:t>
            </w:r>
            <w:r>
              <w:rPr>
                <w:rFonts w:ascii="宋体" w:hAnsi="宋体" w:eastAsia="宋体" w:cs="宋体"/>
                <w:u w:val="single"/>
              </w:rPr>
              <w:t xml:space="preserve">0  </w:t>
            </w:r>
            <w:r>
              <w:rPr>
                <w:rFonts w:ascii="宋体" w:hAnsi="宋体" w:eastAsia="宋体" w:cs="宋体"/>
              </w:rPr>
              <w:t>秒，</w:t>
            </w:r>
            <w:r>
              <w:rPr>
                <w:rFonts w:ascii="宋体" w:hAnsi="宋体" w:eastAsia="宋体" w:cs="宋体"/>
                <w:u w:val="single"/>
              </w:rPr>
              <w:t xml:space="preserve">  32  </w:t>
            </w:r>
            <w:r>
              <w:rPr>
                <w:rFonts w:ascii="宋体" w:hAnsi="宋体" w:eastAsia="宋体" w:cs="宋体"/>
              </w:rPr>
              <w:t>度</w:t>
            </w:r>
            <w:r>
              <w:rPr>
                <w:rFonts w:ascii="宋体" w:hAnsi="宋体" w:eastAsia="宋体" w:cs="宋体"/>
                <w:u w:val="single"/>
              </w:rPr>
              <w:t xml:space="preserve">  1  </w:t>
            </w:r>
            <w:r>
              <w:rPr>
                <w:rFonts w:ascii="宋体" w:hAnsi="宋体" w:eastAsia="宋体" w:cs="宋体"/>
              </w:rPr>
              <w:t>分</w:t>
            </w:r>
            <w:r>
              <w:rPr>
                <w:rFonts w:ascii="宋体" w:hAnsi="宋体" w:eastAsia="宋体" w:cs="宋体"/>
                <w:u w:val="single"/>
              </w:rPr>
              <w:t xml:space="preserve">  3</w:t>
            </w:r>
            <w:r>
              <w:rPr>
                <w:rFonts w:hint="eastAsia" w:ascii="宋体" w:hAnsi="宋体" w:eastAsia="宋体" w:cs="宋体"/>
                <w:u w:val="single"/>
                <w:lang w:val="en-US" w:eastAsia="zh-CN"/>
              </w:rPr>
              <w:t>6.470</w:t>
            </w:r>
            <w:r>
              <w:rPr>
                <w:rFonts w:ascii="宋体" w:hAnsi="宋体" w:eastAsia="宋体" w:cs="宋体"/>
                <w:u w:val="single"/>
              </w:rPr>
              <w:t xml:space="preserve">  </w:t>
            </w:r>
            <w:r>
              <w:rPr>
                <w:rFonts w:ascii="宋体" w:hAnsi="宋体" w:eastAsia="宋体" w:cs="宋体"/>
              </w:rPr>
              <w:t>秒）</w:t>
            </w:r>
          </w:p>
        </w:tc>
      </w:tr>
      <w:tr w14:paraId="084240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007" w:type="dxa"/>
            <w:noWrap w:val="0"/>
            <w:tcMar>
              <w:top w:w="16" w:type="dxa"/>
              <w:left w:w="16" w:type="dxa"/>
              <w:right w:w="16" w:type="dxa"/>
            </w:tcMar>
            <w:vAlign w:val="center"/>
          </w:tcPr>
          <w:p w14:paraId="0E828016">
            <w:pPr>
              <w:pStyle w:val="53"/>
              <w:keepNext w:val="0"/>
              <w:keepLines w:val="0"/>
              <w:suppressLineNumbers w:val="0"/>
              <w:spacing w:before="0" w:beforeAutospacing="0" w:after="0" w:afterAutospacing="0" w:line="440" w:lineRule="exact"/>
              <w:ind w:left="0" w:right="0"/>
              <w:rPr>
                <w:rFonts w:ascii="宋体" w:hAnsi="宋体" w:eastAsia="宋体" w:cs="宋体"/>
              </w:rPr>
            </w:pPr>
            <w:r>
              <w:rPr>
                <w:rFonts w:ascii="宋体" w:hAnsi="宋体" w:eastAsia="宋体" w:cs="宋体"/>
              </w:rPr>
              <w:t>国民经济</w:t>
            </w:r>
          </w:p>
          <w:p w14:paraId="17E928A5">
            <w:pPr>
              <w:pStyle w:val="53"/>
              <w:keepNext w:val="0"/>
              <w:keepLines w:val="0"/>
              <w:suppressLineNumbers w:val="0"/>
              <w:spacing w:before="0" w:beforeAutospacing="0" w:after="0" w:afterAutospacing="0" w:line="440" w:lineRule="exact"/>
              <w:ind w:left="0" w:right="0"/>
              <w:rPr>
                <w:rFonts w:ascii="宋体" w:hAnsi="宋体" w:eastAsia="宋体" w:cs="宋体"/>
              </w:rPr>
            </w:pPr>
            <w:r>
              <w:rPr>
                <w:rFonts w:ascii="宋体" w:hAnsi="宋体" w:eastAsia="宋体" w:cs="宋体"/>
              </w:rPr>
              <w:t>行业类别</w:t>
            </w:r>
          </w:p>
        </w:tc>
        <w:tc>
          <w:tcPr>
            <w:tcW w:w="1948" w:type="dxa"/>
            <w:noWrap w:val="0"/>
            <w:vAlign w:val="center"/>
          </w:tcPr>
          <w:p w14:paraId="1B9D1E08">
            <w:pPr>
              <w:pStyle w:val="10"/>
              <w:keepNext w:val="0"/>
              <w:keepLines w:val="0"/>
              <w:suppressLineNumbers w:val="0"/>
              <w:adjustRightInd w:val="0"/>
              <w:snapToGrid w:val="0"/>
              <w:spacing w:before="0" w:beforeAutospacing="0" w:after="0" w:afterAutospacing="0" w:line="440" w:lineRule="exact"/>
              <w:ind w:left="0" w:right="0"/>
              <w:rPr>
                <w:rFonts w:hint="eastAsia" w:ascii="宋体" w:hAnsi="宋体" w:eastAsia="宋体" w:cs="宋体"/>
              </w:rPr>
            </w:pPr>
            <w:r>
              <w:rPr>
                <w:rFonts w:hint="eastAsia" w:ascii="宋体" w:hAnsi="宋体" w:eastAsia="宋体" w:cs="宋体"/>
              </w:rPr>
              <w:t>其他医疗设备及器械制造（C3</w:t>
            </w:r>
            <w:r>
              <w:rPr>
                <w:rFonts w:hint="eastAsia" w:ascii="宋体" w:hAnsi="宋体" w:eastAsia="宋体" w:cs="宋体"/>
                <w:lang w:val="en-US" w:eastAsia="zh-CN"/>
              </w:rPr>
              <w:t>589</w:t>
            </w:r>
            <w:r>
              <w:rPr>
                <w:rFonts w:hint="eastAsia" w:ascii="宋体" w:hAnsi="宋体" w:eastAsia="宋体" w:cs="宋体"/>
              </w:rPr>
              <w:t>）</w:t>
            </w:r>
          </w:p>
        </w:tc>
        <w:tc>
          <w:tcPr>
            <w:tcW w:w="1837" w:type="dxa"/>
            <w:noWrap w:val="0"/>
            <w:vAlign w:val="center"/>
          </w:tcPr>
          <w:p w14:paraId="7B4C5267">
            <w:pPr>
              <w:pStyle w:val="53"/>
              <w:keepNext w:val="0"/>
              <w:keepLines w:val="0"/>
              <w:suppressLineNumbers w:val="0"/>
              <w:spacing w:before="0" w:beforeAutospacing="0" w:after="0" w:afterAutospacing="0" w:line="440" w:lineRule="exact"/>
              <w:ind w:left="0" w:right="0"/>
              <w:rPr>
                <w:rFonts w:ascii="宋体" w:hAnsi="宋体" w:eastAsia="宋体" w:cs="宋体"/>
              </w:rPr>
            </w:pPr>
            <w:bookmarkStart w:id="6" w:name="_Hlk49843745"/>
            <w:r>
              <w:rPr>
                <w:rFonts w:ascii="宋体" w:hAnsi="宋体" w:eastAsia="宋体" w:cs="宋体"/>
              </w:rPr>
              <w:t>建设项目</w:t>
            </w:r>
          </w:p>
          <w:p w14:paraId="335F7857">
            <w:pPr>
              <w:pStyle w:val="53"/>
              <w:keepNext w:val="0"/>
              <w:keepLines w:val="0"/>
              <w:suppressLineNumbers w:val="0"/>
              <w:spacing w:before="0" w:beforeAutospacing="0" w:after="0" w:afterAutospacing="0" w:line="440" w:lineRule="exact"/>
              <w:ind w:left="0" w:right="0"/>
              <w:rPr>
                <w:rFonts w:ascii="宋体" w:hAnsi="宋体" w:eastAsia="宋体" w:cs="宋体"/>
              </w:rPr>
            </w:pPr>
            <w:r>
              <w:rPr>
                <w:rFonts w:ascii="宋体" w:hAnsi="宋体" w:eastAsia="宋体" w:cs="宋体"/>
              </w:rPr>
              <w:t>行业类别</w:t>
            </w:r>
            <w:bookmarkEnd w:id="6"/>
          </w:p>
        </w:tc>
        <w:tc>
          <w:tcPr>
            <w:tcW w:w="3233" w:type="dxa"/>
            <w:noWrap w:val="0"/>
            <w:vAlign w:val="center"/>
          </w:tcPr>
          <w:p w14:paraId="6A00014B">
            <w:pPr>
              <w:pStyle w:val="53"/>
              <w:keepNext w:val="0"/>
              <w:keepLines w:val="0"/>
              <w:suppressLineNumbers w:val="0"/>
              <w:spacing w:before="0" w:beforeAutospacing="0" w:after="0" w:afterAutospacing="0" w:line="440" w:lineRule="exact"/>
              <w:ind w:left="0" w:right="0"/>
              <w:rPr>
                <w:rFonts w:ascii="宋体" w:hAnsi="宋体" w:eastAsia="宋体" w:cs="宋体"/>
              </w:rPr>
            </w:pPr>
            <w:r>
              <w:rPr>
                <w:rFonts w:ascii="宋体" w:hAnsi="宋体" w:eastAsia="宋体" w:cs="宋体"/>
                <w:lang w:val="en-US" w:eastAsia="zh-CN"/>
              </w:rPr>
              <w:t>三十二、专用设备制造业 35</w:t>
            </w:r>
            <w:r>
              <w:rPr>
                <w:rFonts w:hint="eastAsia" w:ascii="宋体" w:hAnsi="宋体" w:eastAsia="宋体" w:cs="宋体"/>
                <w:lang w:val="en-US" w:eastAsia="zh-CN"/>
              </w:rPr>
              <w:t>；70、医疗仪器设备及器械制造358；</w:t>
            </w:r>
          </w:p>
        </w:tc>
      </w:tr>
      <w:tr w14:paraId="617EF9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007" w:type="dxa"/>
            <w:noWrap w:val="0"/>
            <w:tcMar>
              <w:top w:w="16" w:type="dxa"/>
              <w:left w:w="16" w:type="dxa"/>
              <w:right w:w="16" w:type="dxa"/>
            </w:tcMar>
            <w:vAlign w:val="center"/>
          </w:tcPr>
          <w:p w14:paraId="0E2A33E5">
            <w:pPr>
              <w:pStyle w:val="53"/>
              <w:keepNext w:val="0"/>
              <w:keepLines w:val="0"/>
              <w:suppressLineNumbers w:val="0"/>
              <w:spacing w:before="0" w:beforeAutospacing="0" w:after="0" w:afterAutospacing="0" w:line="440" w:lineRule="exact"/>
              <w:ind w:left="0" w:right="0"/>
              <w:rPr>
                <w:rFonts w:ascii="宋体" w:hAnsi="宋体" w:eastAsia="宋体" w:cs="宋体"/>
              </w:rPr>
            </w:pPr>
            <w:r>
              <w:rPr>
                <w:rFonts w:ascii="宋体" w:hAnsi="宋体" w:eastAsia="宋体" w:cs="宋体"/>
              </w:rPr>
              <w:t>建设性质</w:t>
            </w:r>
          </w:p>
        </w:tc>
        <w:tc>
          <w:tcPr>
            <w:tcW w:w="1948" w:type="dxa"/>
            <w:noWrap w:val="0"/>
            <w:vAlign w:val="center"/>
          </w:tcPr>
          <w:p w14:paraId="578AFCF1">
            <w:pPr>
              <w:pStyle w:val="53"/>
              <w:keepNext w:val="0"/>
              <w:keepLines w:val="0"/>
              <w:suppressLineNumbers w:val="0"/>
              <w:spacing w:before="0" w:beforeAutospacing="0" w:after="0" w:afterAutospacing="0" w:line="440" w:lineRule="exact"/>
              <w:ind w:left="0" w:right="0"/>
              <w:jc w:val="left"/>
              <w:rPr>
                <w:rFonts w:ascii="宋体" w:hAnsi="宋体" w:eastAsia="宋体" w:cs="宋体"/>
              </w:rPr>
            </w:pPr>
            <w:r>
              <w:rPr>
                <w:rFonts w:ascii="宋体" w:hAnsi="宋体" w:eastAsia="宋体" w:cs="宋体"/>
              </w:rPr>
              <w:sym w:font="Wingdings 2" w:char="0052"/>
            </w:r>
            <w:r>
              <w:rPr>
                <w:rFonts w:ascii="宋体" w:hAnsi="宋体" w:eastAsia="宋体" w:cs="宋体"/>
              </w:rPr>
              <w:t>新建（迁建）</w:t>
            </w:r>
          </w:p>
          <w:p w14:paraId="77AB6992">
            <w:pPr>
              <w:pStyle w:val="53"/>
              <w:keepNext w:val="0"/>
              <w:keepLines w:val="0"/>
              <w:suppressLineNumbers w:val="0"/>
              <w:spacing w:before="0" w:beforeAutospacing="0" w:after="0" w:afterAutospacing="0" w:line="440" w:lineRule="exact"/>
              <w:ind w:left="0" w:right="0"/>
              <w:jc w:val="left"/>
              <w:rPr>
                <w:rFonts w:ascii="宋体" w:hAnsi="宋体" w:eastAsia="宋体" w:cs="宋体"/>
              </w:rPr>
            </w:pPr>
            <w:r>
              <w:rPr>
                <w:rFonts w:ascii="宋体" w:hAnsi="宋体" w:eastAsia="宋体" w:cs="宋体"/>
              </w:rPr>
              <w:t>□改建</w:t>
            </w:r>
          </w:p>
          <w:p w14:paraId="0B8D691D">
            <w:pPr>
              <w:pStyle w:val="53"/>
              <w:keepNext w:val="0"/>
              <w:keepLines w:val="0"/>
              <w:suppressLineNumbers w:val="0"/>
              <w:spacing w:before="0" w:beforeAutospacing="0" w:after="0" w:afterAutospacing="0" w:line="440" w:lineRule="exact"/>
              <w:ind w:left="0" w:right="0"/>
              <w:jc w:val="left"/>
              <w:rPr>
                <w:rFonts w:ascii="宋体" w:hAnsi="宋体" w:eastAsia="宋体" w:cs="宋体"/>
              </w:rPr>
            </w:pPr>
            <w:r>
              <w:rPr>
                <w:rFonts w:ascii="宋体" w:hAnsi="宋体" w:eastAsia="宋体" w:cs="宋体"/>
              </w:rPr>
              <w:t>□扩建</w:t>
            </w:r>
          </w:p>
          <w:p w14:paraId="06A8DDBC">
            <w:pPr>
              <w:pStyle w:val="53"/>
              <w:keepNext w:val="0"/>
              <w:keepLines w:val="0"/>
              <w:suppressLineNumbers w:val="0"/>
              <w:spacing w:before="0" w:beforeAutospacing="0" w:after="0" w:afterAutospacing="0" w:line="440" w:lineRule="exact"/>
              <w:ind w:left="0" w:right="0"/>
              <w:jc w:val="left"/>
              <w:rPr>
                <w:rFonts w:ascii="宋体" w:hAnsi="宋体" w:eastAsia="宋体" w:cs="宋体"/>
              </w:rPr>
            </w:pPr>
            <w:r>
              <w:rPr>
                <w:rFonts w:ascii="宋体" w:hAnsi="宋体" w:eastAsia="宋体" w:cs="宋体"/>
              </w:rPr>
              <w:t>□技术改造</w:t>
            </w:r>
          </w:p>
        </w:tc>
        <w:tc>
          <w:tcPr>
            <w:tcW w:w="1837" w:type="dxa"/>
            <w:noWrap w:val="0"/>
            <w:vAlign w:val="center"/>
          </w:tcPr>
          <w:p w14:paraId="39CEB77D">
            <w:pPr>
              <w:pStyle w:val="53"/>
              <w:keepNext w:val="0"/>
              <w:keepLines w:val="0"/>
              <w:suppressLineNumbers w:val="0"/>
              <w:spacing w:before="0" w:beforeAutospacing="0" w:after="0" w:afterAutospacing="0" w:line="440" w:lineRule="exact"/>
              <w:ind w:left="0" w:right="0"/>
              <w:rPr>
                <w:rFonts w:ascii="宋体" w:hAnsi="宋体" w:eastAsia="宋体" w:cs="宋体"/>
              </w:rPr>
            </w:pPr>
            <w:r>
              <w:rPr>
                <w:rFonts w:ascii="宋体" w:hAnsi="宋体" w:eastAsia="宋体" w:cs="宋体"/>
              </w:rPr>
              <w:t>建设项目</w:t>
            </w:r>
          </w:p>
          <w:p w14:paraId="00C89321">
            <w:pPr>
              <w:pStyle w:val="53"/>
              <w:keepNext w:val="0"/>
              <w:keepLines w:val="0"/>
              <w:suppressLineNumbers w:val="0"/>
              <w:spacing w:before="0" w:beforeAutospacing="0" w:after="0" w:afterAutospacing="0" w:line="440" w:lineRule="exact"/>
              <w:ind w:left="0" w:right="0"/>
              <w:rPr>
                <w:rFonts w:ascii="宋体" w:hAnsi="宋体" w:eastAsia="宋体" w:cs="宋体"/>
              </w:rPr>
            </w:pPr>
            <w:r>
              <w:rPr>
                <w:rFonts w:ascii="宋体" w:hAnsi="宋体" w:eastAsia="宋体" w:cs="宋体"/>
              </w:rPr>
              <w:t>申报情形</w:t>
            </w:r>
          </w:p>
        </w:tc>
        <w:tc>
          <w:tcPr>
            <w:tcW w:w="3233" w:type="dxa"/>
            <w:noWrap w:val="0"/>
            <w:vAlign w:val="center"/>
          </w:tcPr>
          <w:p w14:paraId="605D4966">
            <w:pPr>
              <w:pStyle w:val="53"/>
              <w:keepNext w:val="0"/>
              <w:keepLines w:val="0"/>
              <w:suppressLineNumbers w:val="0"/>
              <w:spacing w:before="0" w:beforeAutospacing="0" w:after="0" w:afterAutospacing="0" w:line="440" w:lineRule="exact"/>
              <w:ind w:left="0" w:right="0"/>
              <w:jc w:val="left"/>
              <w:rPr>
                <w:rFonts w:ascii="宋体" w:hAnsi="宋体" w:eastAsia="宋体" w:cs="宋体"/>
              </w:rPr>
            </w:pPr>
            <w:r>
              <w:rPr>
                <w:rFonts w:ascii="宋体" w:hAnsi="宋体" w:eastAsia="宋体" w:cs="宋体"/>
              </w:rPr>
              <w:t>☑首次申报项目</w:t>
            </w:r>
          </w:p>
          <w:p w14:paraId="607EB365">
            <w:pPr>
              <w:pStyle w:val="53"/>
              <w:keepNext w:val="0"/>
              <w:keepLines w:val="0"/>
              <w:suppressLineNumbers w:val="0"/>
              <w:spacing w:before="0" w:beforeAutospacing="0" w:after="0" w:afterAutospacing="0" w:line="440" w:lineRule="exact"/>
              <w:ind w:left="0" w:right="0"/>
              <w:jc w:val="left"/>
              <w:rPr>
                <w:rFonts w:ascii="宋体" w:hAnsi="宋体" w:eastAsia="宋体" w:cs="宋体"/>
              </w:rPr>
            </w:pPr>
            <w:r>
              <w:rPr>
                <w:rFonts w:ascii="宋体" w:hAnsi="宋体" w:eastAsia="宋体" w:cs="宋体"/>
              </w:rPr>
              <w:t>□不予批准后再次申报项目</w:t>
            </w:r>
          </w:p>
          <w:p w14:paraId="067C12FB">
            <w:pPr>
              <w:pStyle w:val="53"/>
              <w:keepNext w:val="0"/>
              <w:keepLines w:val="0"/>
              <w:suppressLineNumbers w:val="0"/>
              <w:spacing w:before="0" w:beforeAutospacing="0" w:after="0" w:afterAutospacing="0" w:line="440" w:lineRule="exact"/>
              <w:ind w:left="0" w:right="0"/>
              <w:jc w:val="left"/>
              <w:rPr>
                <w:rFonts w:ascii="宋体" w:hAnsi="宋体" w:eastAsia="宋体" w:cs="宋体"/>
              </w:rPr>
            </w:pPr>
            <w:r>
              <w:rPr>
                <w:rFonts w:ascii="宋体" w:hAnsi="宋体" w:eastAsia="宋体" w:cs="宋体"/>
              </w:rPr>
              <w:t>□超五年重新审核项目</w:t>
            </w:r>
          </w:p>
          <w:p w14:paraId="0D2C5ECA">
            <w:pPr>
              <w:pStyle w:val="53"/>
              <w:keepNext w:val="0"/>
              <w:keepLines w:val="0"/>
              <w:suppressLineNumbers w:val="0"/>
              <w:spacing w:before="0" w:beforeAutospacing="0" w:after="0" w:afterAutospacing="0" w:line="440" w:lineRule="exact"/>
              <w:ind w:left="0" w:right="0"/>
              <w:jc w:val="left"/>
              <w:rPr>
                <w:rFonts w:ascii="宋体" w:hAnsi="宋体" w:eastAsia="宋体" w:cs="宋体"/>
              </w:rPr>
            </w:pPr>
            <w:r>
              <w:rPr>
                <w:rFonts w:ascii="宋体" w:hAnsi="宋体" w:eastAsia="宋体" w:cs="宋体"/>
              </w:rPr>
              <w:t>□重大变动重新报批项目</w:t>
            </w:r>
          </w:p>
        </w:tc>
      </w:tr>
      <w:tr w14:paraId="605F74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007" w:type="dxa"/>
            <w:noWrap w:val="0"/>
            <w:tcMar>
              <w:top w:w="16" w:type="dxa"/>
              <w:left w:w="16" w:type="dxa"/>
              <w:right w:w="16" w:type="dxa"/>
            </w:tcMar>
            <w:vAlign w:val="center"/>
          </w:tcPr>
          <w:p w14:paraId="625CDDB8">
            <w:pPr>
              <w:pStyle w:val="53"/>
              <w:keepNext w:val="0"/>
              <w:keepLines w:val="0"/>
              <w:suppressLineNumbers w:val="0"/>
              <w:spacing w:before="0" w:beforeAutospacing="0" w:after="0" w:afterAutospacing="0" w:line="440" w:lineRule="exact"/>
              <w:ind w:left="0" w:right="0"/>
              <w:rPr>
                <w:rFonts w:ascii="宋体" w:hAnsi="宋体" w:eastAsia="宋体" w:cs="宋体"/>
              </w:rPr>
            </w:pPr>
            <w:r>
              <w:rPr>
                <w:rFonts w:ascii="宋体" w:hAnsi="宋体" w:eastAsia="宋体" w:cs="宋体"/>
              </w:rPr>
              <w:t>项目审批（核准/</w:t>
            </w:r>
          </w:p>
          <w:p w14:paraId="1F54C2A1">
            <w:pPr>
              <w:pStyle w:val="53"/>
              <w:keepNext w:val="0"/>
              <w:keepLines w:val="0"/>
              <w:suppressLineNumbers w:val="0"/>
              <w:spacing w:before="0" w:beforeAutospacing="0" w:after="0" w:afterAutospacing="0" w:line="440" w:lineRule="exact"/>
              <w:ind w:left="0" w:right="0"/>
              <w:rPr>
                <w:rFonts w:ascii="宋体" w:hAnsi="宋体" w:eastAsia="宋体" w:cs="宋体"/>
              </w:rPr>
            </w:pPr>
            <w:r>
              <w:rPr>
                <w:rFonts w:ascii="宋体" w:hAnsi="宋体" w:eastAsia="宋体" w:cs="宋体"/>
              </w:rPr>
              <w:t>备案）部门（选填）</w:t>
            </w:r>
          </w:p>
        </w:tc>
        <w:tc>
          <w:tcPr>
            <w:tcW w:w="1948" w:type="dxa"/>
            <w:noWrap w:val="0"/>
            <w:vAlign w:val="center"/>
          </w:tcPr>
          <w:p w14:paraId="32C9F639">
            <w:pPr>
              <w:pStyle w:val="53"/>
              <w:keepNext w:val="0"/>
              <w:keepLines w:val="0"/>
              <w:suppressLineNumbers w:val="0"/>
              <w:spacing w:before="0" w:beforeAutospacing="0" w:after="0" w:afterAutospacing="0" w:line="440" w:lineRule="exact"/>
              <w:ind w:left="0" w:right="0"/>
              <w:rPr>
                <w:rFonts w:hint="default" w:ascii="宋体" w:hAnsi="宋体" w:eastAsia="宋体" w:cs="宋体"/>
                <w:lang w:val="en-US" w:eastAsia="zh-CN"/>
              </w:rPr>
            </w:pPr>
            <w:r>
              <w:rPr>
                <w:rFonts w:hint="eastAsia" w:ascii="宋体" w:hAnsi="宋体" w:eastAsia="宋体" w:cs="宋体"/>
                <w:lang w:val="en-US" w:eastAsia="zh-CN"/>
              </w:rPr>
              <w:t>句容市行政审批局</w:t>
            </w:r>
          </w:p>
        </w:tc>
        <w:tc>
          <w:tcPr>
            <w:tcW w:w="1837" w:type="dxa"/>
            <w:noWrap w:val="0"/>
            <w:vAlign w:val="center"/>
          </w:tcPr>
          <w:p w14:paraId="00EBEDA0">
            <w:pPr>
              <w:pStyle w:val="53"/>
              <w:keepNext w:val="0"/>
              <w:keepLines w:val="0"/>
              <w:suppressLineNumbers w:val="0"/>
              <w:spacing w:before="0" w:beforeAutospacing="0" w:after="0" w:afterAutospacing="0" w:line="440" w:lineRule="exact"/>
              <w:ind w:left="0" w:right="0"/>
              <w:rPr>
                <w:rFonts w:ascii="宋体" w:hAnsi="宋体" w:eastAsia="宋体" w:cs="宋体"/>
              </w:rPr>
            </w:pPr>
            <w:r>
              <w:rPr>
                <w:rFonts w:ascii="宋体" w:hAnsi="宋体" w:eastAsia="宋体" w:cs="宋体"/>
              </w:rPr>
              <w:t>项目审批（核准/</w:t>
            </w:r>
          </w:p>
          <w:p w14:paraId="10D32243">
            <w:pPr>
              <w:pStyle w:val="53"/>
              <w:keepNext w:val="0"/>
              <w:keepLines w:val="0"/>
              <w:suppressLineNumbers w:val="0"/>
              <w:spacing w:before="0" w:beforeAutospacing="0" w:after="0" w:afterAutospacing="0" w:line="440" w:lineRule="exact"/>
              <w:ind w:left="0" w:right="0"/>
              <w:rPr>
                <w:rFonts w:ascii="宋体" w:hAnsi="宋体" w:eastAsia="宋体" w:cs="宋体"/>
              </w:rPr>
            </w:pPr>
            <w:r>
              <w:rPr>
                <w:rFonts w:ascii="宋体" w:hAnsi="宋体" w:eastAsia="宋体" w:cs="宋体"/>
              </w:rPr>
              <w:t>备案）文号（选填）</w:t>
            </w:r>
          </w:p>
        </w:tc>
        <w:tc>
          <w:tcPr>
            <w:tcW w:w="3233" w:type="dxa"/>
            <w:noWrap w:val="0"/>
            <w:vAlign w:val="center"/>
          </w:tcPr>
          <w:p w14:paraId="06BE3048">
            <w:pPr>
              <w:pStyle w:val="53"/>
              <w:keepNext w:val="0"/>
              <w:keepLines w:val="0"/>
              <w:suppressLineNumbers w:val="0"/>
              <w:spacing w:before="0" w:beforeAutospacing="0" w:after="0" w:afterAutospacing="0" w:line="440" w:lineRule="exact"/>
              <w:ind w:left="0" w:right="0"/>
              <w:rPr>
                <w:rFonts w:ascii="宋体" w:hAnsi="宋体" w:eastAsia="宋体" w:cs="宋体"/>
              </w:rPr>
            </w:pPr>
            <w:r>
              <w:rPr>
                <w:rFonts w:hint="eastAsia" w:ascii="宋体" w:hAnsi="宋体" w:eastAsia="宋体" w:cs="宋体"/>
                <w:lang w:val="en-US" w:eastAsia="zh-CN"/>
              </w:rPr>
              <w:t>句行审投资备</w:t>
            </w:r>
            <w:r>
              <w:rPr>
                <w:rFonts w:hint="eastAsia" w:ascii="宋体" w:hAnsi="宋体" w:eastAsia="宋体" w:cs="宋体"/>
              </w:rPr>
              <w:t>〔</w:t>
            </w:r>
            <w:r>
              <w:rPr>
                <w:rFonts w:ascii="宋体" w:hAnsi="宋体" w:eastAsia="宋体" w:cs="宋体"/>
              </w:rPr>
              <w:t>2023</w:t>
            </w:r>
            <w:r>
              <w:rPr>
                <w:rFonts w:hint="eastAsia" w:ascii="宋体" w:hAnsi="宋体" w:eastAsia="宋体" w:cs="宋体"/>
              </w:rPr>
              <w:t>〕</w:t>
            </w:r>
            <w:r>
              <w:rPr>
                <w:rFonts w:hint="eastAsia" w:ascii="宋体" w:hAnsi="宋体" w:eastAsia="宋体" w:cs="宋体"/>
                <w:lang w:val="en-US" w:eastAsia="zh-CN"/>
              </w:rPr>
              <w:t>321</w:t>
            </w:r>
            <w:r>
              <w:rPr>
                <w:rFonts w:ascii="宋体" w:hAnsi="宋体" w:eastAsia="宋体" w:cs="宋体"/>
              </w:rPr>
              <w:t>号</w:t>
            </w:r>
          </w:p>
        </w:tc>
      </w:tr>
      <w:tr w14:paraId="082F2E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007" w:type="dxa"/>
            <w:noWrap w:val="0"/>
            <w:tcMar>
              <w:top w:w="16" w:type="dxa"/>
              <w:left w:w="16" w:type="dxa"/>
              <w:right w:w="16" w:type="dxa"/>
            </w:tcMar>
            <w:vAlign w:val="center"/>
          </w:tcPr>
          <w:p w14:paraId="10EDC41C">
            <w:pPr>
              <w:pStyle w:val="53"/>
              <w:keepNext w:val="0"/>
              <w:keepLines w:val="0"/>
              <w:suppressLineNumbers w:val="0"/>
              <w:spacing w:before="0" w:beforeAutospacing="0" w:after="0" w:afterAutospacing="0" w:line="440" w:lineRule="exact"/>
              <w:ind w:left="0" w:right="0"/>
              <w:rPr>
                <w:rFonts w:ascii="宋体" w:hAnsi="宋体" w:eastAsia="宋体" w:cs="宋体"/>
              </w:rPr>
            </w:pPr>
            <w:r>
              <w:rPr>
                <w:rFonts w:ascii="宋体" w:hAnsi="宋体" w:eastAsia="宋体" w:cs="宋体"/>
              </w:rPr>
              <w:t>总投资（万元）</w:t>
            </w:r>
          </w:p>
        </w:tc>
        <w:tc>
          <w:tcPr>
            <w:tcW w:w="1948" w:type="dxa"/>
            <w:noWrap w:val="0"/>
            <w:vAlign w:val="center"/>
          </w:tcPr>
          <w:p w14:paraId="3B59AA2B">
            <w:pPr>
              <w:pStyle w:val="53"/>
              <w:keepNext w:val="0"/>
              <w:keepLines w:val="0"/>
              <w:suppressLineNumbers w:val="0"/>
              <w:spacing w:before="0" w:beforeAutospacing="0" w:after="0" w:afterAutospacing="0" w:line="440" w:lineRule="exact"/>
              <w:ind w:left="0" w:right="0"/>
              <w:rPr>
                <w:rFonts w:hint="default" w:ascii="宋体" w:hAnsi="宋体" w:eastAsia="宋体" w:cs="宋体"/>
                <w:lang w:val="en-US" w:eastAsia="zh-CN"/>
              </w:rPr>
            </w:pPr>
            <w:r>
              <w:rPr>
                <w:rFonts w:hint="eastAsia" w:ascii="宋体" w:hAnsi="宋体" w:eastAsia="宋体" w:cs="宋体"/>
                <w:lang w:val="en-US" w:eastAsia="zh-CN"/>
              </w:rPr>
              <w:t>2000</w:t>
            </w:r>
          </w:p>
        </w:tc>
        <w:tc>
          <w:tcPr>
            <w:tcW w:w="1837" w:type="dxa"/>
            <w:noWrap w:val="0"/>
            <w:tcMar>
              <w:top w:w="16" w:type="dxa"/>
              <w:left w:w="16" w:type="dxa"/>
              <w:right w:w="16" w:type="dxa"/>
            </w:tcMar>
            <w:vAlign w:val="center"/>
          </w:tcPr>
          <w:p w14:paraId="3FF5BA03">
            <w:pPr>
              <w:pStyle w:val="53"/>
              <w:keepNext w:val="0"/>
              <w:keepLines w:val="0"/>
              <w:suppressLineNumbers w:val="0"/>
              <w:spacing w:before="0" w:beforeAutospacing="0" w:after="0" w:afterAutospacing="0" w:line="440" w:lineRule="exact"/>
              <w:ind w:left="0" w:right="0"/>
              <w:rPr>
                <w:rFonts w:ascii="宋体" w:hAnsi="宋体" w:eastAsia="宋体" w:cs="宋体"/>
              </w:rPr>
            </w:pPr>
            <w:r>
              <w:rPr>
                <w:rFonts w:ascii="宋体" w:hAnsi="宋体" w:eastAsia="宋体" w:cs="宋体"/>
              </w:rPr>
              <w:t>环保投资（万元）</w:t>
            </w:r>
          </w:p>
        </w:tc>
        <w:tc>
          <w:tcPr>
            <w:tcW w:w="3233" w:type="dxa"/>
            <w:noWrap w:val="0"/>
            <w:vAlign w:val="center"/>
          </w:tcPr>
          <w:p w14:paraId="00314356">
            <w:pPr>
              <w:pStyle w:val="53"/>
              <w:keepNext w:val="0"/>
              <w:keepLines w:val="0"/>
              <w:suppressLineNumbers w:val="0"/>
              <w:spacing w:before="0" w:beforeAutospacing="0" w:after="0" w:afterAutospacing="0" w:line="440" w:lineRule="exact"/>
              <w:ind w:left="0" w:right="0"/>
              <w:rPr>
                <w:rFonts w:hint="default" w:ascii="宋体" w:hAnsi="宋体" w:eastAsia="宋体" w:cs="宋体"/>
                <w:lang w:val="en-US"/>
              </w:rPr>
            </w:pPr>
            <w:r>
              <w:rPr>
                <w:rFonts w:hint="eastAsia" w:ascii="宋体" w:hAnsi="宋体" w:eastAsia="宋体" w:cs="宋体"/>
                <w:lang w:val="en-US" w:eastAsia="zh-CN"/>
              </w:rPr>
              <w:t>40</w:t>
            </w:r>
          </w:p>
        </w:tc>
      </w:tr>
      <w:tr w14:paraId="4A3D91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007" w:type="dxa"/>
            <w:noWrap w:val="0"/>
            <w:tcMar>
              <w:top w:w="16" w:type="dxa"/>
              <w:left w:w="16" w:type="dxa"/>
              <w:right w:w="16" w:type="dxa"/>
            </w:tcMar>
            <w:vAlign w:val="center"/>
          </w:tcPr>
          <w:p w14:paraId="3E7FBB60">
            <w:pPr>
              <w:pStyle w:val="53"/>
              <w:keepNext w:val="0"/>
              <w:keepLines w:val="0"/>
              <w:suppressLineNumbers w:val="0"/>
              <w:spacing w:before="0" w:beforeAutospacing="0" w:after="0" w:afterAutospacing="0" w:line="440" w:lineRule="exact"/>
              <w:ind w:left="0" w:right="0"/>
              <w:rPr>
                <w:rFonts w:ascii="宋体" w:hAnsi="宋体" w:eastAsia="宋体" w:cs="宋体"/>
              </w:rPr>
            </w:pPr>
            <w:r>
              <w:rPr>
                <w:rFonts w:ascii="宋体" w:hAnsi="宋体" w:eastAsia="宋体" w:cs="宋体"/>
              </w:rPr>
              <w:t>环保投资占比（%）</w:t>
            </w:r>
          </w:p>
        </w:tc>
        <w:tc>
          <w:tcPr>
            <w:tcW w:w="1948" w:type="dxa"/>
            <w:noWrap w:val="0"/>
            <w:vAlign w:val="center"/>
          </w:tcPr>
          <w:p w14:paraId="513D748F">
            <w:pPr>
              <w:pStyle w:val="53"/>
              <w:keepNext w:val="0"/>
              <w:keepLines w:val="0"/>
              <w:suppressLineNumbers w:val="0"/>
              <w:spacing w:before="0" w:beforeAutospacing="0" w:after="0" w:afterAutospacing="0" w:line="440" w:lineRule="exact"/>
              <w:ind w:left="0" w:right="0"/>
              <w:rPr>
                <w:rFonts w:hint="eastAsia" w:ascii="宋体" w:hAnsi="宋体" w:eastAsia="宋体" w:cs="宋体"/>
                <w:lang w:val="en-US" w:eastAsia="zh-CN"/>
              </w:rPr>
            </w:pPr>
            <w:r>
              <w:rPr>
                <w:rFonts w:hint="eastAsia" w:ascii="宋体" w:hAnsi="宋体" w:eastAsia="宋体" w:cs="宋体"/>
                <w:lang w:val="en-US" w:eastAsia="zh-CN"/>
              </w:rPr>
              <w:t>2</w:t>
            </w:r>
          </w:p>
        </w:tc>
        <w:tc>
          <w:tcPr>
            <w:tcW w:w="1837" w:type="dxa"/>
            <w:noWrap w:val="0"/>
            <w:tcMar>
              <w:top w:w="16" w:type="dxa"/>
              <w:left w:w="16" w:type="dxa"/>
              <w:right w:w="16" w:type="dxa"/>
            </w:tcMar>
            <w:vAlign w:val="center"/>
          </w:tcPr>
          <w:p w14:paraId="31967E70">
            <w:pPr>
              <w:pStyle w:val="53"/>
              <w:keepNext w:val="0"/>
              <w:keepLines w:val="0"/>
              <w:suppressLineNumbers w:val="0"/>
              <w:spacing w:before="0" w:beforeAutospacing="0" w:after="0" w:afterAutospacing="0" w:line="440" w:lineRule="exact"/>
              <w:ind w:left="0" w:right="0"/>
              <w:rPr>
                <w:rFonts w:ascii="宋体" w:hAnsi="宋体" w:eastAsia="宋体" w:cs="宋体"/>
              </w:rPr>
            </w:pPr>
            <w:r>
              <w:rPr>
                <w:rFonts w:ascii="宋体" w:hAnsi="宋体" w:eastAsia="宋体" w:cs="宋体"/>
              </w:rPr>
              <w:t>施工工期</w:t>
            </w:r>
          </w:p>
        </w:tc>
        <w:tc>
          <w:tcPr>
            <w:tcW w:w="3233" w:type="dxa"/>
            <w:noWrap w:val="0"/>
            <w:vAlign w:val="center"/>
          </w:tcPr>
          <w:p w14:paraId="13593C9F">
            <w:pPr>
              <w:pStyle w:val="53"/>
              <w:keepNext w:val="0"/>
              <w:keepLines w:val="0"/>
              <w:suppressLineNumbers w:val="0"/>
              <w:spacing w:before="0" w:beforeAutospacing="0" w:after="0" w:afterAutospacing="0" w:line="440" w:lineRule="exact"/>
              <w:ind w:left="0" w:right="0"/>
              <w:rPr>
                <w:rFonts w:ascii="宋体" w:hAnsi="宋体" w:eastAsia="宋体" w:cs="宋体"/>
              </w:rPr>
            </w:pPr>
            <w:r>
              <w:rPr>
                <w:rFonts w:hint="eastAsia" w:ascii="宋体" w:hAnsi="宋体" w:eastAsia="宋体" w:cs="宋体"/>
                <w:lang w:val="en-US" w:eastAsia="zh-CN"/>
              </w:rPr>
              <w:t>6</w:t>
            </w:r>
            <w:r>
              <w:rPr>
                <w:rFonts w:ascii="宋体" w:hAnsi="宋体" w:eastAsia="宋体" w:cs="宋体"/>
              </w:rPr>
              <w:t>个月</w:t>
            </w:r>
          </w:p>
        </w:tc>
      </w:tr>
      <w:tr w14:paraId="7C18B9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007" w:type="dxa"/>
            <w:noWrap w:val="0"/>
            <w:tcMar>
              <w:top w:w="16" w:type="dxa"/>
              <w:left w:w="16" w:type="dxa"/>
              <w:right w:w="16" w:type="dxa"/>
            </w:tcMar>
            <w:vAlign w:val="center"/>
          </w:tcPr>
          <w:p w14:paraId="5250792F">
            <w:pPr>
              <w:pStyle w:val="53"/>
              <w:keepNext w:val="0"/>
              <w:keepLines w:val="0"/>
              <w:suppressLineNumbers w:val="0"/>
              <w:spacing w:before="0" w:beforeAutospacing="0" w:after="0" w:afterAutospacing="0" w:line="440" w:lineRule="exact"/>
              <w:ind w:left="0" w:right="0"/>
              <w:rPr>
                <w:rFonts w:ascii="宋体" w:hAnsi="宋体" w:eastAsia="宋体" w:cs="宋体"/>
              </w:rPr>
            </w:pPr>
            <w:r>
              <w:rPr>
                <w:rFonts w:ascii="宋体" w:hAnsi="宋体" w:eastAsia="宋体" w:cs="宋体"/>
              </w:rPr>
              <w:t>是否开工建设</w:t>
            </w:r>
          </w:p>
        </w:tc>
        <w:tc>
          <w:tcPr>
            <w:tcW w:w="1948" w:type="dxa"/>
            <w:noWrap w:val="0"/>
            <w:vAlign w:val="center"/>
          </w:tcPr>
          <w:p w14:paraId="0C4B3EED">
            <w:pPr>
              <w:pStyle w:val="53"/>
              <w:keepNext w:val="0"/>
              <w:keepLines w:val="0"/>
              <w:suppressLineNumbers w:val="0"/>
              <w:spacing w:before="0" w:beforeAutospacing="0" w:after="0" w:afterAutospacing="0" w:line="440" w:lineRule="exact"/>
              <w:ind w:left="0" w:right="0"/>
              <w:jc w:val="left"/>
              <w:rPr>
                <w:rFonts w:ascii="宋体" w:hAnsi="宋体" w:eastAsia="宋体" w:cs="宋体"/>
              </w:rPr>
            </w:pPr>
            <w:r>
              <w:rPr>
                <w:rFonts w:ascii="宋体" w:hAnsi="宋体" w:eastAsia="宋体" w:cs="宋体"/>
              </w:rPr>
              <w:t>☑否</w:t>
            </w:r>
          </w:p>
          <w:p w14:paraId="6CB33A1D">
            <w:pPr>
              <w:pStyle w:val="53"/>
              <w:keepNext w:val="0"/>
              <w:keepLines w:val="0"/>
              <w:suppressLineNumbers w:val="0"/>
              <w:spacing w:before="0" w:beforeAutospacing="0" w:after="0" w:afterAutospacing="0" w:line="440" w:lineRule="exact"/>
              <w:ind w:left="0" w:right="0"/>
              <w:jc w:val="left"/>
              <w:rPr>
                <w:rFonts w:ascii="宋体" w:hAnsi="宋体" w:eastAsia="宋体" w:cs="宋体"/>
              </w:rPr>
            </w:pPr>
            <w:r>
              <w:rPr>
                <w:rFonts w:ascii="宋体" w:hAnsi="宋体" w:eastAsia="宋体" w:cs="宋体"/>
              </w:rPr>
              <w:t xml:space="preserve">□是            </w:t>
            </w:r>
          </w:p>
        </w:tc>
        <w:tc>
          <w:tcPr>
            <w:tcW w:w="1837" w:type="dxa"/>
            <w:noWrap w:val="0"/>
            <w:tcMar>
              <w:top w:w="16" w:type="dxa"/>
              <w:left w:w="16" w:type="dxa"/>
              <w:right w:w="16" w:type="dxa"/>
            </w:tcMar>
            <w:vAlign w:val="center"/>
          </w:tcPr>
          <w:p w14:paraId="2AE99A6B">
            <w:pPr>
              <w:pStyle w:val="53"/>
              <w:keepNext w:val="0"/>
              <w:keepLines w:val="0"/>
              <w:suppressLineNumbers w:val="0"/>
              <w:spacing w:before="0" w:beforeAutospacing="0" w:after="0" w:afterAutospacing="0" w:line="440" w:lineRule="exact"/>
              <w:ind w:left="0" w:right="0"/>
              <w:rPr>
                <w:rFonts w:ascii="宋体" w:hAnsi="宋体" w:eastAsia="宋体" w:cs="宋体"/>
              </w:rPr>
            </w:pPr>
            <w:r>
              <w:rPr>
                <w:rFonts w:ascii="宋体" w:hAnsi="宋体" w:eastAsia="宋体" w:cs="宋体"/>
              </w:rPr>
              <w:t>用地（用海）</w:t>
            </w:r>
          </w:p>
          <w:p w14:paraId="6D54B05F">
            <w:pPr>
              <w:pStyle w:val="53"/>
              <w:keepNext w:val="0"/>
              <w:keepLines w:val="0"/>
              <w:suppressLineNumbers w:val="0"/>
              <w:spacing w:before="0" w:beforeAutospacing="0" w:after="0" w:afterAutospacing="0" w:line="440" w:lineRule="exact"/>
              <w:ind w:left="0" w:right="0"/>
              <w:rPr>
                <w:rFonts w:ascii="宋体" w:hAnsi="宋体" w:eastAsia="宋体" w:cs="宋体"/>
              </w:rPr>
            </w:pPr>
            <w:r>
              <w:rPr>
                <w:rFonts w:ascii="宋体" w:hAnsi="宋体" w:eastAsia="宋体" w:cs="宋体"/>
              </w:rPr>
              <w:t>面积（m</w:t>
            </w:r>
            <w:r>
              <w:rPr>
                <w:rFonts w:ascii="宋体" w:hAnsi="宋体" w:eastAsia="宋体" w:cs="宋体"/>
                <w:vertAlign w:val="superscript"/>
              </w:rPr>
              <w:t>2</w:t>
            </w:r>
            <w:r>
              <w:rPr>
                <w:rFonts w:ascii="宋体" w:hAnsi="宋体" w:eastAsia="宋体" w:cs="宋体"/>
              </w:rPr>
              <w:t>）</w:t>
            </w:r>
          </w:p>
        </w:tc>
        <w:tc>
          <w:tcPr>
            <w:tcW w:w="3233" w:type="dxa"/>
            <w:noWrap w:val="0"/>
            <w:vAlign w:val="center"/>
          </w:tcPr>
          <w:p w14:paraId="10B41032">
            <w:pPr>
              <w:pStyle w:val="53"/>
              <w:keepNext w:val="0"/>
              <w:keepLines w:val="0"/>
              <w:suppressLineNumbers w:val="0"/>
              <w:spacing w:before="0" w:beforeAutospacing="0" w:after="0" w:afterAutospacing="0" w:line="440" w:lineRule="exact"/>
              <w:ind w:left="0" w:right="0"/>
              <w:rPr>
                <w:rFonts w:hint="default" w:ascii="宋体" w:hAnsi="宋体" w:eastAsia="宋体" w:cs="宋体"/>
                <w:lang w:val="en-US" w:eastAsia="zh-CN"/>
              </w:rPr>
            </w:pPr>
            <w:r>
              <w:rPr>
                <w:rFonts w:hint="eastAsia" w:ascii="宋体" w:hAnsi="宋体" w:eastAsia="宋体" w:cs="宋体"/>
                <w:lang w:val="en-US" w:eastAsia="zh-CN"/>
              </w:rPr>
              <w:t>3000</w:t>
            </w:r>
          </w:p>
        </w:tc>
      </w:tr>
      <w:tr w14:paraId="46090C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07" w:type="dxa"/>
            <w:noWrap w:val="0"/>
            <w:vAlign w:val="center"/>
          </w:tcPr>
          <w:p w14:paraId="2ADA0B36">
            <w:pPr>
              <w:pStyle w:val="53"/>
              <w:keepNext w:val="0"/>
              <w:keepLines w:val="0"/>
              <w:suppressLineNumbers w:val="0"/>
              <w:spacing w:before="0" w:beforeAutospacing="0" w:after="0" w:afterAutospacing="0" w:line="440" w:lineRule="exact"/>
              <w:ind w:left="0" w:right="0"/>
              <w:rPr>
                <w:rFonts w:ascii="宋体" w:hAnsi="宋体" w:eastAsia="宋体" w:cs="宋体"/>
              </w:rPr>
            </w:pPr>
            <w:r>
              <w:rPr>
                <w:rFonts w:ascii="宋体" w:hAnsi="宋体" w:eastAsia="宋体" w:cs="宋体"/>
              </w:rPr>
              <w:t>专项评价</w:t>
            </w:r>
          </w:p>
          <w:p w14:paraId="34E9620B">
            <w:pPr>
              <w:pStyle w:val="53"/>
              <w:keepNext w:val="0"/>
              <w:keepLines w:val="0"/>
              <w:suppressLineNumbers w:val="0"/>
              <w:spacing w:before="0" w:beforeAutospacing="0" w:after="0" w:afterAutospacing="0" w:line="440" w:lineRule="exact"/>
              <w:ind w:left="0" w:right="0"/>
              <w:rPr>
                <w:rFonts w:ascii="宋体" w:hAnsi="宋体" w:eastAsia="宋体" w:cs="宋体"/>
              </w:rPr>
            </w:pPr>
            <w:r>
              <w:rPr>
                <w:rFonts w:ascii="宋体" w:hAnsi="宋体" w:eastAsia="宋体" w:cs="宋体"/>
              </w:rPr>
              <w:t>设置情况</w:t>
            </w:r>
          </w:p>
        </w:tc>
        <w:tc>
          <w:tcPr>
            <w:tcW w:w="7018" w:type="dxa"/>
            <w:gridSpan w:val="3"/>
            <w:noWrap w:val="0"/>
            <w:vAlign w:val="center"/>
          </w:tcPr>
          <w:p w14:paraId="387792E5">
            <w:pPr>
              <w:pStyle w:val="48"/>
              <w:keepNext w:val="0"/>
              <w:keepLines w:val="0"/>
              <w:suppressLineNumbers w:val="0"/>
              <w:spacing w:before="0" w:beforeAutospacing="0" w:after="0" w:afterAutospacing="0" w:line="440" w:lineRule="exact"/>
              <w:ind w:left="0" w:right="0"/>
              <w:rPr>
                <w:rFonts w:ascii="宋体" w:hAnsi="宋体" w:cs="宋体"/>
                <w:sz w:val="24"/>
                <w:szCs w:val="24"/>
              </w:rPr>
            </w:pPr>
            <w:r>
              <w:rPr>
                <w:rFonts w:ascii="宋体" w:hAnsi="宋体" w:cs="宋体"/>
                <w:sz w:val="24"/>
                <w:szCs w:val="24"/>
                <w:vertAlign w:val="baseline"/>
              </w:rPr>
              <w:t>无</w:t>
            </w:r>
          </w:p>
        </w:tc>
      </w:tr>
      <w:tr w14:paraId="08219D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07" w:type="dxa"/>
            <w:noWrap w:val="0"/>
            <w:vAlign w:val="center"/>
          </w:tcPr>
          <w:p w14:paraId="75AE200F">
            <w:pPr>
              <w:pStyle w:val="53"/>
              <w:keepNext w:val="0"/>
              <w:keepLines w:val="0"/>
              <w:suppressLineNumbers w:val="0"/>
              <w:spacing w:before="0" w:beforeAutospacing="0" w:after="0" w:afterAutospacing="0" w:line="440" w:lineRule="exact"/>
              <w:ind w:left="0" w:right="0"/>
              <w:rPr>
                <w:rFonts w:ascii="宋体" w:hAnsi="宋体" w:eastAsia="宋体" w:cs="宋体"/>
              </w:rPr>
            </w:pPr>
            <w:r>
              <w:rPr>
                <w:rFonts w:ascii="宋体" w:hAnsi="宋体" w:eastAsia="宋体" w:cs="宋体"/>
              </w:rPr>
              <w:t>规划情况</w:t>
            </w:r>
          </w:p>
        </w:tc>
        <w:tc>
          <w:tcPr>
            <w:tcW w:w="7018" w:type="dxa"/>
            <w:gridSpan w:val="3"/>
            <w:noWrap w:val="0"/>
            <w:vAlign w:val="center"/>
          </w:tcPr>
          <w:p w14:paraId="462CD2E7">
            <w:pPr>
              <w:pStyle w:val="53"/>
              <w:keepNext w:val="0"/>
              <w:keepLines w:val="0"/>
              <w:suppressLineNumbers w:val="0"/>
              <w:spacing w:before="0" w:beforeAutospacing="0" w:after="0" w:afterAutospacing="0" w:line="440" w:lineRule="exact"/>
              <w:ind w:left="0" w:right="0"/>
              <w:jc w:val="both"/>
              <w:rPr>
                <w:rFonts w:ascii="宋体" w:hAnsi="宋体" w:eastAsia="宋体" w:cs="宋体"/>
              </w:rPr>
            </w:pPr>
            <w:r>
              <w:rPr>
                <w:rFonts w:hint="eastAsia" w:ascii="宋体" w:hAnsi="宋体" w:eastAsia="宋体" w:cs="宋体"/>
                <w:lang w:val="en-US" w:eastAsia="zh-CN"/>
              </w:rPr>
              <w:t>规划文件：</w:t>
            </w:r>
            <w:r>
              <w:rPr>
                <w:rFonts w:ascii="宋体" w:hAnsi="宋体" w:eastAsia="宋体" w:cs="宋体"/>
              </w:rPr>
              <w:t>《句容市边城镇总体规划（2017-2035年）》</w:t>
            </w:r>
          </w:p>
          <w:p w14:paraId="15F83952">
            <w:pPr>
              <w:pStyle w:val="53"/>
              <w:keepNext w:val="0"/>
              <w:keepLines w:val="0"/>
              <w:suppressLineNumbers w:val="0"/>
              <w:spacing w:before="0" w:beforeAutospacing="0" w:after="0" w:afterAutospacing="0" w:line="440" w:lineRule="exact"/>
              <w:ind w:left="0" w:right="0"/>
              <w:jc w:val="both"/>
              <w:rPr>
                <w:rFonts w:ascii="宋体" w:hAnsi="宋体" w:eastAsia="宋体" w:cs="宋体"/>
              </w:rPr>
            </w:pPr>
            <w:r>
              <w:rPr>
                <w:rFonts w:ascii="宋体" w:hAnsi="宋体" w:eastAsia="宋体" w:cs="宋体"/>
              </w:rPr>
              <w:t>审批单位：句容市人民政府</w:t>
            </w:r>
          </w:p>
          <w:p w14:paraId="65C7C2A9">
            <w:pPr>
              <w:pStyle w:val="53"/>
              <w:keepNext w:val="0"/>
              <w:keepLines w:val="0"/>
              <w:suppressLineNumbers w:val="0"/>
              <w:spacing w:before="0" w:beforeAutospacing="0" w:after="0" w:afterAutospacing="0" w:line="440" w:lineRule="exact"/>
              <w:ind w:left="0" w:right="0"/>
              <w:jc w:val="both"/>
              <w:rPr>
                <w:rFonts w:ascii="宋体" w:hAnsi="宋体" w:eastAsia="宋体" w:cs="宋体"/>
              </w:rPr>
            </w:pPr>
            <w:r>
              <w:rPr>
                <w:rFonts w:ascii="宋体" w:hAnsi="宋体" w:eastAsia="宋体" w:cs="宋体"/>
              </w:rPr>
              <w:t>审批文号：《句容市人民政府关于同意&lt;边城镇总体规划（2017-2035年）&gt; 的批复》（句政复</w:t>
            </w:r>
            <w:r>
              <w:rPr>
                <w:rFonts w:hint="eastAsia" w:ascii="宋体" w:hAnsi="宋体" w:eastAsia="宋体" w:cs="宋体"/>
                <w:lang w:eastAsia="zh-CN"/>
              </w:rPr>
              <w:t>〔</w:t>
            </w:r>
            <w:r>
              <w:rPr>
                <w:rFonts w:ascii="宋体" w:hAnsi="宋体" w:eastAsia="宋体" w:cs="宋体"/>
              </w:rPr>
              <w:t>2019</w:t>
            </w:r>
            <w:r>
              <w:rPr>
                <w:rFonts w:hint="eastAsia" w:ascii="宋体" w:hAnsi="宋体" w:eastAsia="宋体" w:cs="宋体"/>
                <w:lang w:eastAsia="zh-CN"/>
              </w:rPr>
              <w:t>〕</w:t>
            </w:r>
            <w:r>
              <w:rPr>
                <w:rFonts w:ascii="宋体" w:hAnsi="宋体" w:eastAsia="宋体" w:cs="宋体"/>
              </w:rPr>
              <w:t>36号）</w:t>
            </w:r>
          </w:p>
        </w:tc>
      </w:tr>
      <w:tr w14:paraId="357156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07" w:type="dxa"/>
            <w:noWrap w:val="0"/>
            <w:vAlign w:val="center"/>
          </w:tcPr>
          <w:p w14:paraId="67B235DB">
            <w:pPr>
              <w:pStyle w:val="53"/>
              <w:keepNext w:val="0"/>
              <w:keepLines w:val="0"/>
              <w:suppressLineNumbers w:val="0"/>
              <w:spacing w:before="0" w:beforeAutospacing="0" w:after="0" w:afterAutospacing="0" w:line="440" w:lineRule="exact"/>
              <w:ind w:left="0" w:right="0"/>
              <w:rPr>
                <w:rFonts w:ascii="宋体" w:hAnsi="宋体" w:eastAsia="宋体" w:cs="宋体"/>
              </w:rPr>
            </w:pPr>
            <w:r>
              <w:rPr>
                <w:rFonts w:ascii="宋体" w:hAnsi="宋体" w:eastAsia="宋体" w:cs="宋体"/>
              </w:rPr>
              <w:t>规划环境影响</w:t>
            </w:r>
          </w:p>
          <w:p w14:paraId="0F446CF4">
            <w:pPr>
              <w:pStyle w:val="53"/>
              <w:keepNext w:val="0"/>
              <w:keepLines w:val="0"/>
              <w:suppressLineNumbers w:val="0"/>
              <w:spacing w:before="0" w:beforeAutospacing="0" w:after="0" w:afterAutospacing="0" w:line="440" w:lineRule="exact"/>
              <w:ind w:left="0" w:right="0"/>
              <w:rPr>
                <w:rFonts w:ascii="宋体" w:hAnsi="宋体" w:eastAsia="宋体" w:cs="宋体"/>
              </w:rPr>
            </w:pPr>
            <w:r>
              <w:rPr>
                <w:rFonts w:ascii="宋体" w:hAnsi="宋体" w:eastAsia="宋体" w:cs="宋体"/>
              </w:rPr>
              <w:t>评价情况</w:t>
            </w:r>
          </w:p>
        </w:tc>
        <w:tc>
          <w:tcPr>
            <w:tcW w:w="7018" w:type="dxa"/>
            <w:gridSpan w:val="3"/>
            <w:noWrap w:val="0"/>
            <w:vAlign w:val="center"/>
          </w:tcPr>
          <w:p w14:paraId="41CA60F4">
            <w:pPr>
              <w:pStyle w:val="53"/>
              <w:keepNext w:val="0"/>
              <w:keepLines w:val="0"/>
              <w:suppressLineNumbers w:val="0"/>
              <w:spacing w:before="0" w:beforeAutospacing="0" w:after="0" w:afterAutospacing="0" w:line="440" w:lineRule="exact"/>
              <w:ind w:left="0" w:right="0"/>
              <w:jc w:val="center"/>
              <w:rPr>
                <w:rFonts w:hint="eastAsia" w:ascii="宋体" w:hAnsi="宋体" w:eastAsia="宋体" w:cs="宋体"/>
                <w:lang w:eastAsia="zh-CN"/>
              </w:rPr>
            </w:pPr>
            <w:r>
              <w:rPr>
                <w:rFonts w:hint="eastAsia" w:ascii="宋体" w:hAnsi="宋体" w:eastAsia="宋体" w:cs="宋体"/>
                <w:lang w:val="en-US" w:eastAsia="zh-CN"/>
              </w:rPr>
              <w:t>无</w:t>
            </w:r>
          </w:p>
        </w:tc>
      </w:tr>
      <w:tr w14:paraId="0ABD0B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98" w:hRule="atLeast"/>
          <w:jc w:val="center"/>
        </w:trPr>
        <w:tc>
          <w:tcPr>
            <w:tcW w:w="2007" w:type="dxa"/>
            <w:noWrap w:val="0"/>
            <w:vAlign w:val="center"/>
          </w:tcPr>
          <w:p w14:paraId="45DBF07B">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FF0000"/>
              </w:rPr>
            </w:pPr>
            <w:r>
              <w:rPr>
                <w:rFonts w:hint="eastAsia" w:ascii="宋体" w:hAnsi="宋体" w:eastAsia="宋体" w:cs="宋体"/>
              </w:rPr>
              <w:t>规划及规划环境影响评价符合性分析</w:t>
            </w:r>
          </w:p>
        </w:tc>
        <w:tc>
          <w:tcPr>
            <w:tcW w:w="7018" w:type="dxa"/>
            <w:gridSpan w:val="3"/>
            <w:noWrap w:val="0"/>
            <w:vAlign w:val="top"/>
          </w:tcPr>
          <w:p w14:paraId="77076011">
            <w:pPr>
              <w:pStyle w:val="6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79"/>
              <w:jc w:val="both"/>
              <w:textAlignment w:val="auto"/>
              <w:rPr>
                <w:rFonts w:hint="eastAsia" w:asciiTheme="majorEastAsia" w:hAnsiTheme="majorEastAsia" w:eastAsiaTheme="majorEastAsia" w:cstheme="majorEastAsia"/>
                <w:spacing w:val="-4"/>
                <w:sz w:val="24"/>
                <w:szCs w:val="24"/>
                <w:lang w:val="en-US" w:eastAsia="zh-CN"/>
              </w:rPr>
            </w:pPr>
            <w:r>
              <w:rPr>
                <w:rFonts w:hint="eastAsia" w:asciiTheme="majorEastAsia" w:hAnsiTheme="majorEastAsia" w:eastAsiaTheme="majorEastAsia" w:cstheme="majorEastAsia"/>
                <w:spacing w:val="-4"/>
                <w:sz w:val="24"/>
                <w:szCs w:val="24"/>
                <w:lang w:val="en-US" w:eastAsia="zh-CN"/>
              </w:rPr>
              <w:t>根据《句容市边城镇总体规划（2017-2035年）》，句容市边城镇规划范围为：东昌镇区，主要位于243省道东侧，北至盛昌路，东至滨河路-老243省道，西至243省道，规划总面积为294.25公顷。</w:t>
            </w:r>
          </w:p>
          <w:p w14:paraId="6709E7CF">
            <w:pPr>
              <w:pStyle w:val="6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79"/>
              <w:jc w:val="both"/>
              <w:textAlignment w:val="auto"/>
              <w:rPr>
                <w:rFonts w:hint="eastAsia" w:asciiTheme="majorEastAsia" w:hAnsiTheme="majorEastAsia" w:eastAsiaTheme="majorEastAsia" w:cstheme="majorEastAsia"/>
                <w:spacing w:val="-4"/>
                <w:sz w:val="24"/>
                <w:szCs w:val="24"/>
                <w:lang w:val="en-US" w:eastAsia="zh-CN"/>
              </w:rPr>
            </w:pPr>
            <w:r>
              <w:rPr>
                <w:rFonts w:hint="eastAsia" w:asciiTheme="majorEastAsia" w:hAnsiTheme="majorEastAsia" w:eastAsiaTheme="majorEastAsia" w:cstheme="majorEastAsia"/>
                <w:spacing w:val="-4"/>
                <w:sz w:val="24"/>
                <w:szCs w:val="24"/>
                <w:lang w:val="en-US" w:eastAsia="zh-CN"/>
              </w:rPr>
              <w:t>本项目位于句容市边城镇陈武街137号（原陈武窑厂），位于句容市边城镇控规范围内，该地块土地性质为工矿用地（土地证明见附件4），本项目建设符合句容市边城镇人民政府总体规划和土地使用规划。</w:t>
            </w:r>
          </w:p>
          <w:p w14:paraId="48F62070">
            <w:pPr>
              <w:pStyle w:val="6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heme="majorEastAsia" w:hAnsiTheme="majorEastAsia" w:eastAsiaTheme="majorEastAsia" w:cstheme="majorEastAsia"/>
                <w:spacing w:val="-4"/>
                <w:sz w:val="24"/>
                <w:szCs w:val="24"/>
                <w:lang w:val="en-US" w:eastAsia="zh-CN"/>
              </w:rPr>
            </w:pPr>
          </w:p>
        </w:tc>
      </w:tr>
      <w:tr w14:paraId="11BE73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16" w:hRule="atLeast"/>
          <w:jc w:val="center"/>
        </w:trPr>
        <w:tc>
          <w:tcPr>
            <w:tcW w:w="2007" w:type="dxa"/>
            <w:noWrap w:val="0"/>
            <w:vAlign w:val="center"/>
          </w:tcPr>
          <w:p w14:paraId="4013963B">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FF0000"/>
              </w:rPr>
            </w:pPr>
            <w:r>
              <w:rPr>
                <w:rFonts w:hint="eastAsia" w:ascii="宋体" w:hAnsi="宋体" w:eastAsia="宋体" w:cs="宋体"/>
              </w:rPr>
              <w:t>其他符合性分析</w:t>
            </w:r>
          </w:p>
        </w:tc>
        <w:tc>
          <w:tcPr>
            <w:tcW w:w="7018" w:type="dxa"/>
            <w:gridSpan w:val="3"/>
            <w:noWrap w:val="0"/>
            <w:vAlign w:val="center"/>
          </w:tcPr>
          <w:p w14:paraId="72B12473">
            <w:pPr>
              <w:keepNext w:val="0"/>
              <w:keepLines w:val="0"/>
              <w:suppressLineNumbers w:val="0"/>
              <w:adjustRightInd w:val="0"/>
              <w:snapToGrid w:val="0"/>
              <w:spacing w:before="0" w:beforeAutospacing="0" w:after="0" w:afterAutospacing="0"/>
              <w:ind w:left="0" w:right="0"/>
              <w:rPr>
                <w:rFonts w:hint="eastAsia" w:ascii="宋体" w:hAnsi="宋体" w:eastAsia="宋体" w:cs="宋体"/>
              </w:rPr>
            </w:pPr>
            <w:r>
              <w:rPr>
                <w:rFonts w:hint="eastAsia" w:ascii="宋体" w:hAnsi="宋体" w:eastAsia="宋体" w:cs="宋体"/>
              </w:rPr>
              <w:t>1、产业政策相符性</w:t>
            </w:r>
          </w:p>
          <w:p w14:paraId="4C317EEF">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rPr>
            </w:pPr>
            <w:r>
              <w:rPr>
                <w:rFonts w:hint="eastAsia" w:ascii="宋体" w:hAnsi="宋体" w:eastAsia="宋体" w:cs="宋体"/>
              </w:rPr>
              <w:t>本项目不属于《产业结构调整指导目录（20</w:t>
            </w:r>
            <w:r>
              <w:rPr>
                <w:rFonts w:hint="eastAsia" w:ascii="宋体" w:hAnsi="宋体" w:eastAsia="宋体" w:cs="宋体"/>
                <w:lang w:val="en-US" w:eastAsia="zh-CN"/>
              </w:rPr>
              <w:t>24</w:t>
            </w:r>
            <w:r>
              <w:rPr>
                <w:rFonts w:hint="eastAsia" w:ascii="宋体" w:hAnsi="宋体" w:eastAsia="宋体" w:cs="宋体"/>
              </w:rPr>
              <w:t>年本）》中限制类、淘汰类项目</w:t>
            </w:r>
            <w:r>
              <w:rPr>
                <w:rFonts w:hint="eastAsia" w:ascii="宋体" w:hAnsi="宋体" w:eastAsia="宋体" w:cs="宋体"/>
                <w:lang w:eastAsia="zh-CN"/>
              </w:rPr>
              <w:t>，</w:t>
            </w:r>
            <w:r>
              <w:rPr>
                <w:rFonts w:hint="eastAsia" w:ascii="宋体" w:hAnsi="宋体" w:eastAsia="宋体" w:cs="宋体"/>
                <w:lang w:val="zh-CN"/>
              </w:rPr>
              <w:t>不属于《镇江市产业结构调整指导目录（2019年本）》（镇发改工业发〔2019〕622号）中限制类、淘汰类项目。</w:t>
            </w:r>
            <w:r>
              <w:rPr>
                <w:rFonts w:hint="eastAsia" w:ascii="宋体" w:hAnsi="宋体" w:eastAsia="宋体" w:cs="宋体"/>
              </w:rPr>
              <w:t>本项目不属于《限制用地项目目录（2012年本）》和《禁止用地项目目录（2012年本）》中项目，也不属于《江苏省限制用地项目目录》（2013年本）和《江苏省禁止用地项目目录》（2013年本）中项目，不属于《市场准入负面清单（202</w:t>
            </w:r>
            <w:r>
              <w:rPr>
                <w:rFonts w:hint="eastAsia" w:ascii="宋体" w:hAnsi="宋体" w:eastAsia="宋体" w:cs="宋体"/>
                <w:lang w:val="en-US" w:eastAsia="zh-CN"/>
              </w:rPr>
              <w:t>5</w:t>
            </w:r>
            <w:r>
              <w:rPr>
                <w:rFonts w:hint="eastAsia" w:ascii="宋体" w:hAnsi="宋体" w:eastAsia="宋体" w:cs="宋体"/>
              </w:rPr>
              <w:t>年版）》中的禁止准入类和许可准入类两类事项范围，符合国家和地方产业政策。</w:t>
            </w:r>
          </w:p>
          <w:p w14:paraId="231CA269">
            <w:pPr>
              <w:pStyle w:val="10"/>
              <w:keepNext w:val="0"/>
              <w:keepLines w:val="0"/>
              <w:suppressLineNumbers w:val="0"/>
              <w:spacing w:before="0" w:beforeAutospacing="0" w:after="0" w:afterAutospacing="0"/>
              <w:ind w:left="0" w:right="0" w:firstLine="480" w:firstLineChars="200"/>
              <w:rPr>
                <w:rFonts w:hint="eastAsia" w:ascii="Times New Roman" w:hAnsi="Times New Roman" w:cs="Times New Roman"/>
              </w:rPr>
            </w:pPr>
            <w:r>
              <w:rPr>
                <w:rFonts w:hint="eastAsia" w:ascii="宋体" w:hAnsi="宋体" w:eastAsia="宋体" w:cs="宋体"/>
                <w:bCs/>
              </w:rPr>
              <w:t>本项目已于2023年</w:t>
            </w:r>
            <w:r>
              <w:rPr>
                <w:rFonts w:hint="eastAsia" w:ascii="宋体" w:hAnsi="宋体" w:eastAsia="宋体" w:cs="宋体"/>
                <w:bCs/>
                <w:lang w:val="en-US" w:eastAsia="zh-CN"/>
              </w:rPr>
              <w:t>12</w:t>
            </w:r>
            <w:r>
              <w:rPr>
                <w:rFonts w:hint="eastAsia" w:ascii="宋体" w:hAnsi="宋体" w:eastAsia="宋体" w:cs="宋体"/>
                <w:bCs/>
              </w:rPr>
              <w:t>月1</w:t>
            </w:r>
            <w:r>
              <w:rPr>
                <w:rFonts w:hint="eastAsia" w:ascii="宋体" w:hAnsi="宋体" w:eastAsia="宋体" w:cs="宋体"/>
                <w:bCs/>
                <w:lang w:val="en-US" w:eastAsia="zh-CN"/>
              </w:rPr>
              <w:t>2</w:t>
            </w:r>
            <w:r>
              <w:rPr>
                <w:rFonts w:hint="eastAsia" w:ascii="宋体" w:hAnsi="宋体" w:eastAsia="宋体" w:cs="宋体"/>
                <w:bCs/>
              </w:rPr>
              <w:t>日取得</w:t>
            </w:r>
            <w:r>
              <w:rPr>
                <w:rFonts w:hint="eastAsia" w:ascii="宋体" w:hAnsi="宋体" w:eastAsia="宋体" w:cs="宋体"/>
                <w:bCs/>
                <w:lang w:val="en-US" w:eastAsia="zh-CN"/>
              </w:rPr>
              <w:t>句容市</w:t>
            </w:r>
            <w:r>
              <w:rPr>
                <w:rFonts w:hint="eastAsia" w:ascii="宋体" w:hAnsi="宋体" w:eastAsia="宋体" w:cs="宋体"/>
                <w:bCs/>
              </w:rPr>
              <w:t>行政审批局的备案证（</w:t>
            </w:r>
            <w:r>
              <w:rPr>
                <w:rFonts w:hint="eastAsia" w:ascii="宋体" w:hAnsi="宋体" w:eastAsia="宋体" w:cs="宋体"/>
                <w:bCs/>
                <w:lang w:val="en-US" w:eastAsia="zh-CN"/>
              </w:rPr>
              <w:t>句行审投资备</w:t>
            </w:r>
            <w:r>
              <w:rPr>
                <w:rFonts w:hint="eastAsia" w:ascii="宋体" w:hAnsi="宋体" w:eastAsia="宋体" w:cs="宋体"/>
                <w:bCs/>
                <w:lang w:eastAsia="zh-CN"/>
              </w:rPr>
              <w:t>〔</w:t>
            </w:r>
            <w:r>
              <w:rPr>
                <w:rFonts w:hint="eastAsia" w:ascii="宋体" w:hAnsi="宋体" w:eastAsia="宋体" w:cs="宋体"/>
                <w:bCs/>
              </w:rPr>
              <w:t>2023</w:t>
            </w:r>
            <w:r>
              <w:rPr>
                <w:rFonts w:hint="eastAsia" w:ascii="宋体" w:hAnsi="宋体" w:eastAsia="宋体" w:cs="宋体"/>
                <w:bCs/>
                <w:lang w:eastAsia="zh-CN"/>
              </w:rPr>
              <w:t>〕</w:t>
            </w:r>
            <w:r>
              <w:rPr>
                <w:rFonts w:hint="eastAsia" w:ascii="宋体" w:hAnsi="宋体" w:eastAsia="宋体" w:cs="宋体"/>
                <w:bCs/>
                <w:lang w:val="en-US" w:eastAsia="zh-CN"/>
              </w:rPr>
              <w:t>321</w:t>
            </w:r>
            <w:r>
              <w:rPr>
                <w:rFonts w:hint="eastAsia" w:ascii="宋体" w:hAnsi="宋体" w:eastAsia="宋体" w:cs="宋体"/>
                <w:bCs/>
              </w:rPr>
              <w:t>号）。</w:t>
            </w:r>
          </w:p>
          <w:p w14:paraId="591E9B27">
            <w:pPr>
              <w:keepNext w:val="0"/>
              <w:keepLines w:val="0"/>
              <w:suppressLineNumbers w:val="0"/>
              <w:adjustRightInd w:val="0"/>
              <w:snapToGrid w:val="0"/>
              <w:spacing w:before="0" w:beforeAutospacing="0" w:after="0" w:afterAutospacing="0"/>
              <w:ind w:left="0" w:right="0"/>
              <w:rPr>
                <w:rFonts w:hint="eastAsia" w:ascii="宋体" w:hAnsi="宋体" w:eastAsia="宋体" w:cs="宋体"/>
              </w:rPr>
            </w:pPr>
            <w:r>
              <w:rPr>
                <w:rFonts w:hint="eastAsia" w:ascii="宋体" w:hAnsi="宋体" w:eastAsia="宋体" w:cs="宋体"/>
              </w:rPr>
              <w:t>2、与“三线一单”相符性分析</w:t>
            </w:r>
          </w:p>
          <w:p w14:paraId="76BC6F4D">
            <w:pPr>
              <w:pStyle w:val="10"/>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rPr>
            </w:pPr>
            <w:r>
              <w:rPr>
                <w:rFonts w:hint="eastAsia" w:ascii="宋体" w:hAnsi="宋体" w:eastAsia="宋体" w:cs="宋体"/>
              </w:rPr>
              <w:t>⑴与《江苏省“三线一单”生态环境分区管控方案》相符性</w:t>
            </w:r>
          </w:p>
          <w:p w14:paraId="6C694882">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rPr>
            </w:pPr>
            <w:r>
              <w:rPr>
                <w:rFonts w:hint="eastAsia" w:ascii="宋体" w:hAnsi="宋体" w:eastAsia="宋体" w:cs="宋体"/>
                <w:b w:val="0"/>
                <w:bCs/>
                <w:sz w:val="24"/>
                <w:szCs w:val="24"/>
                <w:lang w:val="en-US" w:eastAsia="zh-CN"/>
              </w:rPr>
              <w:t>对照《省政府关于印发江苏省“三线一单”生态环境分区管控方案的通知》（苏政发〔2020〕49号）和《2023年生态环境分区管控成果动态更新工作方案》（环办环评函〔2023〕81号），</w:t>
            </w:r>
            <w:r>
              <w:rPr>
                <w:rFonts w:hint="eastAsia" w:ascii="宋体" w:hAnsi="宋体" w:eastAsia="宋体" w:cs="宋体"/>
                <w:b w:val="0"/>
                <w:bCs/>
                <w:color w:val="auto"/>
                <w:sz w:val="24"/>
                <w:szCs w:val="24"/>
                <w:lang w:val="en-US" w:eastAsia="zh-CN"/>
              </w:rPr>
              <w:t>本项目所在地位于</w:t>
            </w:r>
            <w:r>
              <w:rPr>
                <w:rFonts w:hint="eastAsia" w:ascii="宋体" w:hAnsi="宋体" w:eastAsia="宋体" w:cs="宋体"/>
                <w:color w:val="auto"/>
                <w:sz w:val="24"/>
                <w:szCs w:val="24"/>
                <w:lang w:val="en-US" w:eastAsia="zh-CN"/>
              </w:rPr>
              <w:t>边城镇</w:t>
            </w:r>
            <w:r>
              <w:rPr>
                <w:rFonts w:hint="eastAsia" w:ascii="宋体" w:hAnsi="宋体" w:eastAsia="宋体" w:cs="宋体"/>
                <w:b w:val="0"/>
                <w:bCs/>
                <w:color w:val="auto"/>
                <w:sz w:val="24"/>
                <w:szCs w:val="24"/>
                <w:lang w:val="en-US" w:eastAsia="zh-CN"/>
              </w:rPr>
              <w:t>，对照江苏省环境管控单元图，本项</w:t>
            </w:r>
            <w:r>
              <w:rPr>
                <w:rFonts w:hint="eastAsia" w:ascii="宋体" w:hAnsi="宋体" w:eastAsia="宋体" w:cs="宋体"/>
                <w:b w:val="0"/>
                <w:bCs/>
                <w:sz w:val="24"/>
                <w:szCs w:val="24"/>
                <w:lang w:val="en-US" w:eastAsia="zh-CN"/>
              </w:rPr>
              <w:t>目所在区域属于一般管控单元，不在重点管控范围内。</w:t>
            </w:r>
          </w:p>
          <w:p w14:paraId="5B3284A6">
            <w:pPr>
              <w:pStyle w:val="10"/>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rPr>
            </w:pPr>
            <w:r>
              <w:rPr>
                <w:rFonts w:hint="eastAsia" w:ascii="Times New Roman" w:hAnsi="Times New Roman" w:cs="Times New Roman"/>
              </w:rPr>
              <w:t>⑵</w:t>
            </w:r>
            <w:r>
              <w:rPr>
                <w:rFonts w:hint="eastAsia" w:ascii="宋体" w:hAnsi="宋体" w:eastAsia="宋体" w:cs="宋体"/>
              </w:rPr>
              <w:t>与《镇江市“三线一单”生态环境分区管控方案》相符性分析</w:t>
            </w:r>
          </w:p>
          <w:p w14:paraId="0662A07C">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rPr>
            </w:pPr>
            <w:r>
              <w:rPr>
                <w:rFonts w:hint="eastAsia" w:ascii="宋体" w:hAnsi="宋体" w:eastAsia="宋体" w:cs="宋体"/>
              </w:rPr>
              <w:t>对照《关于印发&lt;镇江市“三线一单”生态环境分区管控方案&gt;的通知》</w:t>
            </w:r>
            <w:r>
              <w:rPr>
                <w:rFonts w:hint="eastAsia" w:ascii="宋体" w:hAnsi="宋体" w:eastAsia="宋体" w:cs="宋体"/>
                <w:lang w:eastAsia="zh-CN"/>
              </w:rPr>
              <w:t>（</w:t>
            </w:r>
            <w:r>
              <w:rPr>
                <w:rFonts w:hint="eastAsia" w:ascii="宋体" w:hAnsi="宋体" w:eastAsia="宋体" w:cs="宋体"/>
              </w:rPr>
              <w:t>镇环发</w:t>
            </w:r>
            <w:r>
              <w:rPr>
                <w:rFonts w:hint="eastAsia" w:ascii="宋体" w:hAnsi="宋体" w:eastAsia="宋体" w:cs="宋体"/>
                <w:lang w:eastAsia="zh-CN"/>
              </w:rPr>
              <w:t>〔</w:t>
            </w:r>
            <w:r>
              <w:rPr>
                <w:rFonts w:hint="eastAsia" w:ascii="宋体" w:hAnsi="宋体" w:eastAsia="宋体" w:cs="宋体"/>
              </w:rPr>
              <w:t>2020</w:t>
            </w:r>
            <w:r>
              <w:rPr>
                <w:rFonts w:hint="eastAsia" w:ascii="宋体" w:hAnsi="宋体" w:eastAsia="宋体" w:cs="宋体"/>
                <w:lang w:eastAsia="zh-CN"/>
              </w:rPr>
              <w:t>〕</w:t>
            </w:r>
            <w:r>
              <w:rPr>
                <w:rFonts w:hint="eastAsia" w:ascii="宋体" w:hAnsi="宋体" w:eastAsia="宋体" w:cs="宋体"/>
              </w:rPr>
              <w:t>5号</w:t>
            </w:r>
            <w:r>
              <w:rPr>
                <w:rFonts w:hint="eastAsia" w:ascii="宋体" w:hAnsi="宋体" w:eastAsia="宋体" w:cs="宋体"/>
                <w:lang w:eastAsia="zh-CN"/>
              </w:rPr>
              <w:t>）</w:t>
            </w:r>
            <w:r>
              <w:rPr>
                <w:rFonts w:hint="eastAsia" w:ascii="宋体" w:hAnsi="宋体" w:eastAsia="宋体" w:cs="宋体"/>
                <w:lang w:val="en-US" w:eastAsia="zh-CN"/>
              </w:rPr>
              <w:t>和《镇江市生态环境分区管控动态更新成果（2023 年版）》</w:t>
            </w:r>
            <w:r>
              <w:rPr>
                <w:rFonts w:hint="eastAsia" w:ascii="宋体" w:hAnsi="宋体" w:eastAsia="宋体" w:cs="宋体"/>
              </w:rPr>
              <w:t>，距离本项目最近的生态空间保护区为</w:t>
            </w:r>
            <w:r>
              <w:rPr>
                <w:rFonts w:hint="eastAsia" w:ascii="宋体" w:hAnsi="宋体" w:eastAsia="宋体" w:cs="宋体"/>
                <w:lang w:val="en-US" w:eastAsia="zh-CN"/>
              </w:rPr>
              <w:t>江苏镇江黄岗寺省级森林公园</w:t>
            </w:r>
            <w:r>
              <w:rPr>
                <w:rFonts w:hint="eastAsia" w:ascii="宋体" w:hAnsi="宋体" w:eastAsia="宋体" w:cs="宋体"/>
              </w:rPr>
              <w:t>，属于优先保护单元，项目所在区域</w:t>
            </w:r>
            <w:r>
              <w:rPr>
                <w:rFonts w:hint="eastAsia" w:ascii="宋体" w:hAnsi="宋体" w:eastAsia="宋体" w:cs="宋体"/>
                <w:lang w:eastAsia="zh-CN"/>
              </w:rPr>
              <w:t>（</w:t>
            </w:r>
            <w:r>
              <w:rPr>
                <w:rFonts w:hint="eastAsia" w:ascii="宋体" w:hAnsi="宋体" w:eastAsia="宋体" w:cs="宋体"/>
                <w:lang w:val="en-US" w:eastAsia="zh-CN"/>
              </w:rPr>
              <w:t>边城镇</w:t>
            </w:r>
            <w:r>
              <w:rPr>
                <w:rFonts w:hint="eastAsia" w:ascii="宋体" w:hAnsi="宋体" w:eastAsia="宋体" w:cs="宋体"/>
                <w:lang w:eastAsia="zh-CN"/>
              </w:rPr>
              <w:t>）</w:t>
            </w:r>
            <w:r>
              <w:rPr>
                <w:rFonts w:hint="eastAsia" w:ascii="宋体" w:hAnsi="宋体" w:eastAsia="宋体" w:cs="宋体"/>
              </w:rPr>
              <w:t>属于</w:t>
            </w:r>
            <w:r>
              <w:rPr>
                <w:rFonts w:hint="eastAsia" w:ascii="宋体" w:hAnsi="宋体" w:eastAsia="宋体" w:cs="宋体"/>
                <w:lang w:val="en-US" w:eastAsia="zh-CN"/>
              </w:rPr>
              <w:t>一般</w:t>
            </w:r>
            <w:r>
              <w:rPr>
                <w:rFonts w:hint="eastAsia" w:ascii="宋体" w:hAnsi="宋体" w:eastAsia="宋体" w:cs="宋体"/>
              </w:rPr>
              <w:t>管控单元，项目与镇江市市域生态环境管控要求相符性具体如下：</w:t>
            </w:r>
          </w:p>
          <w:p w14:paraId="5A7DB875">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rPr>
            </w:pPr>
            <w:r>
              <w:rPr>
                <w:rFonts w:hint="eastAsia" w:ascii="宋体" w:hAnsi="宋体" w:eastAsia="宋体" w:cs="宋体"/>
                <w:b/>
                <w:bCs/>
              </w:rPr>
              <w:t>表1-</w:t>
            </w:r>
            <w:r>
              <w:rPr>
                <w:rFonts w:hint="eastAsia" w:ascii="宋体" w:hAnsi="宋体" w:eastAsia="宋体" w:cs="宋体"/>
                <w:b/>
                <w:bCs/>
                <w:lang w:val="en-US" w:eastAsia="zh-CN"/>
              </w:rPr>
              <w:t>1</w:t>
            </w:r>
            <w:r>
              <w:rPr>
                <w:rFonts w:hint="eastAsia" w:ascii="宋体" w:hAnsi="宋体" w:eastAsia="宋体" w:cs="宋体"/>
                <w:b/>
                <w:bCs/>
              </w:rPr>
              <w:t xml:space="preserve"> 建设项目与镇江市生态环境管控要求相符性分析</w:t>
            </w:r>
          </w:p>
          <w:tbl>
            <w:tblPr>
              <w:tblStyle w:val="30"/>
              <w:tblW w:w="693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38"/>
              <w:gridCol w:w="3668"/>
              <w:gridCol w:w="1462"/>
              <w:gridCol w:w="662"/>
              <w:gridCol w:w="9"/>
            </w:tblGrid>
            <w:tr w14:paraId="23475F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9" w:type="dxa"/>
                <w:trHeight w:val="90" w:hRule="atLeast"/>
                <w:jc w:val="center"/>
              </w:trPr>
              <w:tc>
                <w:tcPr>
                  <w:tcW w:w="1138" w:type="dxa"/>
                  <w:noWrap w:val="0"/>
                  <w:vAlign w:val="center"/>
                </w:tcPr>
                <w:p w14:paraId="30964A4E">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b/>
                      <w:bCs/>
                      <w:sz w:val="21"/>
                      <w:szCs w:val="21"/>
                    </w:rPr>
                  </w:pPr>
                  <w:r>
                    <w:rPr>
                      <w:rFonts w:hint="eastAsia" w:ascii="宋体" w:hAnsi="宋体" w:eastAsia="宋体" w:cs="宋体"/>
                      <w:b/>
                      <w:bCs/>
                      <w:sz w:val="21"/>
                      <w:szCs w:val="21"/>
                    </w:rPr>
                    <w:t xml:space="preserve">生态环境 </w:t>
                  </w:r>
                </w:p>
                <w:p w14:paraId="56096B7F">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b/>
                      <w:bCs/>
                      <w:sz w:val="21"/>
                      <w:szCs w:val="21"/>
                    </w:rPr>
                  </w:pPr>
                  <w:r>
                    <w:rPr>
                      <w:rFonts w:hint="eastAsia" w:ascii="宋体" w:hAnsi="宋体" w:eastAsia="宋体" w:cs="宋体"/>
                      <w:b/>
                      <w:bCs/>
                      <w:sz w:val="21"/>
                      <w:szCs w:val="21"/>
                    </w:rPr>
                    <w:t>准入清单</w:t>
                  </w:r>
                </w:p>
              </w:tc>
              <w:tc>
                <w:tcPr>
                  <w:tcW w:w="3668" w:type="dxa"/>
                  <w:noWrap w:val="0"/>
                  <w:vAlign w:val="center"/>
                </w:tcPr>
                <w:p w14:paraId="05D6C348">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b/>
                      <w:bCs/>
                      <w:sz w:val="21"/>
                      <w:szCs w:val="21"/>
                    </w:rPr>
                  </w:pPr>
                  <w:r>
                    <w:rPr>
                      <w:rFonts w:hint="eastAsia" w:ascii="宋体" w:hAnsi="宋体" w:eastAsia="宋体" w:cs="宋体"/>
                      <w:b/>
                      <w:bCs/>
                      <w:sz w:val="21"/>
                      <w:szCs w:val="21"/>
                    </w:rPr>
                    <w:t>重点管控要求</w:t>
                  </w:r>
                </w:p>
              </w:tc>
              <w:tc>
                <w:tcPr>
                  <w:tcW w:w="1462" w:type="dxa"/>
                  <w:noWrap w:val="0"/>
                  <w:vAlign w:val="center"/>
                </w:tcPr>
                <w:p w14:paraId="0761C442">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b/>
                      <w:bCs/>
                      <w:sz w:val="21"/>
                      <w:szCs w:val="21"/>
                    </w:rPr>
                  </w:pPr>
                  <w:r>
                    <w:rPr>
                      <w:rFonts w:hint="eastAsia" w:ascii="宋体" w:hAnsi="宋体" w:eastAsia="宋体" w:cs="宋体"/>
                      <w:b/>
                      <w:bCs/>
                      <w:sz w:val="21"/>
                      <w:szCs w:val="21"/>
                    </w:rPr>
                    <w:t>符合性</w:t>
                  </w:r>
                </w:p>
                <w:p w14:paraId="08A83C05">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b/>
                      <w:bCs/>
                      <w:sz w:val="21"/>
                      <w:szCs w:val="21"/>
                    </w:rPr>
                  </w:pPr>
                  <w:r>
                    <w:rPr>
                      <w:rFonts w:hint="eastAsia" w:ascii="宋体" w:hAnsi="宋体" w:eastAsia="宋体" w:cs="宋体"/>
                      <w:b/>
                      <w:bCs/>
                      <w:sz w:val="21"/>
                      <w:szCs w:val="21"/>
                    </w:rPr>
                    <w:t>分析</w:t>
                  </w:r>
                </w:p>
              </w:tc>
              <w:tc>
                <w:tcPr>
                  <w:tcW w:w="662" w:type="dxa"/>
                  <w:noWrap w:val="0"/>
                  <w:vAlign w:val="center"/>
                </w:tcPr>
                <w:p w14:paraId="5F56C163">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b/>
                      <w:bCs/>
                      <w:sz w:val="21"/>
                      <w:szCs w:val="21"/>
                    </w:rPr>
                  </w:pPr>
                  <w:r>
                    <w:rPr>
                      <w:rFonts w:hint="eastAsia" w:ascii="宋体" w:hAnsi="宋体" w:eastAsia="宋体" w:cs="宋体"/>
                      <w:b/>
                      <w:bCs/>
                      <w:sz w:val="21"/>
                      <w:szCs w:val="21"/>
                    </w:rPr>
                    <w:t>相符性</w:t>
                  </w:r>
                </w:p>
              </w:tc>
            </w:tr>
            <w:tr w14:paraId="6B222B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9" w:type="dxa"/>
                <w:trHeight w:val="90" w:hRule="atLeast"/>
                <w:jc w:val="center"/>
              </w:trPr>
              <w:tc>
                <w:tcPr>
                  <w:tcW w:w="6930" w:type="dxa"/>
                  <w:gridSpan w:val="4"/>
                  <w:noWrap w:val="0"/>
                  <w:vAlign w:val="center"/>
                </w:tcPr>
                <w:p w14:paraId="38E8A232">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cs="宋体"/>
                      <w:sz w:val="21"/>
                      <w:szCs w:val="21"/>
                    </w:rPr>
                  </w:pPr>
                  <w:r>
                    <w:rPr>
                      <w:rFonts w:hint="default" w:ascii="宋体" w:hAnsi="宋体" w:eastAsia="宋体" w:cs="宋体"/>
                      <w:b/>
                      <w:bCs/>
                      <w:sz w:val="21"/>
                      <w:szCs w:val="21"/>
                      <w:lang w:val="en-US" w:eastAsia="zh-CN"/>
                    </w:rPr>
                    <w:t>江苏</w:t>
                  </w:r>
                  <w:r>
                    <w:rPr>
                      <w:rFonts w:hint="eastAsia" w:ascii="宋体" w:hAnsi="宋体" w:eastAsia="宋体" w:cs="宋体"/>
                      <w:b/>
                      <w:bCs/>
                      <w:sz w:val="21"/>
                      <w:szCs w:val="21"/>
                      <w:lang w:val="en-US" w:eastAsia="zh-CN"/>
                    </w:rPr>
                    <w:t>镇江</w:t>
                  </w:r>
                  <w:r>
                    <w:rPr>
                      <w:rFonts w:hint="default" w:ascii="宋体" w:hAnsi="宋体" w:eastAsia="宋体" w:cs="宋体"/>
                      <w:b/>
                      <w:bCs/>
                      <w:sz w:val="21"/>
                      <w:szCs w:val="21"/>
                      <w:lang w:val="en-US" w:eastAsia="zh-CN"/>
                    </w:rPr>
                    <w:t>黄岗寺省级森林公园</w:t>
                  </w:r>
                </w:p>
              </w:tc>
            </w:tr>
            <w:tr w14:paraId="3AB8BF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9" w:type="dxa"/>
                <w:trHeight w:val="269" w:hRule="atLeast"/>
                <w:jc w:val="center"/>
              </w:trPr>
              <w:tc>
                <w:tcPr>
                  <w:tcW w:w="1138" w:type="dxa"/>
                  <w:noWrap w:val="0"/>
                  <w:vAlign w:val="center"/>
                </w:tcPr>
                <w:p w14:paraId="79B5C342">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tLeast"/>
                    <w:ind w:left="0" w:leftChars="0" w:right="0" w:rightChars="0" w:firstLine="0" w:firstLineChars="0"/>
                    <w:jc w:val="center"/>
                    <w:textAlignment w:val="baseline"/>
                    <w:rPr>
                      <w:rFonts w:hint="eastAsia" w:ascii="宋体" w:hAnsi="宋体" w:eastAsia="宋体" w:cs="宋体"/>
                      <w:sz w:val="21"/>
                      <w:szCs w:val="21"/>
                    </w:rPr>
                  </w:pPr>
                  <w:r>
                    <w:rPr>
                      <w:rFonts w:hint="default" w:ascii="Times New Roman" w:hAnsi="Times New Roman" w:eastAsia="宋体" w:cs="Times New Roman"/>
                      <w:color w:val="auto"/>
                      <w:spacing w:val="0"/>
                      <w:kern w:val="0"/>
                      <w:sz w:val="21"/>
                      <w:szCs w:val="21"/>
                    </w:rPr>
                    <w:t>空间布局约束</w:t>
                  </w:r>
                </w:p>
              </w:tc>
              <w:tc>
                <w:tcPr>
                  <w:tcW w:w="3668" w:type="dxa"/>
                  <w:noWrap w:val="0"/>
                  <w:vAlign w:val="center"/>
                </w:tcPr>
                <w:p w14:paraId="661BB62F">
                  <w:pPr>
                    <w:keepNext w:val="0"/>
                    <w:keepLines w:val="0"/>
                    <w:pageBreakBefore w:val="0"/>
                    <w:widowControl w:val="0"/>
                    <w:suppressLineNumbers w:val="0"/>
                    <w:tabs>
                      <w:tab w:val="left" w:pos="223"/>
                    </w:tabs>
                    <w:kinsoku/>
                    <w:wordWrap w:val="0"/>
                    <w:overflowPunct/>
                    <w:topLinePunct/>
                    <w:autoSpaceDE/>
                    <w:autoSpaceDN/>
                    <w:bidi w:val="0"/>
                    <w:adjustRightInd w:val="0"/>
                    <w:snapToGrid w:val="0"/>
                    <w:spacing w:before="0" w:beforeAutospacing="0" w:after="0" w:afterAutospacing="0" w:line="240" w:lineRule="atLeast"/>
                    <w:ind w:left="0" w:leftChars="0" w:right="0" w:rightChars="0" w:firstLine="0" w:firstLineChars="0"/>
                    <w:jc w:val="center"/>
                    <w:textAlignment w:val="baseline"/>
                    <w:rPr>
                      <w:rFonts w:hint="default" w:ascii="宋体" w:hAnsi="宋体" w:eastAsia="宋体" w:cs="宋体"/>
                      <w:sz w:val="21"/>
                      <w:szCs w:val="21"/>
                    </w:rPr>
                  </w:pPr>
                  <w:r>
                    <w:rPr>
                      <w:rFonts w:hint="default" w:ascii="宋体" w:hAnsi="宋体" w:eastAsia="宋体" w:cs="宋体"/>
                      <w:sz w:val="21"/>
                      <w:szCs w:val="21"/>
                    </w:rPr>
                    <w:t>（一）根据《省政府关于印发江苏省生态空间管控区域规划的通知》（苏政〔2020〕1号）：3、森林公园国家级生态保护红线内严禁不符合主体功能定位的各类开发活动。（二）根据《关于加强生态保护红线管理的通知（试行）》（自然资发〔2022〕142 号）：7、管护巡护、保护执法、科学研究、调查监测、测绘导航、防灾减灾救灾、军事国防、疫情防控等活动及相关的必要设施修筑。8、原住居民和其他合法权益主体，允许在不扩大现有建设用地、用海用岛、耕地、水产养殖规模和放牧强度（符合草畜平衡管理规定）的前提下，开展种植、放牧、捕捞、养殖（不包括投礁型海洋牧场、围海养殖）等活动，修筑生产生活设施。9、经依法批准的考古调查发掘、古生物化石调查发掘、标本采集和文物保护活动。10、按规定对人工商品林进行抚育采伐，或以提升森林质量、优化栖息地、建设生物防火隔离带等为目的的树种更新，依法开展的竹林采伐经营。11、不破坏生态功能的适度参观旅游、科普宣教及符合相关规划的配套性服务设施和相关的必要公共设施建设及维护。12、必须且无法避让、符合县级以上国土空间规划的线性基础设施、通讯和防洪、供水设施建设和船舶航行、航道疏浚清淤等活动；已有的合法水利、交通运输等设施运行维护改造。13、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14、法律法规规定允许的其他人为活动。15、加强有限人为活动管理。生态保护红线管控范围内有限人为活动，涉及新增建设用地审批的，在报批农用地转用、土地征收时，附省级人民政府出具符合生态保护红线内允许有限人为活动的认定意见；不涉及新增建设用地审批的，按有关规定进行管理，无明确规定的由省级人民政府制定具体监管办法。上述活动涉及自然保护地的，应征求林业和草原主管部门或自然保护地管理机构意见。16、有序处理历史遗留问题。生态保护红线经国务院批准后，对需逐步有序退出的矿业权等，由省级人民政府按照尊重历史、实事求是的原则，结合实际制定退出计划，明确时序安排、补偿安置、生态修复等要求，确保生态安全和社会稳定。鼓励有条件的地方通过租赁、置换、赎买等方式，对人工商品林实行统一管护，并将重要生态区位的人工商品林按规定逐步转为公益林。零星分布的已有水电、风电、光伏、海洋能设施，按照相关法律法规规定进行管理，严禁扩大现有规模与范围，项目到期后由建设单位负责做好生态修复。（三）根据《长江经济带发展负面清单指南（试行，2022版）》（长江办[2022]7 号）：17、禁止在自然保护区核心区、缓冲区的岸线和河段范围内投资建设旅游和生产经营项目。禁止在风景名胜区核心景区的岸线和河段范围内投资建设与风景名胜资源保护无关的项目。18、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462" w:type="dxa"/>
                  <w:noWrap w:val="0"/>
                  <w:vAlign w:val="center"/>
                </w:tcPr>
                <w:p w14:paraId="7E1C5BD2">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tLeast"/>
                    <w:ind w:left="0" w:leftChars="0" w:right="0" w:rightChars="0" w:firstLine="0" w:firstLineChars="0"/>
                    <w:jc w:val="center"/>
                    <w:textAlignment w:val="baseline"/>
                    <w:rPr>
                      <w:rFonts w:hint="eastAsia" w:ascii="宋体" w:hAnsi="宋体" w:eastAsia="宋体" w:cs="宋体"/>
                      <w:sz w:val="21"/>
                      <w:szCs w:val="21"/>
                      <w:lang w:val="en-US" w:eastAsia="zh-CN"/>
                    </w:rPr>
                  </w:pPr>
                  <w:r>
                    <w:rPr>
                      <w:rFonts w:hint="default" w:ascii="Times New Roman" w:hAnsi="Times New Roman" w:eastAsia="宋体" w:cs="Times New Roman"/>
                      <w:color w:val="auto"/>
                      <w:spacing w:val="0"/>
                      <w:kern w:val="0"/>
                      <w:sz w:val="21"/>
                      <w:szCs w:val="21"/>
                    </w:rPr>
                    <w:t>本项目选址不在《江苏省国家级生态保护红线规划》</w:t>
                  </w:r>
                  <w:r>
                    <w:rPr>
                      <w:rFonts w:hint="eastAsia" w:ascii="Times New Roman" w:hAnsi="Times New Roman" w:eastAsia="宋体"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苏政发</w:t>
                  </w:r>
                  <w:r>
                    <w:rPr>
                      <w:rFonts w:hint="eastAsia" w:ascii="Times New Roman" w:hAnsi="Times New Roman" w:eastAsia="宋体"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2018</w:t>
                  </w:r>
                  <w:r>
                    <w:rPr>
                      <w:rFonts w:hint="eastAsia" w:ascii="Times New Roman" w:hAnsi="Times New Roman" w:eastAsia="宋体"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74 号</w:t>
                  </w:r>
                  <w:r>
                    <w:rPr>
                      <w:rFonts w:hint="eastAsia" w:ascii="Times New Roman" w:hAnsi="Times New Roman" w:eastAsia="宋体"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和《省政府关于印发江苏省生态空间管控区域规划的通知》</w:t>
                  </w:r>
                  <w:r>
                    <w:rPr>
                      <w:rFonts w:hint="eastAsia" w:ascii="Times New Roman" w:hAnsi="Times New Roman" w:eastAsia="宋体"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 xml:space="preserve">苏政发 </w:t>
                  </w:r>
                  <w:r>
                    <w:rPr>
                      <w:rFonts w:hint="eastAsia" w:ascii="Times New Roman" w:hAnsi="Times New Roman" w:eastAsia="宋体"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2020</w:t>
                  </w:r>
                  <w:r>
                    <w:rPr>
                      <w:rFonts w:hint="eastAsia" w:ascii="Times New Roman" w:hAnsi="Times New Roman" w:eastAsia="宋体"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1号</w:t>
                  </w:r>
                  <w:r>
                    <w:rPr>
                      <w:rFonts w:hint="eastAsia" w:ascii="Times New Roman" w:hAnsi="Times New Roman" w:eastAsia="宋体" w:cs="Times New Roman"/>
                      <w:color w:val="auto"/>
                      <w:spacing w:val="0"/>
                      <w:kern w:val="0"/>
                      <w:sz w:val="21"/>
                      <w:szCs w:val="21"/>
                      <w:lang w:eastAsia="zh-CN"/>
                    </w:rPr>
                    <w:t>）</w:t>
                  </w:r>
                  <w:r>
                    <w:rPr>
                      <w:rFonts w:hint="default" w:ascii="Times New Roman" w:hAnsi="Times New Roman" w:eastAsia="宋体" w:cs="Times New Roman"/>
                      <w:color w:val="auto"/>
                      <w:spacing w:val="0"/>
                      <w:kern w:val="0"/>
                      <w:sz w:val="21"/>
                      <w:szCs w:val="21"/>
                    </w:rPr>
                    <w:t>范围内。本项目不涉及上述行业及行为，项目建设符合</w:t>
                  </w:r>
                  <w:r>
                    <w:rPr>
                      <w:rFonts w:hint="eastAsia" w:ascii="Times New Roman" w:hAnsi="Times New Roman" w:eastAsia="宋体" w:cs="Times New Roman"/>
                      <w:color w:val="auto"/>
                      <w:spacing w:val="0"/>
                      <w:kern w:val="0"/>
                      <w:sz w:val="21"/>
                      <w:szCs w:val="21"/>
                      <w:lang w:val="en-US" w:eastAsia="zh-CN"/>
                    </w:rPr>
                    <w:t>边城镇</w:t>
                  </w:r>
                  <w:r>
                    <w:rPr>
                      <w:rFonts w:hint="default" w:ascii="Times New Roman" w:hAnsi="Times New Roman" w:eastAsia="宋体" w:cs="Times New Roman"/>
                      <w:color w:val="auto"/>
                      <w:spacing w:val="0"/>
                      <w:kern w:val="0"/>
                      <w:sz w:val="21"/>
                      <w:szCs w:val="21"/>
                    </w:rPr>
                    <w:t>规划发展要求</w:t>
                  </w:r>
                </w:p>
              </w:tc>
              <w:tc>
                <w:tcPr>
                  <w:tcW w:w="662" w:type="dxa"/>
                  <w:noWrap w:val="0"/>
                  <w:vAlign w:val="center"/>
                </w:tcPr>
                <w:p w14:paraId="76072165">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tLeast"/>
                    <w:ind w:left="0" w:leftChars="0" w:right="0" w:rightChars="0" w:firstLine="0" w:firstLine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符合</w:t>
                  </w:r>
                </w:p>
              </w:tc>
            </w:tr>
            <w:tr w14:paraId="5E57DA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9" w:type="dxa"/>
                <w:trHeight w:val="269" w:hRule="atLeast"/>
                <w:jc w:val="center"/>
              </w:trPr>
              <w:tc>
                <w:tcPr>
                  <w:tcW w:w="1138" w:type="dxa"/>
                  <w:noWrap w:val="0"/>
                  <w:vAlign w:val="center"/>
                </w:tcPr>
                <w:p w14:paraId="4DA9A599">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tLeast"/>
                    <w:ind w:left="0" w:leftChars="0" w:right="0" w:rightChars="0" w:firstLine="0" w:firstLineChars="0"/>
                    <w:jc w:val="center"/>
                    <w:textAlignment w:val="baseline"/>
                    <w:rPr>
                      <w:rFonts w:hint="default" w:ascii="Times New Roman" w:hAnsi="Times New Roman" w:eastAsia="宋体" w:cs="Times New Roman"/>
                      <w:color w:val="auto"/>
                      <w:spacing w:val="8"/>
                      <w:sz w:val="21"/>
                      <w:szCs w:val="21"/>
                    </w:rPr>
                  </w:pPr>
                  <w:r>
                    <w:rPr>
                      <w:rFonts w:hint="eastAsia" w:ascii="Times New Roman" w:hAnsi="Times New Roman" w:eastAsia="宋体" w:cs="Times New Roman"/>
                      <w:color w:val="auto"/>
                      <w:spacing w:val="0"/>
                      <w:kern w:val="0"/>
                      <w:sz w:val="21"/>
                      <w:szCs w:val="21"/>
                      <w:lang w:val="en-US" w:eastAsia="zh-CN"/>
                    </w:rPr>
                    <w:t>污染物排放管控</w:t>
                  </w:r>
                </w:p>
              </w:tc>
              <w:tc>
                <w:tcPr>
                  <w:tcW w:w="3668" w:type="dxa"/>
                  <w:noWrap w:val="0"/>
                  <w:vAlign w:val="center"/>
                </w:tcPr>
                <w:p w14:paraId="4080013E">
                  <w:pPr>
                    <w:keepNext w:val="0"/>
                    <w:keepLines w:val="0"/>
                    <w:pageBreakBefore w:val="0"/>
                    <w:widowControl w:val="0"/>
                    <w:suppressLineNumbers w:val="0"/>
                    <w:tabs>
                      <w:tab w:val="left" w:pos="223"/>
                    </w:tabs>
                    <w:kinsoku/>
                    <w:wordWrap w:val="0"/>
                    <w:overflowPunct/>
                    <w:topLinePunct/>
                    <w:autoSpaceDE/>
                    <w:autoSpaceDN/>
                    <w:bidi w:val="0"/>
                    <w:adjustRightInd w:val="0"/>
                    <w:snapToGrid w:val="0"/>
                    <w:spacing w:before="0" w:beforeAutospacing="0" w:after="0" w:afterAutospacing="0" w:line="240" w:lineRule="atLeast"/>
                    <w:ind w:left="0" w:leftChars="0" w:right="0" w:rightChars="0" w:firstLine="0" w:firstLineChars="0"/>
                    <w:jc w:val="center"/>
                    <w:textAlignment w:val="baseline"/>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⑴根据《中华人民共和国森林法》：禁止向林地排放重金属或者其他有毒有害物质含量超标的污水、污泥，以及可能造成林地污染的清淤底泥、尾矿、矿渣等。⑵根据《国家级森林公园管理办法》：在国家级森林公园内禁止未经处理直接排放生活污水和超标准的废水、废气，乱倒垃圾、废渣、废物及其他污染物。⑶根据《江苏省省级森林公园管理办法》：省级森林公园内禁止未经处理直接排放影响森林公园内植被生长和自然景观的污染物。</w:t>
                  </w:r>
                </w:p>
              </w:tc>
              <w:tc>
                <w:tcPr>
                  <w:tcW w:w="1462" w:type="dxa"/>
                  <w:noWrap w:val="0"/>
                  <w:vAlign w:val="center"/>
                </w:tcPr>
                <w:p w14:paraId="22727054">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tLeast"/>
                    <w:ind w:left="0" w:leftChars="0" w:right="0" w:rightChars="0" w:firstLine="0" w:firstLineChars="0"/>
                    <w:jc w:val="center"/>
                    <w:textAlignment w:val="baseline"/>
                    <w:rPr>
                      <w:rFonts w:hint="default" w:ascii="Times New Roman" w:hAnsi="Times New Roman" w:eastAsia="宋体" w:cs="Times New Roman"/>
                      <w:color w:val="auto"/>
                      <w:spacing w:val="8"/>
                      <w:sz w:val="21"/>
                      <w:szCs w:val="21"/>
                    </w:rPr>
                  </w:pPr>
                  <w:r>
                    <w:rPr>
                      <w:rFonts w:hint="eastAsia" w:ascii="Times New Roman" w:hAnsi="Times New Roman" w:eastAsia="宋体" w:cs="Times New Roman"/>
                      <w:color w:val="auto"/>
                      <w:spacing w:val="0"/>
                      <w:kern w:val="0"/>
                      <w:sz w:val="21"/>
                      <w:szCs w:val="21"/>
                      <w:lang w:val="en-US" w:eastAsia="zh-CN"/>
                    </w:rPr>
                    <w:t>本项目不在</w:t>
                  </w:r>
                  <w:r>
                    <w:rPr>
                      <w:rFonts w:hint="eastAsia" w:eastAsia="宋体" w:cs="Times New Roman"/>
                      <w:color w:val="auto"/>
                      <w:spacing w:val="0"/>
                      <w:kern w:val="0"/>
                      <w:sz w:val="21"/>
                      <w:szCs w:val="21"/>
                      <w:lang w:val="en-US" w:eastAsia="zh-CN"/>
                    </w:rPr>
                    <w:t>森林公园</w:t>
                  </w:r>
                  <w:r>
                    <w:rPr>
                      <w:rFonts w:hint="eastAsia" w:ascii="Times New Roman" w:hAnsi="Times New Roman" w:eastAsia="宋体" w:cs="Times New Roman"/>
                      <w:color w:val="auto"/>
                      <w:spacing w:val="0"/>
                      <w:kern w:val="0"/>
                      <w:sz w:val="21"/>
                      <w:szCs w:val="21"/>
                      <w:lang w:val="en-US" w:eastAsia="zh-CN"/>
                    </w:rPr>
                    <w:t>保护区内，不涉及以上活动。</w:t>
                  </w:r>
                </w:p>
              </w:tc>
              <w:tc>
                <w:tcPr>
                  <w:tcW w:w="662" w:type="dxa"/>
                  <w:noWrap w:val="0"/>
                  <w:vAlign w:val="center"/>
                </w:tcPr>
                <w:p w14:paraId="18A20B9A">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tLeast"/>
                    <w:ind w:left="0" w:leftChars="0" w:right="0" w:rightChars="0" w:firstLine="0" w:firstLineChars="0"/>
                    <w:jc w:val="center"/>
                    <w:textAlignment w:val="baseline"/>
                    <w:rPr>
                      <w:rFonts w:hint="default" w:ascii="Times New Roman" w:hAnsi="Times New Roman" w:eastAsia="宋体" w:cs="Times New Roman"/>
                      <w:color w:val="auto"/>
                      <w:spacing w:val="8"/>
                      <w:sz w:val="21"/>
                      <w:szCs w:val="21"/>
                      <w:lang w:val="en-US" w:eastAsia="zh-CN"/>
                    </w:rPr>
                  </w:pPr>
                  <w:r>
                    <w:rPr>
                      <w:rFonts w:hint="eastAsia" w:eastAsia="宋体" w:cs="Times New Roman"/>
                      <w:color w:val="auto"/>
                      <w:spacing w:val="8"/>
                      <w:sz w:val="21"/>
                      <w:szCs w:val="21"/>
                      <w:lang w:val="en-US" w:eastAsia="zh-CN"/>
                    </w:rPr>
                    <w:t>符合</w:t>
                  </w:r>
                </w:p>
              </w:tc>
            </w:tr>
            <w:tr w14:paraId="781F8E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9" w:type="dxa"/>
                <w:trHeight w:val="269" w:hRule="atLeast"/>
                <w:jc w:val="center"/>
              </w:trPr>
              <w:tc>
                <w:tcPr>
                  <w:tcW w:w="1138" w:type="dxa"/>
                  <w:noWrap w:val="0"/>
                  <w:vAlign w:val="center"/>
                </w:tcPr>
                <w:p w14:paraId="1D012026">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tLeast"/>
                    <w:ind w:left="0" w:leftChars="0" w:right="0" w:rightChars="0" w:firstLine="0" w:firstLineChars="0"/>
                    <w:jc w:val="center"/>
                    <w:textAlignment w:val="baseline"/>
                    <w:rPr>
                      <w:rFonts w:hint="default" w:ascii="Times New Roman" w:hAnsi="Times New Roman" w:eastAsia="宋体" w:cs="Times New Roman"/>
                      <w:color w:val="auto"/>
                      <w:spacing w:val="8"/>
                      <w:sz w:val="21"/>
                      <w:szCs w:val="21"/>
                    </w:rPr>
                  </w:pPr>
                  <w:r>
                    <w:rPr>
                      <w:rFonts w:hint="eastAsia" w:ascii="Times New Roman" w:hAnsi="Times New Roman" w:eastAsia="宋体" w:cs="Times New Roman"/>
                      <w:color w:val="auto"/>
                      <w:spacing w:val="0"/>
                      <w:kern w:val="0"/>
                      <w:sz w:val="21"/>
                      <w:szCs w:val="21"/>
                      <w:lang w:val="en-US" w:eastAsia="zh-CN"/>
                    </w:rPr>
                    <w:t>环境风险防控</w:t>
                  </w:r>
                </w:p>
              </w:tc>
              <w:tc>
                <w:tcPr>
                  <w:tcW w:w="3668" w:type="dxa"/>
                  <w:noWrap w:val="0"/>
                  <w:vAlign w:val="center"/>
                </w:tcPr>
                <w:p w14:paraId="1D34BA71">
                  <w:pPr>
                    <w:keepNext w:val="0"/>
                    <w:keepLines w:val="0"/>
                    <w:pageBreakBefore w:val="0"/>
                    <w:widowControl w:val="0"/>
                    <w:suppressLineNumbers w:val="0"/>
                    <w:tabs>
                      <w:tab w:val="left" w:pos="223"/>
                    </w:tabs>
                    <w:kinsoku/>
                    <w:wordWrap w:val="0"/>
                    <w:overflowPunct/>
                    <w:topLinePunct/>
                    <w:autoSpaceDE/>
                    <w:autoSpaceDN/>
                    <w:bidi w:val="0"/>
                    <w:adjustRightInd w:val="0"/>
                    <w:snapToGrid w:val="0"/>
                    <w:spacing w:before="0" w:beforeAutospacing="0" w:after="0" w:afterAutospacing="0" w:line="240" w:lineRule="atLeast"/>
                    <w:ind w:left="0" w:leftChars="0" w:right="0" w:rightChars="0" w:firstLine="0" w:firstLineChars="0"/>
                    <w:jc w:val="center"/>
                    <w:textAlignment w:val="baseline"/>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⑴根据《中华人民共和国森林法》：国家建立森林资源调查监测制度，对全国森林资源现状及变化情况进行调查、监测和评价，并定期公布。⑵国家级森林公园，根据《国家级森林公园管理办法》：国家级森林公园经营管理机构应当在危险地段设置安全防护设施和安全警示标识，制定突发事件应急预案应当建立健全森林防火制度，落实防火责任制，加强防火宣传和用火管理，建立森林火灾扑救队伍，配备必要的防火设施与设备。⑶省级森林公园，根据《江苏省省级森林公园管理办法》：省级森林公园经营管理单位应当健全扩林防火管理制度，建立森林防火监测和处置体系，制定防火应急预案，配备必要的防火人员、设施，加强防火宣传和用火管理。</w:t>
                  </w:r>
                </w:p>
              </w:tc>
              <w:tc>
                <w:tcPr>
                  <w:tcW w:w="1462" w:type="dxa"/>
                  <w:noWrap w:val="0"/>
                  <w:vAlign w:val="center"/>
                </w:tcPr>
                <w:p w14:paraId="3826C279">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tLeast"/>
                    <w:ind w:left="0" w:leftChars="0" w:right="0" w:rightChars="0" w:firstLine="0" w:firstLineChars="0"/>
                    <w:jc w:val="center"/>
                    <w:textAlignment w:val="baseline"/>
                    <w:rPr>
                      <w:rFonts w:hint="default" w:ascii="Times New Roman" w:hAnsi="Times New Roman" w:eastAsia="宋体" w:cs="Times New Roman"/>
                      <w:color w:val="auto"/>
                      <w:spacing w:val="8"/>
                      <w:sz w:val="21"/>
                      <w:szCs w:val="21"/>
                    </w:rPr>
                  </w:pPr>
                  <w:r>
                    <w:rPr>
                      <w:rFonts w:hint="eastAsia" w:ascii="Times New Roman" w:hAnsi="Times New Roman" w:eastAsia="宋体" w:cs="Times New Roman"/>
                      <w:color w:val="auto"/>
                      <w:spacing w:val="0"/>
                      <w:kern w:val="0"/>
                      <w:sz w:val="21"/>
                      <w:szCs w:val="21"/>
                      <w:lang w:val="en-US" w:eastAsia="zh-CN"/>
                    </w:rPr>
                    <w:t>本项目不在</w:t>
                  </w:r>
                  <w:r>
                    <w:rPr>
                      <w:rFonts w:hint="eastAsia" w:eastAsia="宋体" w:cs="Times New Roman"/>
                      <w:color w:val="auto"/>
                      <w:spacing w:val="0"/>
                      <w:kern w:val="0"/>
                      <w:sz w:val="21"/>
                      <w:szCs w:val="21"/>
                      <w:lang w:val="en-US" w:eastAsia="zh-CN"/>
                    </w:rPr>
                    <w:t>森林公园</w:t>
                  </w:r>
                  <w:r>
                    <w:rPr>
                      <w:rFonts w:hint="eastAsia" w:ascii="Times New Roman" w:hAnsi="Times New Roman" w:eastAsia="宋体" w:cs="Times New Roman"/>
                      <w:color w:val="auto"/>
                      <w:spacing w:val="0"/>
                      <w:kern w:val="0"/>
                      <w:sz w:val="21"/>
                      <w:szCs w:val="21"/>
                      <w:lang w:val="en-US" w:eastAsia="zh-CN"/>
                    </w:rPr>
                    <w:t>保护区内，不涉及从事危险作业</w:t>
                  </w:r>
                  <w:r>
                    <w:rPr>
                      <w:rFonts w:hint="eastAsia" w:eastAsia="宋体" w:cs="Times New Roman"/>
                      <w:color w:val="auto"/>
                      <w:spacing w:val="0"/>
                      <w:kern w:val="0"/>
                      <w:sz w:val="21"/>
                      <w:szCs w:val="21"/>
                      <w:lang w:val="en-US" w:eastAsia="zh-CN"/>
                    </w:rPr>
                    <w:t>。</w:t>
                  </w:r>
                </w:p>
              </w:tc>
              <w:tc>
                <w:tcPr>
                  <w:tcW w:w="662" w:type="dxa"/>
                  <w:noWrap w:val="0"/>
                  <w:vAlign w:val="center"/>
                </w:tcPr>
                <w:p w14:paraId="51A5F0BA">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tLeast"/>
                    <w:ind w:left="0" w:leftChars="0" w:right="0" w:rightChars="0" w:firstLine="0" w:firstLineChars="0"/>
                    <w:jc w:val="center"/>
                    <w:textAlignment w:val="baseline"/>
                    <w:rPr>
                      <w:rFonts w:hint="eastAsia" w:ascii="Times New Roman" w:hAnsi="Times New Roman" w:eastAsia="宋体" w:cs="Times New Roman"/>
                      <w:color w:val="auto"/>
                      <w:spacing w:val="8"/>
                      <w:sz w:val="21"/>
                      <w:szCs w:val="21"/>
                      <w:lang w:val="en-US" w:eastAsia="zh-CN"/>
                    </w:rPr>
                  </w:pPr>
                  <w:r>
                    <w:rPr>
                      <w:rFonts w:hint="eastAsia" w:eastAsia="宋体" w:cs="Times New Roman"/>
                      <w:color w:val="auto"/>
                      <w:spacing w:val="8"/>
                      <w:sz w:val="21"/>
                      <w:szCs w:val="21"/>
                      <w:lang w:val="en-US" w:eastAsia="zh-CN"/>
                    </w:rPr>
                    <w:t>符合</w:t>
                  </w:r>
                </w:p>
              </w:tc>
            </w:tr>
            <w:tr w14:paraId="02E790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9" w:type="dxa"/>
                <w:trHeight w:val="269" w:hRule="atLeast"/>
                <w:jc w:val="center"/>
              </w:trPr>
              <w:tc>
                <w:tcPr>
                  <w:tcW w:w="1138" w:type="dxa"/>
                  <w:noWrap w:val="0"/>
                  <w:vAlign w:val="center"/>
                </w:tcPr>
                <w:p w14:paraId="680D5272">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tLeast"/>
                    <w:ind w:left="0" w:leftChars="0" w:right="0" w:rightChars="0" w:firstLine="0" w:firstLineChars="0"/>
                    <w:jc w:val="center"/>
                    <w:textAlignment w:val="baseline"/>
                    <w:rPr>
                      <w:rFonts w:hint="default" w:ascii="Times New Roman" w:hAnsi="Times New Roman" w:eastAsia="宋体" w:cs="Times New Roman"/>
                      <w:color w:val="auto"/>
                      <w:spacing w:val="8"/>
                      <w:sz w:val="21"/>
                      <w:szCs w:val="21"/>
                    </w:rPr>
                  </w:pPr>
                  <w:r>
                    <w:rPr>
                      <w:rFonts w:hint="eastAsia" w:ascii="Times New Roman" w:hAnsi="Times New Roman" w:eastAsia="宋体" w:cs="Times New Roman"/>
                      <w:color w:val="auto"/>
                      <w:spacing w:val="0"/>
                      <w:kern w:val="0"/>
                      <w:sz w:val="21"/>
                      <w:szCs w:val="21"/>
                      <w:lang w:val="en-US" w:eastAsia="zh-CN"/>
                    </w:rPr>
                    <w:t>资源开发效率要求</w:t>
                  </w:r>
                </w:p>
              </w:tc>
              <w:tc>
                <w:tcPr>
                  <w:tcW w:w="3668" w:type="dxa"/>
                  <w:noWrap w:val="0"/>
                  <w:vAlign w:val="center"/>
                </w:tcPr>
                <w:p w14:paraId="62D3641A">
                  <w:pPr>
                    <w:keepNext w:val="0"/>
                    <w:keepLines w:val="0"/>
                    <w:pageBreakBefore w:val="0"/>
                    <w:widowControl w:val="0"/>
                    <w:suppressLineNumbers w:val="0"/>
                    <w:tabs>
                      <w:tab w:val="left" w:pos="223"/>
                    </w:tabs>
                    <w:kinsoku/>
                    <w:wordWrap w:val="0"/>
                    <w:overflowPunct/>
                    <w:topLinePunct/>
                    <w:autoSpaceDE/>
                    <w:autoSpaceDN/>
                    <w:bidi w:val="0"/>
                    <w:adjustRightInd w:val="0"/>
                    <w:snapToGrid w:val="0"/>
                    <w:spacing w:before="0" w:beforeAutospacing="0" w:after="0" w:afterAutospacing="0" w:line="240" w:lineRule="atLeast"/>
                    <w:ind w:left="0" w:leftChars="0" w:right="0" w:rightChars="0" w:firstLine="0" w:firstLineChars="0"/>
                    <w:jc w:val="center"/>
                    <w:textAlignment w:val="baseline"/>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⑴根据《中华人民共和国森林法》：森林、林木、林地的所有者和使用者应当依法保护和合理利用森林、林木、林地不得非法改变林地用途和毁坏森林、林木、林地。⑵根据《中华人民共和国森林法》：国家保护林地，严格控制林地转为非林地，实行占用林地总量控制，确保林地保有量不减少。各类建设项目占用林地不得超过本行政区域的占用林地总量控制指标。⑶根据《中华人民共和国森林法》：矿藏勘查、开采以及其他各类工程建设应当不占或者少占林地；确需占用林地的，应当经县级以上人民政府林业主管部门审核同意，依法办理建设用地审批手续。</w:t>
                  </w:r>
                </w:p>
              </w:tc>
              <w:tc>
                <w:tcPr>
                  <w:tcW w:w="1462" w:type="dxa"/>
                  <w:noWrap w:val="0"/>
                  <w:vAlign w:val="center"/>
                </w:tcPr>
                <w:p w14:paraId="1A312ADF">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tLeast"/>
                    <w:ind w:left="0" w:leftChars="0" w:right="0" w:rightChars="0" w:firstLine="0" w:firstLineChars="0"/>
                    <w:jc w:val="center"/>
                    <w:textAlignment w:val="baseline"/>
                    <w:rPr>
                      <w:rFonts w:hint="default" w:ascii="Times New Roman" w:hAnsi="Times New Roman" w:eastAsia="宋体" w:cs="Times New Roman"/>
                      <w:color w:val="auto"/>
                      <w:spacing w:val="8"/>
                      <w:sz w:val="21"/>
                      <w:szCs w:val="21"/>
                      <w:lang w:val="en-US"/>
                    </w:rPr>
                  </w:pPr>
                  <w:r>
                    <w:rPr>
                      <w:rFonts w:hint="eastAsia" w:ascii="Times New Roman" w:hAnsi="Times New Roman" w:eastAsia="宋体" w:cs="Times New Roman"/>
                      <w:color w:val="auto"/>
                      <w:spacing w:val="0"/>
                      <w:kern w:val="0"/>
                      <w:sz w:val="21"/>
                      <w:szCs w:val="21"/>
                      <w:lang w:val="en-US" w:eastAsia="zh-CN"/>
                    </w:rPr>
                    <w:t>本项目</w:t>
                  </w:r>
                  <w:r>
                    <w:rPr>
                      <w:rFonts w:hint="eastAsia" w:eastAsia="宋体" w:cs="Times New Roman"/>
                      <w:color w:val="auto"/>
                      <w:spacing w:val="0"/>
                      <w:kern w:val="0"/>
                      <w:sz w:val="21"/>
                      <w:szCs w:val="21"/>
                      <w:lang w:val="en-US" w:eastAsia="zh-CN"/>
                    </w:rPr>
                    <w:t>不占用林地范围。</w:t>
                  </w:r>
                </w:p>
              </w:tc>
              <w:tc>
                <w:tcPr>
                  <w:tcW w:w="662" w:type="dxa"/>
                  <w:noWrap w:val="0"/>
                  <w:vAlign w:val="center"/>
                </w:tcPr>
                <w:p w14:paraId="27AC938C">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tLeast"/>
                    <w:ind w:left="0" w:leftChars="0" w:right="0" w:rightChars="0" w:firstLine="0" w:firstLineChars="0"/>
                    <w:jc w:val="center"/>
                    <w:textAlignment w:val="baseline"/>
                    <w:rPr>
                      <w:rFonts w:hint="eastAsia" w:ascii="Times New Roman" w:hAnsi="Times New Roman" w:eastAsia="宋体" w:cs="Times New Roman"/>
                      <w:color w:val="auto"/>
                      <w:spacing w:val="8"/>
                      <w:sz w:val="21"/>
                      <w:szCs w:val="21"/>
                      <w:lang w:val="en-US" w:eastAsia="zh-CN"/>
                    </w:rPr>
                  </w:pPr>
                  <w:r>
                    <w:rPr>
                      <w:rFonts w:hint="eastAsia" w:eastAsia="宋体" w:cs="Times New Roman"/>
                      <w:color w:val="auto"/>
                      <w:spacing w:val="8"/>
                      <w:sz w:val="21"/>
                      <w:szCs w:val="21"/>
                      <w:lang w:val="en-US" w:eastAsia="zh-CN"/>
                    </w:rPr>
                    <w:t>符合</w:t>
                  </w:r>
                </w:p>
              </w:tc>
            </w:tr>
            <w:tr w14:paraId="1E8D4A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9" w:type="dxa"/>
                <w:trHeight w:val="90" w:hRule="atLeast"/>
                <w:jc w:val="center"/>
              </w:trPr>
              <w:tc>
                <w:tcPr>
                  <w:tcW w:w="6930" w:type="dxa"/>
                  <w:gridSpan w:val="4"/>
                  <w:noWrap w:val="0"/>
                  <w:vAlign w:val="center"/>
                </w:tcPr>
                <w:p w14:paraId="30F70262">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sz w:val="21"/>
                      <w:szCs w:val="21"/>
                      <w:lang w:eastAsia="zh-CN"/>
                    </w:rPr>
                  </w:pPr>
                  <w:r>
                    <w:rPr>
                      <w:rFonts w:hint="eastAsia" w:ascii="宋体" w:hAnsi="宋体" w:eastAsia="宋体" w:cs="宋体"/>
                      <w:b/>
                      <w:bCs/>
                      <w:sz w:val="21"/>
                      <w:szCs w:val="21"/>
                      <w:lang w:val="en-US" w:eastAsia="zh-CN"/>
                    </w:rPr>
                    <w:t>边城镇</w:t>
                  </w:r>
                </w:p>
              </w:tc>
            </w:tr>
            <w:tr w14:paraId="10026B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9" w:type="dxa"/>
                <w:trHeight w:val="90" w:hRule="atLeast"/>
                <w:jc w:val="center"/>
              </w:trPr>
              <w:tc>
                <w:tcPr>
                  <w:tcW w:w="1138" w:type="dxa"/>
                  <w:noWrap w:val="0"/>
                  <w:vAlign w:val="center"/>
                </w:tcPr>
                <w:p w14:paraId="5EAE2F0E">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空间布局约束</w:t>
                  </w:r>
                </w:p>
              </w:tc>
              <w:tc>
                <w:tcPr>
                  <w:tcW w:w="3668" w:type="dxa"/>
                  <w:noWrap w:val="0"/>
                  <w:vAlign w:val="center"/>
                </w:tcPr>
                <w:p w14:paraId="4EC85CB2">
                  <w:pPr>
                    <w:keepNext w:val="0"/>
                    <w:keepLines w:val="0"/>
                    <w:suppressLineNumbers w:val="0"/>
                    <w:adjustRightInd w:val="0"/>
                    <w:snapToGrid w:val="0"/>
                    <w:spacing w:before="0" w:beforeAutospacing="0" w:after="0" w:afterAutospacing="0" w:line="240" w:lineRule="auto"/>
                    <w:ind w:left="0" w:right="0"/>
                    <w:rPr>
                      <w:rFonts w:hint="eastAsia" w:ascii="宋体" w:hAnsi="宋体" w:eastAsia="宋体" w:cs="宋体"/>
                      <w:sz w:val="21"/>
                      <w:szCs w:val="21"/>
                      <w:lang w:val="zh-CN"/>
                    </w:rPr>
                  </w:pPr>
                  <w:r>
                    <w:rPr>
                      <w:rFonts w:hint="eastAsia" w:ascii="宋体" w:hAnsi="宋体" w:eastAsia="宋体" w:cs="宋体"/>
                      <w:sz w:val="21"/>
                      <w:szCs w:val="21"/>
                      <w:lang w:val="zh-CN"/>
                    </w:rPr>
                    <w:t>⑴各类开发建设活动应符合国土空间规划、城镇总体规划、土地利用规划、详细规划等相关要求。</w:t>
                  </w:r>
                </w:p>
                <w:p w14:paraId="5277717C">
                  <w:pPr>
                    <w:keepNext w:val="0"/>
                    <w:keepLines w:val="0"/>
                    <w:suppressLineNumbers w:val="0"/>
                    <w:adjustRightInd w:val="0"/>
                    <w:snapToGrid w:val="0"/>
                    <w:spacing w:before="0" w:beforeAutospacing="0" w:after="0" w:afterAutospacing="0" w:line="240" w:lineRule="auto"/>
                    <w:ind w:left="0" w:right="0"/>
                    <w:rPr>
                      <w:rFonts w:hint="eastAsia" w:ascii="宋体" w:hAnsi="宋体" w:eastAsia="宋体" w:cs="宋体"/>
                      <w:sz w:val="21"/>
                      <w:szCs w:val="21"/>
                    </w:rPr>
                  </w:pPr>
                  <w:r>
                    <w:rPr>
                      <w:rFonts w:hint="eastAsia" w:ascii="宋体" w:hAnsi="宋体" w:eastAsia="宋体" w:cs="宋体"/>
                      <w:sz w:val="21"/>
                      <w:szCs w:val="21"/>
                      <w:lang w:val="zh-CN"/>
                    </w:rPr>
                    <w:t>⑵永久基本农田，实行严格保护。</w:t>
                  </w:r>
                </w:p>
              </w:tc>
              <w:tc>
                <w:tcPr>
                  <w:tcW w:w="1462" w:type="dxa"/>
                  <w:noWrap w:val="0"/>
                  <w:vAlign w:val="center"/>
                </w:tcPr>
                <w:p w14:paraId="177FFE36">
                  <w:pPr>
                    <w:keepNext w:val="0"/>
                    <w:keepLines w:val="0"/>
                    <w:suppressLineNumbers w:val="0"/>
                    <w:adjustRightInd w:val="0"/>
                    <w:snapToGrid w:val="0"/>
                    <w:spacing w:before="0" w:beforeAutospacing="0" w:after="0" w:afterAutospacing="0" w:line="240" w:lineRule="auto"/>
                    <w:ind w:left="0" w:right="0"/>
                    <w:jc w:val="both"/>
                    <w:rPr>
                      <w:rFonts w:hint="eastAsia" w:ascii="宋体" w:hAnsi="宋体" w:eastAsia="宋体" w:cs="宋体"/>
                      <w:sz w:val="21"/>
                      <w:szCs w:val="21"/>
                    </w:rPr>
                  </w:pPr>
                  <w:r>
                    <w:rPr>
                      <w:rFonts w:hint="eastAsia" w:ascii="宋体" w:hAnsi="宋体" w:eastAsia="宋体" w:cs="宋体"/>
                      <w:sz w:val="21"/>
                      <w:szCs w:val="21"/>
                    </w:rPr>
                    <w:t>本项目用地为</w:t>
                  </w:r>
                  <w:r>
                    <w:rPr>
                      <w:rFonts w:hint="eastAsia" w:ascii="宋体" w:hAnsi="宋体" w:eastAsia="宋体" w:cs="宋体"/>
                      <w:sz w:val="21"/>
                      <w:szCs w:val="21"/>
                      <w:lang w:val="en-US" w:eastAsia="zh-CN"/>
                    </w:rPr>
                    <w:t>工矿用地</w:t>
                  </w:r>
                  <w:r>
                    <w:rPr>
                      <w:rFonts w:hint="eastAsia" w:ascii="宋体" w:hAnsi="宋体" w:eastAsia="宋体" w:cs="宋体"/>
                      <w:sz w:val="21"/>
                      <w:szCs w:val="21"/>
                    </w:rPr>
                    <w:t>，</w:t>
                  </w:r>
                  <w:r>
                    <w:rPr>
                      <w:rFonts w:hint="eastAsia" w:ascii="宋体" w:hAnsi="宋体" w:eastAsia="宋体" w:cs="宋体"/>
                      <w:sz w:val="21"/>
                      <w:szCs w:val="21"/>
                      <w:lang w:val="en-US" w:eastAsia="zh-CN"/>
                    </w:rPr>
                    <w:t>不占用</w:t>
                  </w:r>
                  <w:r>
                    <w:rPr>
                      <w:rFonts w:hint="eastAsia" w:ascii="宋体" w:hAnsi="宋体" w:eastAsia="宋体" w:cs="宋体"/>
                      <w:sz w:val="21"/>
                      <w:szCs w:val="21"/>
                      <w:lang w:val="zh-CN"/>
                    </w:rPr>
                    <w:t>永久基本农田，</w:t>
                  </w:r>
                  <w:r>
                    <w:rPr>
                      <w:rFonts w:hint="eastAsia" w:ascii="宋体" w:hAnsi="宋体" w:eastAsia="宋体" w:cs="宋体"/>
                      <w:sz w:val="21"/>
                      <w:szCs w:val="21"/>
                    </w:rPr>
                    <w:t>能够满足土地利用和其他环境管理要求。</w:t>
                  </w:r>
                </w:p>
              </w:tc>
              <w:tc>
                <w:tcPr>
                  <w:tcW w:w="662" w:type="dxa"/>
                  <w:noWrap w:val="0"/>
                  <w:vAlign w:val="center"/>
                </w:tcPr>
                <w:p w14:paraId="4CCFD7D0">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符合</w:t>
                  </w:r>
                </w:p>
              </w:tc>
            </w:tr>
            <w:tr w14:paraId="4B9ED0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7" w:hRule="atLeast"/>
                <w:jc w:val="center"/>
              </w:trPr>
              <w:tc>
                <w:tcPr>
                  <w:tcW w:w="1138" w:type="dxa"/>
                  <w:noWrap w:val="0"/>
                  <w:vAlign w:val="center"/>
                </w:tcPr>
                <w:p w14:paraId="36F4B762">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污染物排放管控</w:t>
                  </w:r>
                </w:p>
              </w:tc>
              <w:tc>
                <w:tcPr>
                  <w:tcW w:w="3668" w:type="dxa"/>
                  <w:noWrap w:val="0"/>
                  <w:vAlign w:val="center"/>
                </w:tcPr>
                <w:p w14:paraId="63E3782D">
                  <w:pPr>
                    <w:keepNext w:val="0"/>
                    <w:keepLines w:val="0"/>
                    <w:suppressLineNumbers w:val="0"/>
                    <w:adjustRightInd w:val="0"/>
                    <w:snapToGrid w:val="0"/>
                    <w:spacing w:before="0" w:beforeAutospacing="0" w:after="0" w:afterAutospacing="0" w:line="240" w:lineRule="auto"/>
                    <w:ind w:left="0" w:right="0"/>
                    <w:rPr>
                      <w:rFonts w:hint="eastAsia" w:ascii="宋体" w:hAnsi="宋体" w:eastAsia="宋体" w:cs="宋体"/>
                      <w:sz w:val="21"/>
                      <w:szCs w:val="21"/>
                      <w:lang w:val="zh-CN"/>
                    </w:rPr>
                  </w:pPr>
                  <w:r>
                    <w:rPr>
                      <w:rFonts w:hint="eastAsia" w:ascii="宋体" w:hAnsi="宋体" w:eastAsia="宋体" w:cs="宋体"/>
                      <w:sz w:val="21"/>
                      <w:szCs w:val="21"/>
                      <w:lang w:val="zh-CN"/>
                    </w:rPr>
                    <w:t>⑴加大农村生活污水、垃圾治理工作，进一步改善农村人居环境质量。逐步完成规划发展村庄生活污水治理工作，基本实现农村生活垃圾收运处理体系全覆盖。</w:t>
                  </w:r>
                </w:p>
                <w:p w14:paraId="7C97403A">
                  <w:pPr>
                    <w:keepNext w:val="0"/>
                    <w:keepLines w:val="0"/>
                    <w:suppressLineNumbers w:val="0"/>
                    <w:adjustRightInd w:val="0"/>
                    <w:snapToGrid w:val="0"/>
                    <w:spacing w:before="0" w:beforeAutospacing="0" w:after="0" w:afterAutospacing="0" w:line="240" w:lineRule="auto"/>
                    <w:ind w:left="0" w:right="0"/>
                    <w:rPr>
                      <w:rFonts w:hint="eastAsia" w:ascii="宋体" w:hAnsi="宋体" w:eastAsia="宋体" w:cs="宋体"/>
                      <w:sz w:val="21"/>
                      <w:szCs w:val="21"/>
                      <w:lang w:val="zh-CN"/>
                    </w:rPr>
                  </w:pPr>
                  <w:r>
                    <w:rPr>
                      <w:rFonts w:hint="eastAsia" w:ascii="宋体" w:hAnsi="宋体" w:eastAsia="宋体" w:cs="宋体"/>
                      <w:sz w:val="21"/>
                      <w:szCs w:val="21"/>
                      <w:lang w:val="zh-CN"/>
                    </w:rPr>
                    <w:t>⑵加强农业废弃物治理，稳步推进秸秆综合利用及畜禽养殖废弃物资源化利用。</w:t>
                  </w:r>
                </w:p>
                <w:p w14:paraId="0272B7EA">
                  <w:pPr>
                    <w:keepNext w:val="0"/>
                    <w:keepLines w:val="0"/>
                    <w:suppressLineNumbers w:val="0"/>
                    <w:adjustRightInd w:val="0"/>
                    <w:snapToGrid w:val="0"/>
                    <w:spacing w:before="0" w:beforeAutospacing="0" w:after="0" w:afterAutospacing="0" w:line="240" w:lineRule="auto"/>
                    <w:ind w:left="0" w:right="0"/>
                    <w:rPr>
                      <w:rFonts w:hint="eastAsia" w:ascii="宋体" w:hAnsi="宋体" w:eastAsia="宋体" w:cs="宋体"/>
                      <w:sz w:val="21"/>
                      <w:szCs w:val="21"/>
                    </w:rPr>
                  </w:pPr>
                  <w:r>
                    <w:rPr>
                      <w:rFonts w:hint="eastAsia" w:ascii="宋体" w:hAnsi="宋体" w:eastAsia="宋体" w:cs="宋体"/>
                      <w:sz w:val="21"/>
                      <w:szCs w:val="21"/>
                      <w:lang w:val="zh-CN"/>
                    </w:rPr>
                    <w:t>⑶加强面源污染治理，严格控制化肥农药施加量，合理水产养殖布局，控制水产养殖污染，逐步削减农业面源污染物排放量。</w:t>
                  </w:r>
                </w:p>
              </w:tc>
              <w:tc>
                <w:tcPr>
                  <w:tcW w:w="1462" w:type="dxa"/>
                  <w:noWrap w:val="0"/>
                  <w:vAlign w:val="center"/>
                </w:tcPr>
                <w:p w14:paraId="5BADD54B">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本项目严格落实污染物排放总量控制制度，项目污染物总量在</w:t>
                  </w:r>
                  <w:r>
                    <w:rPr>
                      <w:rFonts w:hint="eastAsia" w:ascii="宋体" w:hAnsi="宋体" w:eastAsia="宋体" w:cs="宋体"/>
                      <w:sz w:val="21"/>
                      <w:szCs w:val="21"/>
                      <w:lang w:val="en-US" w:eastAsia="zh-CN"/>
                    </w:rPr>
                    <w:t>句容</w:t>
                  </w:r>
                  <w:r>
                    <w:rPr>
                      <w:rFonts w:hint="eastAsia" w:ascii="宋体" w:hAnsi="宋体" w:eastAsia="宋体" w:cs="宋体"/>
                      <w:sz w:val="21"/>
                      <w:szCs w:val="21"/>
                      <w:lang w:eastAsia="zh-CN"/>
                    </w:rPr>
                    <w:t>市</w:t>
                  </w:r>
                  <w:r>
                    <w:rPr>
                      <w:rFonts w:hint="eastAsia" w:ascii="宋体" w:hAnsi="宋体" w:eastAsia="宋体" w:cs="宋体"/>
                      <w:sz w:val="21"/>
                      <w:szCs w:val="21"/>
                    </w:rPr>
                    <w:t>范围内平衡。</w:t>
                  </w:r>
                </w:p>
              </w:tc>
              <w:tc>
                <w:tcPr>
                  <w:tcW w:w="671" w:type="dxa"/>
                  <w:gridSpan w:val="2"/>
                  <w:noWrap w:val="0"/>
                  <w:vAlign w:val="center"/>
                </w:tcPr>
                <w:p w14:paraId="3F834FCE">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符合</w:t>
                  </w:r>
                </w:p>
              </w:tc>
            </w:tr>
            <w:tr w14:paraId="1AFAB5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138" w:type="dxa"/>
                  <w:noWrap w:val="0"/>
                  <w:vAlign w:val="center"/>
                </w:tcPr>
                <w:p w14:paraId="1404AFAA">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环境风险防控</w:t>
                  </w:r>
                </w:p>
              </w:tc>
              <w:tc>
                <w:tcPr>
                  <w:tcW w:w="3668" w:type="dxa"/>
                  <w:noWrap w:val="0"/>
                  <w:vAlign w:val="center"/>
                </w:tcPr>
                <w:p w14:paraId="5DF83D85">
                  <w:pPr>
                    <w:keepNext w:val="0"/>
                    <w:keepLines w:val="0"/>
                    <w:suppressLineNumbers w:val="0"/>
                    <w:adjustRightInd w:val="0"/>
                    <w:snapToGrid w:val="0"/>
                    <w:spacing w:before="0" w:beforeAutospacing="0" w:after="0" w:afterAutospacing="0" w:line="240" w:lineRule="auto"/>
                    <w:ind w:left="0" w:right="0"/>
                    <w:rPr>
                      <w:rFonts w:hint="eastAsia" w:ascii="宋体" w:hAnsi="宋体" w:eastAsia="宋体" w:cs="宋体"/>
                      <w:sz w:val="21"/>
                      <w:szCs w:val="21"/>
                      <w:lang w:val="zh-CN"/>
                    </w:rPr>
                  </w:pPr>
                  <w:r>
                    <w:rPr>
                      <w:rFonts w:hint="eastAsia" w:ascii="宋体" w:hAnsi="宋体" w:eastAsia="宋体" w:cs="宋体"/>
                      <w:sz w:val="21"/>
                      <w:szCs w:val="21"/>
                      <w:lang w:val="zh-CN"/>
                    </w:rPr>
                    <w:t>⑴合理布局工业、商业、居住、科教等功能区块，严格控制噪声、恶臭、油烟等污染排放较大的建设项目布局。</w:t>
                  </w:r>
                </w:p>
                <w:p w14:paraId="749C457F">
                  <w:pPr>
                    <w:keepNext w:val="0"/>
                    <w:keepLines w:val="0"/>
                    <w:suppressLineNumbers w:val="0"/>
                    <w:adjustRightInd w:val="0"/>
                    <w:snapToGrid w:val="0"/>
                    <w:spacing w:before="0" w:beforeAutospacing="0" w:after="0" w:afterAutospacing="0" w:line="240" w:lineRule="auto"/>
                    <w:ind w:left="0" w:right="0"/>
                    <w:rPr>
                      <w:rFonts w:hint="eastAsia" w:ascii="宋体" w:hAnsi="宋体" w:eastAsia="宋体" w:cs="宋体"/>
                      <w:sz w:val="21"/>
                      <w:szCs w:val="21"/>
                    </w:rPr>
                  </w:pPr>
                  <w:r>
                    <w:rPr>
                      <w:rFonts w:hint="eastAsia" w:ascii="宋体" w:hAnsi="宋体" w:eastAsia="宋体" w:cs="宋体"/>
                      <w:sz w:val="21"/>
                      <w:szCs w:val="21"/>
                      <w:lang w:val="zh-CN"/>
                    </w:rPr>
                    <w:t>⑵不得在长江岸线资源范围内进行危害防洪安全、堤防安全和河势稳定活动。</w:t>
                  </w:r>
                </w:p>
              </w:tc>
              <w:tc>
                <w:tcPr>
                  <w:tcW w:w="1462" w:type="dxa"/>
                  <w:noWrap w:val="0"/>
                  <w:vAlign w:val="center"/>
                </w:tcPr>
                <w:p w14:paraId="3B4F8FD7">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textAlignment w:val="auto"/>
                    <w:rPr>
                      <w:rFonts w:hint="eastAsia" w:ascii="宋体" w:hAnsi="宋体" w:eastAsia="宋体" w:cs="宋体"/>
                      <w:sz w:val="21"/>
                      <w:szCs w:val="21"/>
                      <w:lang w:eastAsia="zh-CN"/>
                    </w:rPr>
                  </w:pPr>
                  <w:r>
                    <w:rPr>
                      <w:rFonts w:hint="eastAsia" w:ascii="宋体" w:hAnsi="宋体" w:eastAsia="宋体" w:cs="宋体"/>
                      <w:sz w:val="21"/>
                      <w:szCs w:val="21"/>
                    </w:rPr>
                    <w:t>本项目</w:t>
                  </w:r>
                  <w:r>
                    <w:rPr>
                      <w:rFonts w:hint="eastAsia" w:ascii="宋体" w:hAnsi="宋体" w:eastAsia="宋体" w:cs="宋体"/>
                      <w:sz w:val="21"/>
                      <w:szCs w:val="21"/>
                      <w:lang w:val="en-US" w:eastAsia="zh-CN"/>
                    </w:rPr>
                    <w:t>不占用</w:t>
                  </w:r>
                  <w:r>
                    <w:rPr>
                      <w:rFonts w:hint="eastAsia" w:ascii="宋体" w:hAnsi="宋体" w:eastAsia="宋体" w:cs="宋体"/>
                      <w:sz w:val="21"/>
                      <w:szCs w:val="21"/>
                      <w:lang w:val="zh-CN"/>
                    </w:rPr>
                    <w:t>长江岸线资源。</w:t>
                  </w:r>
                </w:p>
              </w:tc>
              <w:tc>
                <w:tcPr>
                  <w:tcW w:w="671" w:type="dxa"/>
                  <w:gridSpan w:val="2"/>
                  <w:noWrap w:val="0"/>
                  <w:vAlign w:val="center"/>
                </w:tcPr>
                <w:p w14:paraId="79F60A76">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符合</w:t>
                  </w:r>
                </w:p>
              </w:tc>
            </w:tr>
            <w:tr w14:paraId="348E58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138" w:type="dxa"/>
                  <w:noWrap w:val="0"/>
                  <w:vAlign w:val="center"/>
                </w:tcPr>
                <w:p w14:paraId="3484C11A">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资源开发效率要求</w:t>
                  </w:r>
                </w:p>
              </w:tc>
              <w:tc>
                <w:tcPr>
                  <w:tcW w:w="3668" w:type="dxa"/>
                  <w:noWrap w:val="0"/>
                  <w:vAlign w:val="center"/>
                </w:tcPr>
                <w:p w14:paraId="4BFF024E">
                  <w:pPr>
                    <w:keepNext w:val="0"/>
                    <w:keepLines w:val="0"/>
                    <w:suppressLineNumbers w:val="0"/>
                    <w:adjustRightInd w:val="0"/>
                    <w:snapToGrid w:val="0"/>
                    <w:spacing w:before="0" w:beforeAutospacing="0" w:after="0" w:afterAutospacing="0" w:line="240" w:lineRule="auto"/>
                    <w:ind w:left="0" w:right="0"/>
                    <w:rPr>
                      <w:rFonts w:hint="eastAsia" w:ascii="宋体" w:hAnsi="宋体" w:eastAsia="宋体" w:cs="宋体"/>
                      <w:sz w:val="21"/>
                      <w:szCs w:val="21"/>
                    </w:rPr>
                  </w:pPr>
                  <w:r>
                    <w:rPr>
                      <w:rFonts w:hint="eastAsia" w:ascii="宋体" w:hAnsi="宋体" w:eastAsia="宋体" w:cs="宋体"/>
                      <w:sz w:val="21"/>
                      <w:szCs w:val="21"/>
                      <w:lang w:val="zh-CN"/>
                    </w:rPr>
                    <w:t>⑴根据《江苏省“两减六治三提升”专项行动实施方案》（苏政办发〔2017〕30号）要求</w:t>
                  </w:r>
                  <w:r>
                    <w:rPr>
                      <w:rFonts w:hint="eastAsia" w:ascii="宋体" w:hAnsi="宋体" w:eastAsia="宋体" w:cs="宋体"/>
                      <w:sz w:val="21"/>
                      <w:szCs w:val="21"/>
                    </w:rPr>
                    <w:t>：</w:t>
                  </w:r>
                  <w:r>
                    <w:rPr>
                      <w:rFonts w:hint="eastAsia" w:ascii="宋体" w:hAnsi="宋体" w:eastAsia="宋体" w:cs="宋体"/>
                      <w:sz w:val="21"/>
                      <w:szCs w:val="21"/>
                      <w:lang w:val="zh-CN"/>
                    </w:rPr>
                    <w:t>大力推广清洁能源，禁止建设分散燃煤小锅炉，严格执行禁燃区相关要求</w:t>
                  </w:r>
                  <w:r>
                    <w:rPr>
                      <w:rFonts w:hint="eastAsia" w:ascii="宋体" w:hAnsi="宋体" w:eastAsia="宋体" w:cs="宋体"/>
                      <w:sz w:val="21"/>
                      <w:szCs w:val="21"/>
                    </w:rPr>
                    <w:t>。</w:t>
                  </w:r>
                </w:p>
                <w:p w14:paraId="2B69EBC6">
                  <w:pPr>
                    <w:keepNext w:val="0"/>
                    <w:keepLines w:val="0"/>
                    <w:suppressLineNumbers w:val="0"/>
                    <w:adjustRightInd w:val="0"/>
                    <w:snapToGrid w:val="0"/>
                    <w:spacing w:before="0" w:beforeAutospacing="0" w:after="0" w:afterAutospacing="0" w:line="240" w:lineRule="auto"/>
                    <w:ind w:left="0" w:right="0"/>
                    <w:rPr>
                      <w:rFonts w:hint="eastAsia" w:ascii="宋体" w:hAnsi="宋体" w:eastAsia="宋体" w:cs="宋体"/>
                      <w:sz w:val="21"/>
                      <w:szCs w:val="21"/>
                      <w:lang w:val="zh-CN"/>
                    </w:rPr>
                  </w:pPr>
                  <w:r>
                    <w:rPr>
                      <w:rFonts w:hint="eastAsia" w:ascii="宋体" w:hAnsi="宋体" w:eastAsia="宋体" w:cs="宋体"/>
                      <w:sz w:val="21"/>
                      <w:szCs w:val="21"/>
                      <w:lang w:val="zh-CN"/>
                    </w:rPr>
                    <w:t>⑵全面开展节水型社会建设，推进节水产品推广普及，限制高耗水服务业用水。</w:t>
                  </w:r>
                </w:p>
                <w:p w14:paraId="771F7A0A">
                  <w:pPr>
                    <w:keepNext w:val="0"/>
                    <w:keepLines w:val="0"/>
                    <w:suppressLineNumbers w:val="0"/>
                    <w:adjustRightInd w:val="0"/>
                    <w:snapToGrid w:val="0"/>
                    <w:spacing w:before="0" w:beforeAutospacing="0" w:after="0" w:afterAutospacing="0" w:line="240" w:lineRule="auto"/>
                    <w:ind w:left="0" w:right="0"/>
                    <w:rPr>
                      <w:rFonts w:hint="eastAsia" w:ascii="宋体" w:hAnsi="宋体" w:eastAsia="宋体" w:cs="宋体"/>
                      <w:sz w:val="21"/>
                      <w:szCs w:val="21"/>
                    </w:rPr>
                  </w:pPr>
                  <w:r>
                    <w:rPr>
                      <w:rFonts w:hint="eastAsia" w:ascii="宋体" w:hAnsi="宋体" w:eastAsia="宋体" w:cs="宋体"/>
                      <w:sz w:val="21"/>
                      <w:szCs w:val="21"/>
                      <w:lang w:val="zh-CN"/>
                    </w:rPr>
                    <w:t>⑶集约利用长江岸线资源，引导产业向陆域纵深发展，减少对临水岸线的占用</w:t>
                  </w:r>
                  <w:r>
                    <w:rPr>
                      <w:rFonts w:hint="eastAsia" w:ascii="宋体" w:hAnsi="宋体" w:eastAsia="宋体" w:cs="宋体"/>
                      <w:sz w:val="21"/>
                      <w:szCs w:val="21"/>
                    </w:rPr>
                    <w:t xml:space="preserve"> </w:t>
                  </w:r>
                </w:p>
              </w:tc>
              <w:tc>
                <w:tcPr>
                  <w:tcW w:w="1462" w:type="dxa"/>
                  <w:noWrap w:val="0"/>
                  <w:vAlign w:val="center"/>
                </w:tcPr>
                <w:p w14:paraId="2F428D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left"/>
                    <w:textAlignment w:val="auto"/>
                    <w:rPr>
                      <w:rFonts w:hint="eastAsia" w:ascii="宋体" w:hAnsi="宋体" w:eastAsia="宋体" w:cs="宋体"/>
                      <w:snapToGrid w:val="0"/>
                      <w:kern w:val="0"/>
                      <w:sz w:val="21"/>
                      <w:szCs w:val="21"/>
                      <w:lang w:eastAsia="zh-CN"/>
                    </w:rPr>
                  </w:pPr>
                  <w:r>
                    <w:rPr>
                      <w:rFonts w:hint="eastAsia" w:ascii="宋体" w:hAnsi="宋体" w:eastAsia="宋体" w:cs="宋体"/>
                      <w:snapToGrid w:val="0"/>
                      <w:kern w:val="0"/>
                      <w:sz w:val="21"/>
                      <w:szCs w:val="21"/>
                    </w:rPr>
                    <w:t>⑴</w:t>
                  </w:r>
                  <w:r>
                    <w:rPr>
                      <w:rFonts w:hint="eastAsia" w:ascii="宋体" w:hAnsi="宋体" w:eastAsia="宋体" w:cs="宋体"/>
                      <w:snapToGrid w:val="0"/>
                      <w:kern w:val="0"/>
                      <w:sz w:val="21"/>
                      <w:szCs w:val="21"/>
                      <w:lang w:eastAsia="zh-CN"/>
                    </w:rPr>
                    <w:t>本项目使用</w:t>
                  </w:r>
                  <w:r>
                    <w:rPr>
                      <w:rFonts w:hint="eastAsia" w:ascii="宋体" w:hAnsi="宋体" w:eastAsia="宋体" w:cs="宋体"/>
                      <w:snapToGrid w:val="0"/>
                      <w:kern w:val="0"/>
                      <w:sz w:val="21"/>
                      <w:szCs w:val="21"/>
                      <w:lang w:val="en-US" w:eastAsia="zh-CN"/>
                    </w:rPr>
                    <w:t>电能和天然气清洁能源</w:t>
                  </w:r>
                  <w:r>
                    <w:rPr>
                      <w:rFonts w:hint="eastAsia" w:ascii="宋体" w:hAnsi="宋体" w:eastAsia="宋体" w:cs="宋体"/>
                      <w:snapToGrid w:val="0"/>
                      <w:kern w:val="0"/>
                      <w:sz w:val="21"/>
                      <w:szCs w:val="21"/>
                      <w:lang w:eastAsia="zh-CN"/>
                    </w:rPr>
                    <w:t>；</w:t>
                  </w:r>
                </w:p>
                <w:p w14:paraId="178A06E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firstLine="0" w:firstLineChars="0"/>
                    <w:jc w:val="left"/>
                    <w:textAlignment w:val="auto"/>
                    <w:rPr>
                      <w:rFonts w:hint="eastAsia" w:ascii="宋体" w:hAnsi="宋体" w:eastAsia="宋体" w:cs="宋体"/>
                      <w:kern w:val="0"/>
                      <w:sz w:val="21"/>
                      <w:szCs w:val="21"/>
                    </w:rPr>
                  </w:pPr>
                  <w:r>
                    <w:rPr>
                      <w:rFonts w:hint="eastAsia" w:ascii="宋体" w:hAnsi="宋体" w:eastAsia="宋体" w:cs="宋体"/>
                      <w:snapToGrid w:val="0"/>
                      <w:kern w:val="0"/>
                      <w:sz w:val="21"/>
                      <w:szCs w:val="21"/>
                      <w:lang w:eastAsia="zh-CN"/>
                    </w:rPr>
                    <w:t>⑵</w:t>
                  </w:r>
                  <w:r>
                    <w:rPr>
                      <w:rFonts w:hint="eastAsia" w:ascii="宋体" w:hAnsi="宋体" w:eastAsia="宋体" w:cs="宋体"/>
                      <w:snapToGrid w:val="0"/>
                      <w:kern w:val="0"/>
                      <w:sz w:val="21"/>
                      <w:szCs w:val="21"/>
                    </w:rPr>
                    <w:t>本项目</w:t>
                  </w:r>
                  <w:r>
                    <w:rPr>
                      <w:rFonts w:hint="eastAsia" w:ascii="宋体" w:hAnsi="宋体" w:eastAsia="宋体" w:cs="宋体"/>
                      <w:snapToGrid w:val="0"/>
                      <w:kern w:val="0"/>
                      <w:sz w:val="21"/>
                      <w:szCs w:val="21"/>
                      <w:lang w:val="en-US" w:eastAsia="zh-CN"/>
                    </w:rPr>
                    <w:t>生产</w:t>
                  </w:r>
                  <w:r>
                    <w:rPr>
                      <w:rFonts w:hint="eastAsia" w:ascii="宋体" w:hAnsi="宋体" w:eastAsia="宋体" w:cs="宋体"/>
                      <w:snapToGrid w:val="0"/>
                      <w:kern w:val="0"/>
                      <w:sz w:val="21"/>
                      <w:szCs w:val="21"/>
                    </w:rPr>
                    <w:t>过程中</w:t>
                  </w:r>
                  <w:r>
                    <w:rPr>
                      <w:rFonts w:hint="eastAsia" w:ascii="宋体" w:hAnsi="宋体" w:eastAsia="宋体" w:cs="宋体"/>
                      <w:snapToGrid w:val="0"/>
                      <w:kern w:val="0"/>
                      <w:sz w:val="21"/>
                      <w:szCs w:val="21"/>
                      <w:lang w:val="en-US" w:eastAsia="zh-CN"/>
                    </w:rPr>
                    <w:t>水洗水循环使用，</w:t>
                  </w:r>
                  <w:r>
                    <w:rPr>
                      <w:rFonts w:hint="eastAsia" w:ascii="宋体" w:hAnsi="宋体" w:eastAsia="宋体" w:cs="宋体"/>
                      <w:snapToGrid w:val="0"/>
                      <w:kern w:val="0"/>
                      <w:sz w:val="21"/>
                      <w:szCs w:val="21"/>
                    </w:rPr>
                    <w:t>尽量提</w:t>
                  </w:r>
                  <w:r>
                    <w:rPr>
                      <w:rFonts w:hint="eastAsia" w:ascii="宋体" w:hAnsi="宋体" w:eastAsia="宋体" w:cs="宋体"/>
                      <w:snapToGrid w:val="0"/>
                      <w:kern w:val="0"/>
                      <w:sz w:val="21"/>
                      <w:szCs w:val="21"/>
                      <w:lang w:val="en-US" w:eastAsia="zh-CN"/>
                    </w:rPr>
                    <w:t>高</w:t>
                  </w:r>
                  <w:r>
                    <w:rPr>
                      <w:rFonts w:hint="eastAsia" w:ascii="宋体" w:hAnsi="宋体" w:eastAsia="宋体" w:cs="宋体"/>
                      <w:snapToGrid w:val="0"/>
                      <w:kern w:val="0"/>
                      <w:sz w:val="21"/>
                      <w:szCs w:val="21"/>
                    </w:rPr>
                    <w:t>水资源利用效率。</w:t>
                  </w:r>
                </w:p>
              </w:tc>
              <w:tc>
                <w:tcPr>
                  <w:tcW w:w="671" w:type="dxa"/>
                  <w:gridSpan w:val="2"/>
                  <w:noWrap w:val="0"/>
                  <w:vAlign w:val="center"/>
                </w:tcPr>
                <w:p w14:paraId="19B549EC">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符合</w:t>
                  </w:r>
                </w:p>
              </w:tc>
            </w:tr>
          </w:tbl>
          <w:p w14:paraId="204BAC09">
            <w:pPr>
              <w:pStyle w:val="10"/>
              <w:keepNext w:val="0"/>
              <w:keepLines w:val="0"/>
              <w:suppressLineNumbers w:val="0"/>
              <w:adjustRightInd w:val="0"/>
              <w:snapToGrid w:val="0"/>
              <w:spacing w:before="0" w:beforeAutospacing="0" w:after="0" w:afterAutospacing="0"/>
              <w:ind w:left="0" w:right="0" w:firstLine="480" w:firstLineChars="200"/>
              <w:rPr>
                <w:rFonts w:hint="eastAsia" w:ascii="Times New Roman" w:hAnsi="Times New Roman" w:cs="Times New Roman"/>
              </w:rPr>
            </w:pPr>
            <w:r>
              <w:rPr>
                <w:rFonts w:hint="eastAsia" w:ascii="宋体" w:hAnsi="宋体" w:eastAsia="宋体" w:cs="宋体"/>
              </w:rPr>
              <w:t>因此，本项目的建设符合《关于印发镇江市“三线一单”生态环境分区管控方案的通知》（镇环发</w:t>
            </w:r>
            <w:r>
              <w:rPr>
                <w:rFonts w:hint="eastAsia" w:ascii="宋体" w:hAnsi="宋体" w:eastAsia="宋体" w:cs="宋体"/>
                <w:lang w:eastAsia="zh-CN"/>
              </w:rPr>
              <w:t>〔</w:t>
            </w:r>
            <w:r>
              <w:rPr>
                <w:rFonts w:hint="eastAsia" w:ascii="宋体" w:hAnsi="宋体" w:eastAsia="宋体" w:cs="宋体"/>
              </w:rPr>
              <w:t>2020</w:t>
            </w:r>
            <w:r>
              <w:rPr>
                <w:rFonts w:hint="eastAsia" w:ascii="宋体" w:hAnsi="宋体" w:eastAsia="宋体" w:cs="宋体"/>
                <w:lang w:eastAsia="zh-CN"/>
              </w:rPr>
              <w:t>〕</w:t>
            </w:r>
            <w:r>
              <w:rPr>
                <w:rFonts w:hint="eastAsia" w:ascii="宋体" w:hAnsi="宋体" w:eastAsia="宋体" w:cs="宋体"/>
              </w:rPr>
              <w:t>5号）</w:t>
            </w:r>
            <w:r>
              <w:rPr>
                <w:rFonts w:hint="eastAsia" w:ascii="宋体" w:hAnsi="宋体" w:eastAsia="宋体" w:cs="宋体"/>
                <w:lang w:val="en-US" w:eastAsia="zh-CN"/>
              </w:rPr>
              <w:t>和《镇江市生态环境分区管控动态更新成果（2023 年版）》</w:t>
            </w:r>
            <w:r>
              <w:rPr>
                <w:rFonts w:hint="eastAsia" w:ascii="宋体" w:hAnsi="宋体" w:eastAsia="宋体" w:cs="宋体"/>
              </w:rPr>
              <w:t>的相关要求。</w:t>
            </w:r>
          </w:p>
          <w:p w14:paraId="3BF8E919">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rPr>
            </w:pPr>
            <w:r>
              <w:rPr>
                <w:rFonts w:hint="eastAsia" w:ascii="宋体" w:hAnsi="宋体" w:eastAsia="宋体" w:cs="宋体"/>
              </w:rPr>
              <w:t>⑶与生态红线区域保护规划相符性</w:t>
            </w:r>
          </w:p>
          <w:p w14:paraId="5B09350F">
            <w:pPr>
              <w:pStyle w:val="5"/>
              <w:keepNext w:val="0"/>
              <w:keepLines w:val="0"/>
              <w:suppressLineNumbers w:val="0"/>
              <w:adjustRightInd w:val="0"/>
              <w:snapToGrid w:val="0"/>
              <w:spacing w:before="0" w:after="0" w:line="360" w:lineRule="auto"/>
              <w:ind w:left="0" w:right="0" w:firstLine="480" w:firstLineChars="200"/>
              <w:outlineLvl w:val="3"/>
              <w:rPr>
                <w:rFonts w:hint="eastAsia" w:ascii="宋体" w:hAnsi="宋体" w:eastAsia="宋体" w:cs="宋体"/>
                <w:b w:val="0"/>
                <w:bCs/>
                <w:sz w:val="24"/>
              </w:rPr>
            </w:pPr>
            <w:r>
              <w:rPr>
                <w:rFonts w:hint="eastAsia" w:ascii="宋体" w:hAnsi="宋体" w:eastAsia="宋体" w:cs="宋体"/>
                <w:b w:val="0"/>
                <w:bCs/>
                <w:sz w:val="24"/>
              </w:rPr>
              <w:t>①与《江苏省生态空间管控区域规划》的相符性</w:t>
            </w:r>
          </w:p>
          <w:p w14:paraId="631C55BB">
            <w:pPr>
              <w:keepNext w:val="0"/>
              <w:keepLines w:val="0"/>
              <w:suppressLineNumbers w:val="0"/>
              <w:tabs>
                <w:tab w:val="left" w:pos="3540"/>
              </w:tabs>
              <w:spacing w:before="0" w:beforeAutospacing="0" w:after="0" w:afterAutospacing="0"/>
              <w:ind w:left="0" w:right="0" w:firstLine="480" w:firstLineChars="200"/>
              <w:jc w:val="both"/>
              <w:rPr>
                <w:rFonts w:hint="eastAsia" w:ascii="宋体" w:hAnsi="宋体" w:eastAsia="宋体" w:cs="宋体"/>
                <w:color w:val="auto"/>
              </w:rPr>
            </w:pPr>
            <w:r>
              <w:rPr>
                <w:rFonts w:hint="eastAsia" w:ascii="宋体" w:hAnsi="宋体" w:eastAsia="宋体" w:cs="宋体"/>
                <w:color w:val="auto"/>
                <w:kern w:val="0"/>
              </w:rPr>
              <w:t>根据《江苏省生态空间管控区域规划》</w:t>
            </w:r>
            <w:r>
              <w:rPr>
                <w:rFonts w:hint="eastAsia" w:ascii="宋体" w:hAnsi="宋体" w:eastAsia="宋体" w:cs="宋体"/>
                <w:color w:val="auto"/>
              </w:rPr>
              <w:t>（苏政发</w:t>
            </w:r>
            <w:r>
              <w:rPr>
                <w:rFonts w:hint="eastAsia" w:ascii="宋体" w:hAnsi="宋体" w:eastAsia="宋体" w:cs="宋体"/>
                <w:color w:val="auto"/>
                <w:lang w:eastAsia="zh-CN"/>
              </w:rPr>
              <w:t>〔</w:t>
            </w:r>
            <w:r>
              <w:rPr>
                <w:rFonts w:hint="eastAsia" w:ascii="宋体" w:hAnsi="宋体" w:eastAsia="宋体" w:cs="宋体"/>
                <w:color w:val="auto"/>
              </w:rPr>
              <w:t>2020</w:t>
            </w:r>
            <w:r>
              <w:rPr>
                <w:rFonts w:hint="eastAsia" w:ascii="宋体" w:hAnsi="宋体" w:eastAsia="宋体" w:cs="宋体"/>
                <w:color w:val="auto"/>
                <w:lang w:eastAsia="zh-CN"/>
              </w:rPr>
              <w:t>〕</w:t>
            </w:r>
            <w:r>
              <w:rPr>
                <w:rFonts w:hint="eastAsia" w:ascii="宋体" w:hAnsi="宋体" w:eastAsia="宋体" w:cs="宋体"/>
                <w:color w:val="auto"/>
              </w:rPr>
              <w:t>1号）</w:t>
            </w:r>
            <w:r>
              <w:rPr>
                <w:rFonts w:hint="eastAsia" w:ascii="宋体" w:hAnsi="宋体" w:eastAsia="宋体" w:cs="宋体"/>
                <w:color w:val="auto"/>
                <w:kern w:val="0"/>
              </w:rPr>
              <w:t>，距本项目最近的生态保护区为项目厂界</w:t>
            </w:r>
            <w:r>
              <w:rPr>
                <w:rFonts w:hint="eastAsia" w:ascii="宋体" w:hAnsi="宋体" w:eastAsia="宋体" w:cs="宋体"/>
                <w:color w:val="auto"/>
                <w:kern w:val="0"/>
                <w:lang w:val="en-US" w:eastAsia="zh-CN"/>
              </w:rPr>
              <w:t>西南</w:t>
            </w:r>
            <w:r>
              <w:rPr>
                <w:rFonts w:hint="eastAsia" w:ascii="宋体" w:hAnsi="宋体" w:eastAsia="宋体" w:cs="宋体"/>
                <w:color w:val="auto"/>
                <w:kern w:val="0"/>
              </w:rPr>
              <w:t>侧</w:t>
            </w:r>
            <w:r>
              <w:rPr>
                <w:rFonts w:hint="eastAsia" w:ascii="宋体" w:hAnsi="宋体" w:eastAsia="宋体" w:cs="宋体"/>
                <w:color w:val="auto"/>
                <w:kern w:val="0"/>
                <w:lang w:val="en-US" w:eastAsia="zh-CN"/>
              </w:rPr>
              <w:t>1660</w:t>
            </w:r>
            <w:r>
              <w:rPr>
                <w:rFonts w:hint="eastAsia" w:ascii="宋体" w:hAnsi="宋体" w:eastAsia="宋体" w:cs="宋体"/>
                <w:color w:val="auto"/>
                <w:kern w:val="0"/>
              </w:rPr>
              <w:t>m处的</w:t>
            </w:r>
            <w:r>
              <w:rPr>
                <w:rFonts w:hint="eastAsia" w:ascii="宋体" w:hAnsi="宋体" w:eastAsia="宋体" w:cs="宋体"/>
                <w:color w:val="auto"/>
                <w:kern w:val="0"/>
                <w:lang w:val="en-US" w:eastAsia="zh-CN"/>
              </w:rPr>
              <w:t>镇江黄岗寺省级森林公园保护区</w:t>
            </w:r>
            <w:r>
              <w:rPr>
                <w:rFonts w:hint="eastAsia" w:ascii="宋体" w:hAnsi="宋体" w:eastAsia="宋体" w:cs="宋体"/>
                <w:color w:val="auto"/>
                <w:kern w:val="0"/>
              </w:rPr>
              <w:t>，主导生态功能为</w:t>
            </w:r>
            <w:r>
              <w:rPr>
                <w:rFonts w:hint="eastAsia" w:ascii="宋体" w:hAnsi="宋体" w:eastAsia="宋体" w:cs="宋体"/>
                <w:color w:val="auto"/>
                <w:kern w:val="0"/>
                <w:lang w:val="en-US" w:eastAsia="zh-CN"/>
              </w:rPr>
              <w:t>自然与人文景观保护</w:t>
            </w:r>
            <w:r>
              <w:rPr>
                <w:rFonts w:hint="eastAsia" w:ascii="宋体" w:hAnsi="宋体" w:eastAsia="宋体" w:cs="宋体"/>
                <w:color w:val="auto"/>
                <w:kern w:val="0"/>
                <w:lang w:eastAsia="zh-CN"/>
              </w:rPr>
              <w:t>，</w:t>
            </w:r>
            <w:r>
              <w:rPr>
                <w:rFonts w:hint="eastAsia" w:ascii="宋体" w:hAnsi="宋体" w:eastAsia="宋体" w:cs="宋体"/>
                <w:color w:val="auto"/>
                <w:kern w:val="0"/>
              </w:rPr>
              <w:t>本项目不占用生态红线，与江苏省生态空间管控区域规划要求相符。</w:t>
            </w:r>
            <w:r>
              <w:rPr>
                <w:rFonts w:hint="eastAsia" w:ascii="宋体" w:hAnsi="宋体" w:eastAsia="宋体" w:cs="宋体"/>
                <w:color w:val="auto"/>
                <w:lang w:eastAsia="zh-CN"/>
              </w:rPr>
              <w:t>具体见</w:t>
            </w:r>
            <w:r>
              <w:rPr>
                <w:rFonts w:hint="eastAsia" w:ascii="宋体" w:hAnsi="宋体" w:eastAsia="宋体" w:cs="宋体"/>
                <w:color w:val="auto"/>
              </w:rPr>
              <w:t>表1-</w:t>
            </w:r>
            <w:r>
              <w:rPr>
                <w:rFonts w:hint="eastAsia" w:ascii="宋体" w:hAnsi="宋体" w:eastAsia="宋体" w:cs="宋体"/>
                <w:color w:val="auto"/>
                <w:lang w:val="en-US" w:eastAsia="zh-CN"/>
              </w:rPr>
              <w:t>2</w:t>
            </w:r>
            <w:r>
              <w:rPr>
                <w:rFonts w:hint="eastAsia" w:ascii="宋体" w:hAnsi="宋体" w:eastAsia="宋体" w:cs="宋体"/>
                <w:color w:val="auto"/>
              </w:rPr>
              <w:t>。</w:t>
            </w:r>
          </w:p>
          <w:p w14:paraId="04213EB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val="0"/>
                <w:color w:val="auto"/>
              </w:rPr>
            </w:pPr>
            <w:r>
              <w:rPr>
                <w:rFonts w:hint="eastAsia" w:ascii="宋体" w:hAnsi="宋体" w:eastAsia="宋体" w:cs="宋体"/>
                <w:b/>
                <w:bCs w:val="0"/>
                <w:color w:val="auto"/>
                <w:lang w:bidi="ar"/>
              </w:rPr>
              <w:t>表1-</w:t>
            </w:r>
            <w:r>
              <w:rPr>
                <w:rFonts w:hint="eastAsia" w:ascii="宋体" w:hAnsi="宋体" w:eastAsia="宋体" w:cs="宋体"/>
                <w:b/>
                <w:bCs w:val="0"/>
                <w:color w:val="auto"/>
                <w:lang w:val="en-US" w:eastAsia="zh-CN" w:bidi="ar"/>
              </w:rPr>
              <w:t>2</w:t>
            </w:r>
            <w:r>
              <w:rPr>
                <w:rFonts w:hint="eastAsia" w:ascii="宋体" w:hAnsi="宋体" w:eastAsia="宋体" w:cs="宋体"/>
                <w:b/>
                <w:bCs w:val="0"/>
                <w:color w:val="auto"/>
                <w:lang w:bidi="ar"/>
              </w:rPr>
              <w:t xml:space="preserve"> 项目周边江苏省生态空间管控区域规划</w:t>
            </w:r>
          </w:p>
          <w:tbl>
            <w:tblPr>
              <w:tblStyle w:val="30"/>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4"/>
              <w:gridCol w:w="606"/>
              <w:gridCol w:w="1834"/>
              <w:gridCol w:w="666"/>
              <w:gridCol w:w="837"/>
              <w:gridCol w:w="638"/>
              <w:gridCol w:w="469"/>
              <w:gridCol w:w="470"/>
              <w:gridCol w:w="530"/>
            </w:tblGrid>
            <w:tr w14:paraId="49523F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547" w:type="pct"/>
                  <w:vMerge w:val="restart"/>
                  <w:noWrap w:val="0"/>
                  <w:vAlign w:val="center"/>
                </w:tcPr>
                <w:p w14:paraId="2BFD2C67">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b/>
                      <w:bCs/>
                      <w:color w:val="auto"/>
                      <w:sz w:val="18"/>
                      <w:szCs w:val="18"/>
                    </w:rPr>
                  </w:pPr>
                  <w:bookmarkStart w:id="7" w:name="_Toc14296"/>
                  <w:r>
                    <w:rPr>
                      <w:rFonts w:hint="eastAsia" w:ascii="宋体" w:hAnsi="宋体" w:eastAsia="宋体" w:cs="宋体"/>
                      <w:b/>
                      <w:bCs/>
                      <w:color w:val="auto"/>
                      <w:sz w:val="18"/>
                      <w:szCs w:val="18"/>
                    </w:rPr>
                    <w:t>生态空间保护区域名称</w:t>
                  </w:r>
                  <w:bookmarkEnd w:id="7"/>
                </w:p>
              </w:tc>
              <w:tc>
                <w:tcPr>
                  <w:tcW w:w="445" w:type="pct"/>
                  <w:vMerge w:val="restart"/>
                  <w:noWrap w:val="0"/>
                  <w:vAlign w:val="center"/>
                </w:tcPr>
                <w:p w14:paraId="4E3D8CC8">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b/>
                      <w:bCs/>
                      <w:color w:val="auto"/>
                      <w:sz w:val="18"/>
                      <w:szCs w:val="18"/>
                    </w:rPr>
                  </w:pPr>
                  <w:bookmarkStart w:id="8" w:name="_Toc18581"/>
                  <w:r>
                    <w:rPr>
                      <w:rFonts w:hint="eastAsia" w:ascii="宋体" w:hAnsi="宋体" w:eastAsia="宋体" w:cs="宋体"/>
                      <w:b/>
                      <w:bCs/>
                      <w:color w:val="auto"/>
                      <w:sz w:val="18"/>
                      <w:szCs w:val="18"/>
                    </w:rPr>
                    <w:t>主导生态功能</w:t>
                  </w:r>
                  <w:bookmarkEnd w:id="8"/>
                </w:p>
              </w:tc>
              <w:tc>
                <w:tcPr>
                  <w:tcW w:w="1839" w:type="pct"/>
                  <w:gridSpan w:val="2"/>
                  <w:noWrap w:val="0"/>
                  <w:vAlign w:val="center"/>
                </w:tcPr>
                <w:p w14:paraId="0C11E622">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b/>
                      <w:bCs/>
                      <w:color w:val="auto"/>
                      <w:sz w:val="18"/>
                      <w:szCs w:val="18"/>
                    </w:rPr>
                  </w:pPr>
                  <w:bookmarkStart w:id="9" w:name="_Toc21074"/>
                  <w:r>
                    <w:rPr>
                      <w:rFonts w:hint="eastAsia" w:ascii="宋体" w:hAnsi="宋体" w:eastAsia="宋体" w:cs="宋体"/>
                      <w:b/>
                      <w:bCs/>
                      <w:color w:val="auto"/>
                      <w:sz w:val="18"/>
                      <w:szCs w:val="18"/>
                    </w:rPr>
                    <w:t>范围</w:t>
                  </w:r>
                  <w:bookmarkEnd w:id="9"/>
                </w:p>
              </w:tc>
              <w:tc>
                <w:tcPr>
                  <w:tcW w:w="1430" w:type="pct"/>
                  <w:gridSpan w:val="3"/>
                  <w:noWrap w:val="0"/>
                  <w:vAlign w:val="center"/>
                </w:tcPr>
                <w:p w14:paraId="611E0A6F">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b/>
                      <w:bCs/>
                      <w:color w:val="auto"/>
                      <w:sz w:val="18"/>
                      <w:szCs w:val="18"/>
                    </w:rPr>
                  </w:pPr>
                  <w:bookmarkStart w:id="10" w:name="_Toc30189"/>
                  <w:r>
                    <w:rPr>
                      <w:rFonts w:hint="eastAsia" w:ascii="宋体" w:hAnsi="宋体" w:eastAsia="宋体" w:cs="宋体"/>
                      <w:b/>
                      <w:bCs/>
                      <w:color w:val="auto"/>
                      <w:sz w:val="18"/>
                      <w:szCs w:val="18"/>
                    </w:rPr>
                    <w:t>面积（平方公里）</w:t>
                  </w:r>
                  <w:bookmarkEnd w:id="10"/>
                </w:p>
              </w:tc>
              <w:tc>
                <w:tcPr>
                  <w:tcW w:w="345" w:type="pct"/>
                  <w:vMerge w:val="restart"/>
                  <w:noWrap w:val="0"/>
                  <w:vAlign w:val="center"/>
                </w:tcPr>
                <w:p w14:paraId="126276CE">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b/>
                      <w:bCs/>
                      <w:color w:val="auto"/>
                      <w:sz w:val="18"/>
                      <w:szCs w:val="18"/>
                    </w:rPr>
                  </w:pPr>
                  <w:bookmarkStart w:id="11" w:name="_Toc10907"/>
                  <w:r>
                    <w:rPr>
                      <w:rFonts w:hint="eastAsia" w:ascii="宋体" w:hAnsi="宋体" w:eastAsia="宋体" w:cs="宋体"/>
                      <w:b/>
                      <w:bCs/>
                      <w:color w:val="auto"/>
                      <w:sz w:val="18"/>
                      <w:szCs w:val="18"/>
                    </w:rPr>
                    <w:t>方位</w:t>
                  </w:r>
                  <w:bookmarkEnd w:id="11"/>
                </w:p>
              </w:tc>
              <w:tc>
                <w:tcPr>
                  <w:tcW w:w="390" w:type="pct"/>
                  <w:vMerge w:val="restart"/>
                  <w:noWrap w:val="0"/>
                  <w:vAlign w:val="center"/>
                </w:tcPr>
                <w:p w14:paraId="55D6BFBC">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b/>
                      <w:bCs/>
                      <w:color w:val="auto"/>
                      <w:sz w:val="18"/>
                      <w:szCs w:val="18"/>
                    </w:rPr>
                  </w:pPr>
                  <w:bookmarkStart w:id="12" w:name="_Toc18494"/>
                  <w:r>
                    <w:rPr>
                      <w:rFonts w:hint="eastAsia" w:ascii="宋体" w:hAnsi="宋体" w:eastAsia="宋体" w:cs="宋体"/>
                      <w:b/>
                      <w:bCs/>
                      <w:color w:val="auto"/>
                      <w:sz w:val="18"/>
                      <w:szCs w:val="18"/>
                    </w:rPr>
                    <w:t>距离</w:t>
                  </w:r>
                  <w:bookmarkEnd w:id="12"/>
                </w:p>
              </w:tc>
            </w:tr>
            <w:tr w14:paraId="13A1E5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7" w:type="pct"/>
                  <w:vMerge w:val="continue"/>
                  <w:noWrap w:val="0"/>
                  <w:vAlign w:val="center"/>
                </w:tcPr>
                <w:p w14:paraId="776DA1E8">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sz w:val="18"/>
                      <w:szCs w:val="18"/>
                    </w:rPr>
                  </w:pPr>
                </w:p>
              </w:tc>
              <w:tc>
                <w:tcPr>
                  <w:tcW w:w="445" w:type="pct"/>
                  <w:vMerge w:val="continue"/>
                  <w:noWrap w:val="0"/>
                  <w:vAlign w:val="center"/>
                </w:tcPr>
                <w:p w14:paraId="73EE1BBA">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sz w:val="18"/>
                      <w:szCs w:val="18"/>
                    </w:rPr>
                  </w:pPr>
                </w:p>
              </w:tc>
              <w:tc>
                <w:tcPr>
                  <w:tcW w:w="1349" w:type="pct"/>
                  <w:noWrap w:val="0"/>
                  <w:vAlign w:val="center"/>
                </w:tcPr>
                <w:p w14:paraId="2B96911B">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b/>
                      <w:bCs/>
                      <w:color w:val="auto"/>
                      <w:sz w:val="18"/>
                      <w:szCs w:val="18"/>
                    </w:rPr>
                  </w:pPr>
                  <w:bookmarkStart w:id="13" w:name="_Toc11710"/>
                  <w:r>
                    <w:rPr>
                      <w:rFonts w:hint="eastAsia" w:ascii="宋体" w:hAnsi="宋体" w:eastAsia="宋体" w:cs="宋体"/>
                      <w:b/>
                      <w:bCs/>
                      <w:color w:val="auto"/>
                      <w:sz w:val="18"/>
                      <w:szCs w:val="18"/>
                    </w:rPr>
                    <w:t>国家级生态保护红线范围</w:t>
                  </w:r>
                  <w:bookmarkEnd w:id="13"/>
                </w:p>
              </w:tc>
              <w:tc>
                <w:tcPr>
                  <w:tcW w:w="490" w:type="pct"/>
                  <w:noWrap w:val="0"/>
                  <w:vAlign w:val="center"/>
                </w:tcPr>
                <w:p w14:paraId="6F751B0D">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b/>
                      <w:bCs/>
                      <w:color w:val="auto"/>
                      <w:sz w:val="18"/>
                      <w:szCs w:val="18"/>
                    </w:rPr>
                  </w:pPr>
                  <w:bookmarkStart w:id="14" w:name="_Toc11703"/>
                  <w:r>
                    <w:rPr>
                      <w:rFonts w:hint="eastAsia" w:ascii="宋体" w:hAnsi="宋体" w:eastAsia="宋体" w:cs="宋体"/>
                      <w:b/>
                      <w:bCs/>
                      <w:color w:val="auto"/>
                      <w:sz w:val="18"/>
                      <w:szCs w:val="18"/>
                    </w:rPr>
                    <w:t>生态空间管控区域范围</w:t>
                  </w:r>
                  <w:bookmarkEnd w:id="14"/>
                </w:p>
              </w:tc>
              <w:tc>
                <w:tcPr>
                  <w:tcW w:w="615" w:type="pct"/>
                  <w:noWrap w:val="0"/>
                  <w:vAlign w:val="center"/>
                </w:tcPr>
                <w:p w14:paraId="0E34060E">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b/>
                      <w:bCs/>
                      <w:color w:val="auto"/>
                      <w:sz w:val="18"/>
                      <w:szCs w:val="18"/>
                    </w:rPr>
                  </w:pPr>
                  <w:bookmarkStart w:id="15" w:name="_Toc6477"/>
                  <w:r>
                    <w:rPr>
                      <w:rFonts w:hint="eastAsia" w:ascii="宋体" w:hAnsi="宋体" w:eastAsia="宋体" w:cs="宋体"/>
                      <w:b/>
                      <w:bCs/>
                      <w:color w:val="auto"/>
                      <w:sz w:val="18"/>
                      <w:szCs w:val="18"/>
                    </w:rPr>
                    <w:t>国家级生态保护红线面积</w:t>
                  </w:r>
                  <w:bookmarkEnd w:id="15"/>
                </w:p>
              </w:tc>
              <w:tc>
                <w:tcPr>
                  <w:tcW w:w="469" w:type="pct"/>
                  <w:noWrap w:val="0"/>
                  <w:vAlign w:val="center"/>
                </w:tcPr>
                <w:p w14:paraId="5D8D4870">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b/>
                      <w:bCs/>
                      <w:color w:val="auto"/>
                      <w:sz w:val="18"/>
                      <w:szCs w:val="18"/>
                    </w:rPr>
                  </w:pPr>
                  <w:bookmarkStart w:id="16" w:name="_Toc23866"/>
                  <w:r>
                    <w:rPr>
                      <w:rFonts w:hint="eastAsia" w:ascii="宋体" w:hAnsi="宋体" w:eastAsia="宋体" w:cs="宋体"/>
                      <w:b/>
                      <w:bCs/>
                      <w:color w:val="auto"/>
                      <w:sz w:val="18"/>
                      <w:szCs w:val="18"/>
                    </w:rPr>
                    <w:t>生态空间管控区域面积</w:t>
                  </w:r>
                  <w:bookmarkEnd w:id="16"/>
                </w:p>
              </w:tc>
              <w:tc>
                <w:tcPr>
                  <w:tcW w:w="345" w:type="pct"/>
                  <w:noWrap w:val="0"/>
                  <w:vAlign w:val="center"/>
                </w:tcPr>
                <w:p w14:paraId="6A9865DA">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b/>
                      <w:bCs/>
                      <w:color w:val="auto"/>
                      <w:sz w:val="18"/>
                      <w:szCs w:val="18"/>
                    </w:rPr>
                  </w:pPr>
                  <w:bookmarkStart w:id="17" w:name="_Toc25048"/>
                  <w:r>
                    <w:rPr>
                      <w:rFonts w:hint="eastAsia" w:ascii="宋体" w:hAnsi="宋体" w:eastAsia="宋体" w:cs="宋体"/>
                      <w:b/>
                      <w:bCs/>
                      <w:color w:val="auto"/>
                      <w:sz w:val="18"/>
                      <w:szCs w:val="18"/>
                    </w:rPr>
                    <w:t>总面积</w:t>
                  </w:r>
                  <w:bookmarkEnd w:id="17"/>
                </w:p>
              </w:tc>
              <w:tc>
                <w:tcPr>
                  <w:tcW w:w="345" w:type="pct"/>
                  <w:vMerge w:val="continue"/>
                  <w:noWrap w:val="0"/>
                  <w:vAlign w:val="center"/>
                </w:tcPr>
                <w:p w14:paraId="3F600B97">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sz w:val="18"/>
                      <w:szCs w:val="18"/>
                    </w:rPr>
                  </w:pPr>
                </w:p>
              </w:tc>
              <w:tc>
                <w:tcPr>
                  <w:tcW w:w="390" w:type="pct"/>
                  <w:vMerge w:val="continue"/>
                  <w:noWrap w:val="0"/>
                  <w:vAlign w:val="center"/>
                </w:tcPr>
                <w:p w14:paraId="35A5D37E">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sz w:val="18"/>
                      <w:szCs w:val="18"/>
                    </w:rPr>
                  </w:pPr>
                </w:p>
              </w:tc>
            </w:tr>
            <w:tr w14:paraId="312491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547" w:type="pct"/>
                  <w:noWrap w:val="0"/>
                  <w:vAlign w:val="center"/>
                </w:tcPr>
                <w:p w14:paraId="36E35CD1">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镇江黄岗寺省级森林公园</w:t>
                  </w:r>
                </w:p>
              </w:tc>
              <w:tc>
                <w:tcPr>
                  <w:tcW w:w="445" w:type="pct"/>
                  <w:noWrap w:val="0"/>
                  <w:vAlign w:val="center"/>
                </w:tcPr>
                <w:p w14:paraId="5A72CD80">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自然与人文景观保护</w:t>
                  </w:r>
                </w:p>
              </w:tc>
              <w:tc>
                <w:tcPr>
                  <w:tcW w:w="1349" w:type="pct"/>
                  <w:noWrap w:val="0"/>
                  <w:vAlign w:val="center"/>
                </w:tcPr>
                <w:p w14:paraId="39E30332">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镇江黄岗寺省级森林公园总体规划中确定的范围（包含生态保育区和核心景</w:t>
                  </w:r>
                </w:p>
                <w:p w14:paraId="53AE54CE">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观区等）</w:t>
                  </w:r>
                </w:p>
              </w:tc>
              <w:tc>
                <w:tcPr>
                  <w:tcW w:w="490" w:type="pct"/>
                  <w:noWrap w:val="0"/>
                  <w:vAlign w:val="center"/>
                </w:tcPr>
                <w:p w14:paraId="4A414BCE">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sz w:val="18"/>
                      <w:szCs w:val="18"/>
                    </w:rPr>
                  </w:pPr>
                  <w:bookmarkStart w:id="18" w:name="_Toc9018"/>
                  <w:r>
                    <w:rPr>
                      <w:rFonts w:hint="eastAsia" w:ascii="宋体" w:hAnsi="宋体" w:eastAsia="宋体" w:cs="宋体"/>
                      <w:color w:val="auto"/>
                      <w:sz w:val="18"/>
                      <w:szCs w:val="18"/>
                    </w:rPr>
                    <w:t>/</w:t>
                  </w:r>
                  <w:bookmarkEnd w:id="18"/>
                </w:p>
              </w:tc>
              <w:tc>
                <w:tcPr>
                  <w:tcW w:w="615" w:type="pct"/>
                  <w:noWrap w:val="0"/>
                  <w:vAlign w:val="center"/>
                </w:tcPr>
                <w:p w14:paraId="6C40D23A">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2.65</w:t>
                  </w:r>
                </w:p>
              </w:tc>
              <w:tc>
                <w:tcPr>
                  <w:tcW w:w="469" w:type="pct"/>
                  <w:noWrap w:val="0"/>
                  <w:vAlign w:val="center"/>
                </w:tcPr>
                <w:p w14:paraId="31D56E14">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sz w:val="18"/>
                      <w:szCs w:val="18"/>
                    </w:rPr>
                  </w:pPr>
                  <w:bookmarkStart w:id="19" w:name="_Toc6599"/>
                  <w:r>
                    <w:rPr>
                      <w:rFonts w:hint="eastAsia" w:ascii="宋体" w:hAnsi="宋体" w:eastAsia="宋体" w:cs="宋体"/>
                      <w:color w:val="auto"/>
                      <w:sz w:val="18"/>
                      <w:szCs w:val="18"/>
                    </w:rPr>
                    <w:t>/</w:t>
                  </w:r>
                  <w:bookmarkEnd w:id="19"/>
                </w:p>
              </w:tc>
              <w:tc>
                <w:tcPr>
                  <w:tcW w:w="345" w:type="pct"/>
                  <w:noWrap w:val="0"/>
                  <w:vAlign w:val="center"/>
                </w:tcPr>
                <w:p w14:paraId="50E353D1">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2.65</w:t>
                  </w:r>
                </w:p>
              </w:tc>
              <w:tc>
                <w:tcPr>
                  <w:tcW w:w="345" w:type="pct"/>
                  <w:noWrap w:val="0"/>
                  <w:vAlign w:val="center"/>
                </w:tcPr>
                <w:p w14:paraId="4B701DDF">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北</w:t>
                  </w:r>
                </w:p>
              </w:tc>
              <w:tc>
                <w:tcPr>
                  <w:tcW w:w="390" w:type="pct"/>
                  <w:noWrap w:val="0"/>
                  <w:vAlign w:val="center"/>
                </w:tcPr>
                <w:p w14:paraId="3E15CC21">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sz w:val="18"/>
                      <w:szCs w:val="18"/>
                    </w:rPr>
                  </w:pPr>
                  <w:bookmarkStart w:id="20" w:name="_Toc21971"/>
                  <w:r>
                    <w:rPr>
                      <w:rFonts w:hint="eastAsia" w:ascii="宋体" w:hAnsi="宋体" w:eastAsia="宋体" w:cs="宋体"/>
                      <w:color w:val="auto"/>
                      <w:sz w:val="18"/>
                      <w:szCs w:val="18"/>
                      <w:lang w:val="en-US" w:eastAsia="zh-CN"/>
                    </w:rPr>
                    <w:t>1.66</w:t>
                  </w:r>
                  <w:r>
                    <w:rPr>
                      <w:rFonts w:hint="eastAsia" w:ascii="宋体" w:hAnsi="宋体" w:eastAsia="宋体" w:cs="宋体"/>
                      <w:color w:val="auto"/>
                      <w:sz w:val="18"/>
                      <w:szCs w:val="18"/>
                    </w:rPr>
                    <w:t>km</w:t>
                  </w:r>
                  <w:bookmarkEnd w:id="20"/>
                </w:p>
              </w:tc>
            </w:tr>
          </w:tbl>
          <w:p w14:paraId="5485EC6B">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bCs/>
              </w:rPr>
            </w:pPr>
            <w:r>
              <w:rPr>
                <w:rFonts w:hint="eastAsia" w:ascii="宋体" w:hAnsi="宋体" w:eastAsia="宋体" w:cs="宋体"/>
              </w:rPr>
              <w:t>②</w:t>
            </w:r>
            <w:r>
              <w:rPr>
                <w:rFonts w:hint="eastAsia" w:ascii="宋体" w:hAnsi="宋体" w:eastAsia="宋体" w:cs="宋体"/>
                <w:bCs/>
              </w:rPr>
              <w:t>与《江苏省国家级生态保护红线规划》相符性分析</w:t>
            </w:r>
          </w:p>
          <w:p w14:paraId="18AA102C">
            <w:pPr>
              <w:keepNext w:val="0"/>
              <w:keepLines w:val="0"/>
              <w:suppressLineNumbers w:val="0"/>
              <w:tabs>
                <w:tab w:val="left" w:pos="3540"/>
              </w:tabs>
              <w:spacing w:before="0" w:beforeAutospacing="0" w:after="0" w:afterAutospacing="0"/>
              <w:ind w:left="0" w:right="0" w:firstLine="480" w:firstLineChars="200"/>
              <w:jc w:val="both"/>
              <w:rPr>
                <w:rFonts w:hint="eastAsia" w:ascii="宋体" w:hAnsi="宋体" w:eastAsia="宋体" w:cs="宋体"/>
                <w:color w:val="auto"/>
              </w:rPr>
            </w:pPr>
            <w:r>
              <w:rPr>
                <w:rFonts w:hint="eastAsia" w:ascii="宋体" w:hAnsi="宋体" w:eastAsia="宋体" w:cs="宋体"/>
                <w:color w:val="auto"/>
              </w:rPr>
              <w:t>根据《江苏省国家级生态保护红线规划》</w:t>
            </w:r>
            <w:r>
              <w:rPr>
                <w:rFonts w:hint="eastAsia" w:ascii="宋体" w:hAnsi="宋体" w:eastAsia="宋体" w:cs="宋体"/>
                <w:color w:val="auto"/>
                <w:sz w:val="24"/>
                <w:szCs w:val="24"/>
              </w:rPr>
              <w:t>（苏政发</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2018</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74 号）</w:t>
            </w:r>
            <w:r>
              <w:rPr>
                <w:rFonts w:hint="eastAsia" w:ascii="宋体" w:hAnsi="宋体" w:eastAsia="宋体" w:cs="宋体"/>
                <w:color w:val="auto"/>
              </w:rPr>
              <w:t>，距本项目最近的国家级生态保护区为项目厂界</w:t>
            </w:r>
            <w:r>
              <w:rPr>
                <w:rFonts w:hint="eastAsia" w:ascii="宋体" w:hAnsi="宋体" w:eastAsia="宋体" w:cs="宋体"/>
                <w:color w:val="auto"/>
                <w:lang w:val="en-US" w:eastAsia="zh-CN"/>
              </w:rPr>
              <w:t>西南</w:t>
            </w:r>
            <w:r>
              <w:rPr>
                <w:rFonts w:hint="eastAsia" w:ascii="宋体" w:hAnsi="宋体" w:eastAsia="宋体" w:cs="宋体"/>
                <w:color w:val="auto"/>
              </w:rPr>
              <w:t>侧</w:t>
            </w:r>
            <w:r>
              <w:rPr>
                <w:rFonts w:hint="eastAsia" w:ascii="宋体" w:hAnsi="宋体" w:eastAsia="宋体" w:cs="宋体"/>
                <w:color w:val="auto"/>
                <w:lang w:val="en-US" w:eastAsia="zh-CN"/>
              </w:rPr>
              <w:t>1660</w:t>
            </w:r>
            <w:r>
              <w:rPr>
                <w:rFonts w:hint="eastAsia" w:ascii="宋体" w:hAnsi="宋体" w:eastAsia="宋体" w:cs="宋体"/>
                <w:color w:val="auto"/>
              </w:rPr>
              <w:t>m处的</w:t>
            </w:r>
            <w:r>
              <w:rPr>
                <w:rFonts w:hint="eastAsia" w:ascii="宋体" w:hAnsi="宋体" w:eastAsia="宋体" w:cs="宋体"/>
                <w:color w:val="auto"/>
                <w:lang w:val="en-US" w:eastAsia="zh-CN"/>
              </w:rPr>
              <w:t>镇江黄岗寺省级森林公园</w:t>
            </w:r>
            <w:r>
              <w:rPr>
                <w:rFonts w:hint="eastAsia" w:ascii="宋体" w:hAnsi="宋体" w:eastAsia="宋体" w:cs="宋体"/>
                <w:color w:val="auto"/>
              </w:rPr>
              <w:t>保护区，主导生态功能为</w:t>
            </w:r>
            <w:r>
              <w:rPr>
                <w:rFonts w:hint="eastAsia" w:ascii="宋体" w:hAnsi="宋体" w:eastAsia="宋体" w:cs="宋体"/>
                <w:color w:val="auto"/>
                <w:lang w:val="en-US" w:eastAsia="zh-CN"/>
              </w:rPr>
              <w:t>森林公园的生态保育区和核心景观区</w:t>
            </w:r>
            <w:r>
              <w:rPr>
                <w:rFonts w:hint="eastAsia" w:ascii="宋体" w:hAnsi="宋体" w:eastAsia="宋体" w:cs="宋体"/>
                <w:color w:val="auto"/>
              </w:rPr>
              <w:t>。本项目不占用生态红线，与江苏省国家级生态保护红线规划要求相符。</w:t>
            </w:r>
            <w:r>
              <w:rPr>
                <w:rFonts w:hint="eastAsia" w:ascii="宋体" w:hAnsi="宋体" w:eastAsia="宋体" w:cs="宋体"/>
                <w:color w:val="auto"/>
                <w:kern w:val="0"/>
                <w:lang w:eastAsia="zh-CN"/>
              </w:rPr>
              <w:t>具体见</w:t>
            </w:r>
            <w:r>
              <w:rPr>
                <w:rFonts w:hint="eastAsia" w:ascii="宋体" w:hAnsi="宋体" w:eastAsia="宋体" w:cs="宋体"/>
                <w:color w:val="auto"/>
                <w:kern w:val="0"/>
              </w:rPr>
              <w:t>表1-</w:t>
            </w:r>
            <w:r>
              <w:rPr>
                <w:rFonts w:hint="eastAsia" w:ascii="宋体" w:hAnsi="宋体" w:eastAsia="宋体" w:cs="宋体"/>
                <w:color w:val="auto"/>
                <w:kern w:val="0"/>
                <w:lang w:val="en-US" w:eastAsia="zh-CN"/>
              </w:rPr>
              <w:t>3</w:t>
            </w:r>
            <w:r>
              <w:rPr>
                <w:rFonts w:hint="eastAsia" w:ascii="宋体" w:hAnsi="宋体" w:eastAsia="宋体" w:cs="宋体"/>
                <w:color w:val="auto"/>
                <w:kern w:val="0"/>
              </w:rPr>
              <w:t>。</w:t>
            </w:r>
          </w:p>
          <w:p w14:paraId="47AFC96D">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color w:val="auto"/>
              </w:rPr>
            </w:pPr>
            <w:r>
              <w:rPr>
                <w:rFonts w:hint="eastAsia" w:ascii="宋体" w:hAnsi="宋体" w:eastAsia="宋体" w:cs="宋体"/>
                <w:b/>
                <w:bCs/>
                <w:color w:val="auto"/>
              </w:rPr>
              <w:t>表1-</w:t>
            </w:r>
            <w:r>
              <w:rPr>
                <w:rFonts w:hint="eastAsia" w:ascii="宋体" w:hAnsi="宋体" w:eastAsia="宋体" w:cs="宋体"/>
                <w:b/>
                <w:bCs/>
                <w:color w:val="auto"/>
                <w:lang w:val="en-US" w:eastAsia="zh-CN"/>
              </w:rPr>
              <w:t>3</w:t>
            </w:r>
            <w:r>
              <w:rPr>
                <w:rFonts w:hint="eastAsia" w:ascii="宋体" w:hAnsi="宋体" w:eastAsia="宋体" w:cs="宋体"/>
                <w:b/>
                <w:bCs/>
                <w:color w:val="auto"/>
              </w:rPr>
              <w:t xml:space="preserve"> 项目周边国家级生态保护红线规划</w:t>
            </w:r>
          </w:p>
          <w:tbl>
            <w:tblPr>
              <w:tblStyle w:val="30"/>
              <w:tblW w:w="689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1498"/>
              <w:gridCol w:w="2311"/>
              <w:gridCol w:w="1223"/>
              <w:gridCol w:w="742"/>
            </w:tblGrid>
            <w:tr w14:paraId="5B404B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599" w:hRule="atLeast"/>
                <w:tblHeader/>
                <w:jc w:val="center"/>
              </w:trPr>
              <w:tc>
                <w:tcPr>
                  <w:tcW w:w="1123" w:type="dxa"/>
                  <w:noWrap w:val="0"/>
                  <w:vAlign w:val="center"/>
                </w:tcPr>
                <w:p w14:paraId="2F199C3D">
                  <w:pPr>
                    <w:keepNext w:val="0"/>
                    <w:keepLines w:val="0"/>
                    <w:suppressLineNumbers w:val="0"/>
                    <w:spacing w:before="0" w:beforeAutospacing="0" w:after="0" w:afterAutospacing="0" w:line="240" w:lineRule="atLeast"/>
                    <w:ind w:left="0" w:right="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生态保护红线名称</w:t>
                  </w:r>
                </w:p>
              </w:tc>
              <w:tc>
                <w:tcPr>
                  <w:tcW w:w="1498" w:type="dxa"/>
                  <w:noWrap w:val="0"/>
                  <w:vAlign w:val="center"/>
                </w:tcPr>
                <w:p w14:paraId="1C8FF29D">
                  <w:pPr>
                    <w:keepNext w:val="0"/>
                    <w:keepLines w:val="0"/>
                    <w:suppressLineNumbers w:val="0"/>
                    <w:spacing w:before="0" w:beforeAutospacing="0" w:after="0" w:afterAutospacing="0" w:line="240" w:lineRule="atLeast"/>
                    <w:ind w:left="0" w:right="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类型</w:t>
                  </w:r>
                </w:p>
              </w:tc>
              <w:tc>
                <w:tcPr>
                  <w:tcW w:w="2311" w:type="dxa"/>
                  <w:noWrap w:val="0"/>
                  <w:vAlign w:val="center"/>
                </w:tcPr>
                <w:p w14:paraId="4D2A7889">
                  <w:pPr>
                    <w:keepNext w:val="0"/>
                    <w:keepLines w:val="0"/>
                    <w:suppressLineNumbers w:val="0"/>
                    <w:spacing w:before="0" w:beforeAutospacing="0" w:after="0" w:afterAutospacing="0" w:line="240" w:lineRule="atLeast"/>
                    <w:ind w:left="0" w:right="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地理位置</w:t>
                  </w:r>
                </w:p>
              </w:tc>
              <w:tc>
                <w:tcPr>
                  <w:tcW w:w="1223" w:type="dxa"/>
                  <w:tcBorders>
                    <w:right w:val="single" w:color="auto" w:sz="2" w:space="0"/>
                  </w:tcBorders>
                  <w:noWrap w:val="0"/>
                  <w:tcMar>
                    <w:left w:w="28" w:type="dxa"/>
                    <w:right w:w="28" w:type="dxa"/>
                  </w:tcMar>
                  <w:vAlign w:val="center"/>
                </w:tcPr>
                <w:p w14:paraId="6F6163DE">
                  <w:pPr>
                    <w:keepNext w:val="0"/>
                    <w:keepLines w:val="0"/>
                    <w:suppressLineNumbers w:val="0"/>
                    <w:spacing w:before="0" w:beforeAutospacing="0" w:after="0" w:afterAutospacing="0" w:line="240" w:lineRule="atLeast"/>
                    <w:ind w:left="0" w:right="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区域面积</w:t>
                  </w:r>
                </w:p>
                <w:p w14:paraId="1A2C1BC2">
                  <w:pPr>
                    <w:keepNext w:val="0"/>
                    <w:keepLines w:val="0"/>
                    <w:suppressLineNumbers w:val="0"/>
                    <w:spacing w:before="0" w:beforeAutospacing="0" w:after="0" w:afterAutospacing="0" w:line="240" w:lineRule="atLeast"/>
                    <w:ind w:left="0" w:right="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（平方公里）</w:t>
                  </w:r>
                </w:p>
              </w:tc>
              <w:tc>
                <w:tcPr>
                  <w:tcW w:w="742" w:type="dxa"/>
                  <w:tcBorders>
                    <w:left w:val="single" w:color="auto" w:sz="2" w:space="0"/>
                  </w:tcBorders>
                  <w:noWrap w:val="0"/>
                  <w:vAlign w:val="center"/>
                </w:tcPr>
                <w:p w14:paraId="24FAD166">
                  <w:pPr>
                    <w:keepNext w:val="0"/>
                    <w:keepLines w:val="0"/>
                    <w:suppressLineNumbers w:val="0"/>
                    <w:spacing w:before="0" w:beforeAutospacing="0" w:after="0" w:afterAutospacing="0" w:line="240" w:lineRule="atLeast"/>
                    <w:ind w:left="0" w:right="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方位</w:t>
                  </w:r>
                </w:p>
                <w:p w14:paraId="0663812D">
                  <w:pPr>
                    <w:keepNext w:val="0"/>
                    <w:keepLines w:val="0"/>
                    <w:suppressLineNumbers w:val="0"/>
                    <w:spacing w:before="0" w:beforeAutospacing="0" w:after="0" w:afterAutospacing="0" w:line="240" w:lineRule="atLeast"/>
                    <w:ind w:left="0" w:right="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距离</w:t>
                  </w:r>
                </w:p>
              </w:tc>
            </w:tr>
            <w:tr w14:paraId="62BD2E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123" w:type="dxa"/>
                  <w:noWrap w:val="0"/>
                  <w:vAlign w:val="center"/>
                </w:tcPr>
                <w:p w14:paraId="7DED06B5">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镇江黄岗寺省级森林公园</w:t>
                  </w:r>
                </w:p>
              </w:tc>
              <w:tc>
                <w:tcPr>
                  <w:tcW w:w="1498" w:type="dxa"/>
                  <w:noWrap w:val="0"/>
                  <w:vAlign w:val="center"/>
                </w:tcPr>
                <w:p w14:paraId="7B957455">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森林公园的生态保育区和核心景观区</w:t>
                  </w:r>
                </w:p>
              </w:tc>
              <w:tc>
                <w:tcPr>
                  <w:tcW w:w="2311" w:type="dxa"/>
                  <w:noWrap w:val="0"/>
                  <w:vAlign w:val="center"/>
                </w:tcPr>
                <w:p w14:paraId="5D7CAF55">
                  <w:pPr>
                    <w:keepNext w:val="0"/>
                    <w:keepLines w:val="0"/>
                    <w:widowControl/>
                    <w:suppressLineNumbers w:val="0"/>
                    <w:spacing w:before="0" w:beforeAutospacing="0" w:after="0" w:afterAutospacing="0" w:line="240" w:lineRule="atLeas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镇江黄岗寺省级森林公园总体规划中的生态保育区和核心景观区范围</w:t>
                  </w:r>
                </w:p>
              </w:tc>
              <w:tc>
                <w:tcPr>
                  <w:tcW w:w="1223" w:type="dxa"/>
                  <w:tcBorders>
                    <w:right w:val="single" w:color="auto" w:sz="2" w:space="0"/>
                  </w:tcBorders>
                  <w:noWrap w:val="0"/>
                  <w:tcMar>
                    <w:left w:w="28" w:type="dxa"/>
                    <w:right w:w="28" w:type="dxa"/>
                  </w:tcMar>
                  <w:vAlign w:val="center"/>
                </w:tcPr>
                <w:p w14:paraId="05348E22">
                  <w:pPr>
                    <w:keepNext w:val="0"/>
                    <w:keepLines w:val="0"/>
                    <w:suppressLineNumbers w:val="0"/>
                    <w:spacing w:before="0" w:beforeAutospacing="0" w:after="0" w:afterAutospacing="0" w:line="240" w:lineRule="atLeast"/>
                    <w:ind w:left="0" w:right="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2.65</w:t>
                  </w:r>
                </w:p>
              </w:tc>
              <w:tc>
                <w:tcPr>
                  <w:tcW w:w="742" w:type="dxa"/>
                  <w:tcBorders>
                    <w:left w:val="single" w:color="auto" w:sz="2" w:space="0"/>
                  </w:tcBorders>
                  <w:noWrap w:val="0"/>
                  <w:vAlign w:val="center"/>
                </w:tcPr>
                <w:p w14:paraId="78B92910">
                  <w:pPr>
                    <w:keepNext w:val="0"/>
                    <w:keepLines w:val="0"/>
                    <w:suppressLineNumbers w:val="0"/>
                    <w:spacing w:before="0" w:beforeAutospacing="0" w:after="0" w:afterAutospacing="0" w:line="240" w:lineRule="atLeast"/>
                    <w:ind w:left="0" w:right="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北</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1.66</w:t>
                  </w:r>
                </w:p>
                <w:p w14:paraId="7845FF9A">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km</w:t>
                  </w:r>
                </w:p>
              </w:tc>
            </w:tr>
          </w:tbl>
          <w:p w14:paraId="52882C3E">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rPr>
            </w:pPr>
            <w:r>
              <w:rPr>
                <w:rFonts w:hint="eastAsia" w:ascii="宋体" w:hAnsi="宋体" w:eastAsia="宋体" w:cs="宋体"/>
              </w:rPr>
              <w:t>⑷与环境质量底线相符性</w:t>
            </w:r>
          </w:p>
          <w:p w14:paraId="78E528EF">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rPr>
            </w:pPr>
            <w:r>
              <w:rPr>
                <w:rFonts w:hint="eastAsia" w:ascii="宋体" w:hAnsi="宋体" w:eastAsia="宋体" w:cs="宋体"/>
              </w:rPr>
              <w:t>①环境空气</w:t>
            </w:r>
          </w:p>
          <w:p w14:paraId="3D5A8605">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rPr>
            </w:pPr>
            <w:r>
              <w:rPr>
                <w:rFonts w:hint="eastAsia" w:ascii="宋体" w:hAnsi="宋体" w:eastAsia="宋体" w:cs="宋体"/>
                <w:lang w:val="en-US" w:eastAsia="zh-CN"/>
              </w:rPr>
              <w:t>根据《2024年度镇江市生态环境状况公报》，项目所在区为环境空气一般，超标因子为臭氧，属不达标区。根据区域空气质量达标要求，镇江市深入打好污染防治攻坚战指挥部办公室出台了《关于印发&lt;镇江市2025年大气污染防治工作计划&gt;的通知》（镇污治指办〔2025〕19号），通过坚决遏制高耗能、高排放、低水平项目盲目上马、加快退出重点行业落后产能、推进能源结构调整优化、实施重点行业大气污染深度治理、加快实施低VOCs含量原辅材料替代、强化VOCs综合治理等工作，重点做好PM</w:t>
            </w:r>
            <w:r>
              <w:rPr>
                <w:rFonts w:hint="eastAsia" w:ascii="宋体" w:hAnsi="宋体" w:eastAsia="宋体" w:cs="宋体"/>
                <w:vertAlign w:val="subscript"/>
                <w:lang w:val="en-US" w:eastAsia="zh-CN"/>
              </w:rPr>
              <w:t>2.5</w:t>
            </w:r>
            <w:r>
              <w:rPr>
                <w:rFonts w:hint="eastAsia" w:ascii="宋体" w:hAnsi="宋体" w:eastAsia="宋体" w:cs="宋体"/>
                <w:lang w:val="en-US" w:eastAsia="zh-CN"/>
              </w:rPr>
              <w:t>和臭氧浓度“双减双控”，区域大气环境质量状况可以得到进一步改善。</w:t>
            </w:r>
          </w:p>
          <w:p w14:paraId="207C4FA1">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rPr>
            </w:pPr>
            <w:r>
              <w:rPr>
                <w:rFonts w:hint="eastAsia" w:ascii="宋体" w:hAnsi="宋体" w:eastAsia="宋体" w:cs="宋体"/>
              </w:rPr>
              <w:t>②地表水</w:t>
            </w:r>
          </w:p>
          <w:p w14:paraId="586BA4C8">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rPr>
            </w:pPr>
            <w:r>
              <w:rPr>
                <w:rFonts w:hint="eastAsia" w:ascii="宋体" w:hAnsi="宋体" w:eastAsia="宋体" w:cs="宋体"/>
                <w:color w:val="auto"/>
                <w:sz w:val="24"/>
                <w:szCs w:val="24"/>
                <w:lang w:val="en-US"/>
              </w:rPr>
              <w:t>根据</w:t>
            </w:r>
            <w:r>
              <w:rPr>
                <w:rFonts w:hint="eastAsia" w:ascii="宋体" w:hAnsi="宋体" w:eastAsia="宋体" w:cs="宋体"/>
                <w:color w:val="auto"/>
                <w:sz w:val="24"/>
                <w:szCs w:val="24"/>
                <w:lang w:val="en-US" w:eastAsia="zh-CN"/>
              </w:rPr>
              <w:t>《2024年度镇江市生态环境状况公报》</w:t>
            </w:r>
            <w:r>
              <w:rPr>
                <w:rFonts w:hint="eastAsia" w:ascii="宋体" w:hAnsi="宋体" w:eastAsia="宋体" w:cs="宋体"/>
                <w:color w:val="auto"/>
                <w:sz w:val="24"/>
                <w:szCs w:val="24"/>
                <w:lang w:val="en-US"/>
              </w:rPr>
              <w:t>，</w:t>
            </w:r>
            <w:r>
              <w:rPr>
                <w:rFonts w:hint="eastAsia" w:ascii="宋体" w:hAnsi="宋体" w:eastAsia="宋体" w:cs="宋体"/>
                <w:color w:val="auto"/>
                <w:sz w:val="24"/>
                <w:szCs w:val="24"/>
                <w:lang w:val="en-US" w:eastAsia="zh-CN"/>
              </w:rPr>
              <w:t>2024年，全市地表水环境质量总体为优。列入《江苏省水污染防治工作计划》地表水环境质量考核的10个国考断面中，水质符合《地表水环境质量标准》（GB 3838-2002）优Ⅲ类断面比例为100%，优Ⅱ类断面比例为60%。省考45个断面中，优Ⅲ类断面比例为100%，优Ⅱ类断面比例为71.1%。与上年相比，国考断面优Ⅲ类断面占比持平，优Ⅱ类断面占比上升20个百分点。省考断面优Ⅲ类断面占比持平，优Ⅱ类断面占比上升24.4个百分点。</w:t>
            </w:r>
          </w:p>
          <w:p w14:paraId="2761BBFF">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rPr>
            </w:pPr>
            <w:r>
              <w:rPr>
                <w:rFonts w:hint="eastAsia" w:ascii="宋体" w:hAnsi="宋体" w:eastAsia="宋体" w:cs="宋体"/>
              </w:rPr>
              <w:t>③声环境</w:t>
            </w:r>
          </w:p>
          <w:p w14:paraId="29F5090D">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rPr>
            </w:pPr>
            <w:r>
              <w:rPr>
                <w:rFonts w:hint="eastAsia" w:ascii="宋体" w:hAnsi="宋体" w:eastAsia="宋体" w:cs="宋体"/>
              </w:rPr>
              <w:t>本项目所在区域噪声能符合《声环境质量标准》（GB3096-2008）中</w:t>
            </w:r>
            <w:r>
              <w:rPr>
                <w:rFonts w:hint="eastAsia" w:ascii="宋体" w:hAnsi="宋体" w:eastAsia="宋体" w:cs="宋体"/>
                <w:lang w:val="en-US" w:eastAsia="zh-CN"/>
              </w:rPr>
              <w:t>2</w:t>
            </w:r>
            <w:r>
              <w:rPr>
                <w:rFonts w:hint="eastAsia" w:ascii="宋体" w:hAnsi="宋体" w:eastAsia="宋体" w:cs="宋体"/>
              </w:rPr>
              <w:t>类标准。</w:t>
            </w:r>
          </w:p>
          <w:p w14:paraId="7DAFF765">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rPr>
            </w:pPr>
            <w:r>
              <w:rPr>
                <w:rFonts w:hint="eastAsia" w:ascii="宋体" w:hAnsi="宋体" w:eastAsia="宋体" w:cs="宋体"/>
              </w:rPr>
              <w:t>④本项目固体废物均得到合理的利用或处置，固体废物零排放。</w:t>
            </w:r>
          </w:p>
          <w:p w14:paraId="1E7AB1A8">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rPr>
            </w:pPr>
            <w:r>
              <w:rPr>
                <w:rFonts w:hint="eastAsia" w:ascii="宋体" w:hAnsi="宋体" w:eastAsia="宋体" w:cs="宋体"/>
              </w:rPr>
              <w:t>综上，评价范围内地表水和噪声等现状监测指标满足相应的标准限值，大气环境通过整治方案可以得到改善，总体环境现状符合环境功能区要求。本项目投产后，正常状况下污染物排放对周围环境和敏感保护目标影响较小，对区域生态环境无明显影响；区域地表水环境、大气环境和声环境质量仍可满足规划功能要求。</w:t>
            </w:r>
          </w:p>
          <w:p w14:paraId="3A7ECD0C">
            <w:pPr>
              <w:pStyle w:val="10"/>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rPr>
            </w:pPr>
            <w:r>
              <w:rPr>
                <w:rFonts w:hint="eastAsia" w:ascii="宋体" w:hAnsi="宋体" w:eastAsia="宋体" w:cs="宋体"/>
              </w:rPr>
              <w:t>⑸资源利用上线相符性</w:t>
            </w:r>
          </w:p>
          <w:p w14:paraId="772539E8">
            <w:pPr>
              <w:pStyle w:val="10"/>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rPr>
            </w:pPr>
            <w:r>
              <w:rPr>
                <w:rFonts w:hint="eastAsia" w:ascii="宋体" w:hAnsi="宋体" w:eastAsia="宋体" w:cs="宋体"/>
              </w:rPr>
              <w:t>本项目生产自动化程度高，工艺技术成熟可靠，能耗、物耗低；可利用资源均回收资源化利用；本项目用水</w:t>
            </w:r>
            <w:r>
              <w:rPr>
                <w:rFonts w:hint="eastAsia" w:ascii="宋体" w:hAnsi="宋体" w:eastAsia="宋体" w:cs="宋体"/>
                <w:color w:val="auto"/>
              </w:rPr>
              <w:t>量为</w:t>
            </w:r>
            <w:r>
              <w:rPr>
                <w:rFonts w:hint="eastAsia" w:ascii="宋体" w:hAnsi="宋体" w:eastAsia="宋体" w:cs="宋体"/>
                <w:color w:val="auto"/>
                <w:lang w:val="en-US" w:eastAsia="zh-CN"/>
              </w:rPr>
              <w:t>1818.7</w:t>
            </w:r>
            <w:r>
              <w:rPr>
                <w:rFonts w:hint="eastAsia" w:ascii="宋体" w:hAnsi="宋体" w:eastAsia="宋体" w:cs="宋体"/>
                <w:color w:val="auto"/>
              </w:rPr>
              <w:t>吨</w:t>
            </w:r>
            <w:r>
              <w:rPr>
                <w:rFonts w:hint="eastAsia" w:ascii="宋体" w:hAnsi="宋体" w:eastAsia="宋体" w:cs="宋体"/>
              </w:rPr>
              <w:t>/年，项目所在地供水设施可满足用水需要；项目年用电量</w:t>
            </w:r>
            <w:r>
              <w:rPr>
                <w:rFonts w:hint="eastAsia" w:ascii="宋体" w:hAnsi="宋体" w:eastAsia="宋体" w:cs="宋体"/>
                <w:color w:val="auto"/>
              </w:rPr>
              <w:t>约</w:t>
            </w:r>
            <w:r>
              <w:rPr>
                <w:rFonts w:hint="eastAsia" w:ascii="宋体" w:hAnsi="宋体" w:eastAsia="宋体" w:cs="宋体"/>
                <w:color w:val="auto"/>
                <w:lang w:val="en-US" w:eastAsia="zh-CN"/>
              </w:rPr>
              <w:t>100</w:t>
            </w:r>
            <w:r>
              <w:rPr>
                <w:rFonts w:hint="eastAsia" w:ascii="宋体" w:hAnsi="宋体" w:eastAsia="宋体" w:cs="宋体"/>
                <w:color w:val="auto"/>
              </w:rPr>
              <w:t>万</w:t>
            </w:r>
            <w:r>
              <w:rPr>
                <w:rFonts w:hint="eastAsia" w:ascii="宋体" w:hAnsi="宋体" w:eastAsia="宋体" w:cs="宋体"/>
              </w:rPr>
              <w:t>千瓦时，项目所在地供电设施可满足用电需要；项目用地不占用新的土地资源，本项目符合资源利用上线要求。</w:t>
            </w:r>
          </w:p>
          <w:p w14:paraId="2F652FD2">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rPr>
            </w:pPr>
            <w:r>
              <w:rPr>
                <w:rFonts w:hint="eastAsia" w:ascii="宋体" w:hAnsi="宋体" w:eastAsia="宋体" w:cs="宋体"/>
              </w:rPr>
              <w:t>⑹</w:t>
            </w:r>
            <w:r>
              <w:rPr>
                <w:rFonts w:hint="eastAsia" w:ascii="宋体" w:hAnsi="宋体" w:eastAsia="宋体" w:cs="宋体"/>
                <w:bCs/>
              </w:rPr>
              <w:t>环境准入负面清单</w:t>
            </w:r>
          </w:p>
          <w:p w14:paraId="352D0097">
            <w:pPr>
              <w:keepNext w:val="0"/>
              <w:keepLines w:val="0"/>
              <w:suppressLineNumbers w:val="0"/>
              <w:spacing w:before="0" w:beforeAutospacing="0" w:after="0" w:afterAutospacing="0"/>
              <w:ind w:left="0" w:right="0" w:firstLine="480" w:firstLineChars="200"/>
              <w:rPr>
                <w:rFonts w:hint="eastAsia" w:ascii="宋体" w:hAnsi="宋体" w:eastAsia="宋体" w:cs="宋体"/>
              </w:rPr>
            </w:pPr>
            <w:r>
              <w:rPr>
                <w:rFonts w:hint="eastAsia" w:ascii="宋体" w:hAnsi="宋体" w:eastAsia="宋体" w:cs="宋体"/>
              </w:rPr>
              <w:t>①与《市场准入负面清单（202</w:t>
            </w:r>
            <w:r>
              <w:rPr>
                <w:rFonts w:hint="eastAsia" w:ascii="宋体" w:hAnsi="宋体" w:eastAsia="宋体" w:cs="宋体"/>
                <w:lang w:val="en-US" w:eastAsia="zh-CN"/>
              </w:rPr>
              <w:t>5</w:t>
            </w:r>
            <w:r>
              <w:rPr>
                <w:rFonts w:hint="eastAsia" w:ascii="宋体" w:hAnsi="宋体" w:eastAsia="宋体" w:cs="宋体"/>
              </w:rPr>
              <w:t xml:space="preserve"> 年版）》相符性分析</w:t>
            </w:r>
          </w:p>
          <w:p w14:paraId="62A13706">
            <w:pPr>
              <w:keepNext w:val="0"/>
              <w:keepLines w:val="0"/>
              <w:suppressLineNumbers w:val="0"/>
              <w:spacing w:before="0" w:beforeAutospacing="0" w:after="0" w:afterAutospacing="0"/>
              <w:ind w:left="0" w:right="0" w:firstLine="480" w:firstLineChars="200"/>
              <w:rPr>
                <w:rFonts w:hint="eastAsia" w:ascii="宋体" w:hAnsi="宋体" w:eastAsia="宋体" w:cs="宋体"/>
              </w:rPr>
            </w:pPr>
            <w:r>
              <w:rPr>
                <w:rFonts w:hint="eastAsia" w:ascii="宋体" w:hAnsi="宋体" w:eastAsia="宋体" w:cs="宋体"/>
              </w:rPr>
              <w:t>清单主体包括“禁止准入类”和“许可准入类”两大类，其中禁止准入类6项、许可准入类1</w:t>
            </w:r>
            <w:r>
              <w:rPr>
                <w:rFonts w:hint="eastAsia" w:ascii="宋体" w:hAnsi="宋体" w:eastAsia="宋体" w:cs="宋体"/>
                <w:lang w:val="en-US" w:eastAsia="zh-CN"/>
              </w:rPr>
              <w:t>00</w:t>
            </w:r>
            <w:r>
              <w:rPr>
                <w:rFonts w:hint="eastAsia" w:ascii="宋体" w:hAnsi="宋体" w:eastAsia="宋体" w:cs="宋体"/>
              </w:rPr>
              <w:t>项，一共有1</w:t>
            </w:r>
            <w:r>
              <w:rPr>
                <w:rFonts w:hint="eastAsia" w:ascii="宋体" w:hAnsi="宋体" w:eastAsia="宋体" w:cs="宋体"/>
                <w:lang w:val="en-US" w:eastAsia="zh-CN"/>
              </w:rPr>
              <w:t>06</w:t>
            </w:r>
            <w:r>
              <w:rPr>
                <w:rFonts w:hint="eastAsia" w:ascii="宋体" w:hAnsi="宋体" w:eastAsia="宋体" w:cs="宋体"/>
              </w:rPr>
              <w:t>个事项。禁止准入类事项包括6个事项。第一项是法律、法规、国务院决定等明确设立且与市场准入相关的禁止性规定。第二项是国家产业政策明令淘汰和限制的产品、技术、工艺、设备及行为。第三项是不符合主体功能区建设要求的各类开发活动。第四项</w:t>
            </w:r>
            <w:r>
              <w:rPr>
                <w:rFonts w:hint="eastAsia" w:ascii="宋体" w:hAnsi="宋体" w:eastAsia="宋体" w:cs="宋体"/>
                <w:lang w:val="en-US" w:eastAsia="zh-CN"/>
              </w:rPr>
              <w:t>是</w:t>
            </w:r>
            <w:r>
              <w:rPr>
                <w:rFonts w:hint="eastAsia" w:ascii="宋体" w:hAnsi="宋体" w:eastAsia="宋体" w:cs="宋体"/>
              </w:rPr>
              <w:t>禁止违规开展金融相关经营活动</w:t>
            </w:r>
            <w:r>
              <w:rPr>
                <w:rFonts w:hint="eastAsia" w:ascii="宋体" w:hAnsi="宋体" w:eastAsia="宋体" w:cs="宋体"/>
                <w:lang w:eastAsia="zh-CN"/>
              </w:rPr>
              <w:t>。</w:t>
            </w:r>
            <w:r>
              <w:rPr>
                <w:rFonts w:hint="eastAsia" w:ascii="宋体" w:hAnsi="宋体" w:eastAsia="宋体" w:cs="宋体"/>
              </w:rPr>
              <w:t>第五项</w:t>
            </w:r>
            <w:r>
              <w:rPr>
                <w:rFonts w:hint="eastAsia" w:ascii="宋体" w:hAnsi="宋体" w:eastAsia="宋体" w:cs="宋体"/>
                <w:lang w:val="en-US" w:eastAsia="zh-CN"/>
              </w:rPr>
              <w:t>是</w:t>
            </w:r>
            <w:r>
              <w:rPr>
                <w:rFonts w:hint="eastAsia" w:ascii="宋体" w:hAnsi="宋体" w:eastAsia="宋体" w:cs="宋体"/>
              </w:rPr>
              <w:t>禁止违规开展</w:t>
            </w:r>
            <w:r>
              <w:rPr>
                <w:rFonts w:hint="eastAsia" w:ascii="宋体" w:hAnsi="宋体" w:eastAsia="宋体" w:cs="宋体"/>
                <w:lang w:val="en-US" w:eastAsia="zh-CN"/>
              </w:rPr>
              <w:t>互联网</w:t>
            </w:r>
            <w:r>
              <w:rPr>
                <w:rFonts w:hint="eastAsia" w:ascii="宋体" w:hAnsi="宋体" w:eastAsia="宋体" w:cs="宋体"/>
              </w:rPr>
              <w:t>相关经营活动</w:t>
            </w:r>
            <w:r>
              <w:rPr>
                <w:rFonts w:hint="eastAsia" w:ascii="宋体" w:hAnsi="宋体" w:eastAsia="宋体" w:cs="宋体"/>
                <w:lang w:eastAsia="zh-CN"/>
              </w:rPr>
              <w:t>。</w:t>
            </w:r>
            <w:r>
              <w:rPr>
                <w:rFonts w:hint="eastAsia" w:ascii="宋体" w:hAnsi="宋体" w:eastAsia="宋体" w:cs="宋体"/>
              </w:rPr>
              <w:t>第六项</w:t>
            </w:r>
            <w:r>
              <w:rPr>
                <w:rFonts w:hint="eastAsia" w:ascii="宋体" w:hAnsi="宋体" w:eastAsia="宋体" w:cs="宋体"/>
                <w:lang w:val="en-US" w:eastAsia="zh-CN"/>
              </w:rPr>
              <w:t>是禁止违规开展新闻传播相关业务</w:t>
            </w:r>
            <w:r>
              <w:rPr>
                <w:rFonts w:hint="eastAsia" w:ascii="宋体" w:hAnsi="宋体" w:eastAsia="宋体" w:cs="宋体"/>
              </w:rPr>
              <w:t>，是针对当前金融领域、互联网领域新技术、新产品、新业态、新商业模式层出不穷的形势，为防范出现重大风险，在会同相关行业主管部门梳理现行管理措施基础上提出，并报国务院批准后列入的事项。对于禁止类事项，市场主体不得进入，行政机关不予审批。</w:t>
            </w:r>
          </w:p>
          <w:p w14:paraId="50B7E0FE">
            <w:pPr>
              <w:keepNext w:val="0"/>
              <w:keepLines w:val="0"/>
              <w:suppressLineNumbers w:val="0"/>
              <w:spacing w:before="0" w:beforeAutospacing="0" w:after="0" w:afterAutospacing="0"/>
              <w:ind w:left="0" w:right="0" w:firstLine="480" w:firstLineChars="200"/>
              <w:rPr>
                <w:rFonts w:hint="eastAsia" w:ascii="宋体" w:hAnsi="宋体" w:eastAsia="宋体" w:cs="宋体"/>
              </w:rPr>
            </w:pPr>
            <w:r>
              <w:rPr>
                <w:rFonts w:hint="eastAsia" w:ascii="宋体" w:hAnsi="宋体" w:eastAsia="宋体" w:cs="宋体"/>
              </w:rPr>
              <w:t>对照上述内容，本项目不属于禁止准入类项目。</w:t>
            </w:r>
          </w:p>
          <w:p w14:paraId="3F048C81">
            <w:pPr>
              <w:keepNext w:val="0"/>
              <w:keepLines w:val="0"/>
              <w:suppressLineNumbers w:val="0"/>
              <w:spacing w:before="0" w:beforeAutospacing="0" w:after="0" w:afterAutospacing="0"/>
              <w:ind w:left="0" w:right="0" w:firstLine="480" w:firstLineChars="200"/>
              <w:rPr>
                <w:rFonts w:hint="eastAsia" w:ascii="宋体" w:hAnsi="宋体" w:eastAsia="宋体" w:cs="宋体"/>
              </w:rPr>
            </w:pPr>
            <w:r>
              <w:rPr>
                <w:rFonts w:hint="eastAsia" w:ascii="宋体" w:hAnsi="宋体" w:eastAsia="宋体" w:cs="宋体"/>
              </w:rPr>
              <w:t>②与《长江经济带发展负面清单指南（试行，2022年版）》（长江办</w:t>
            </w:r>
            <w:r>
              <w:rPr>
                <w:rFonts w:hint="eastAsia" w:ascii="宋体" w:hAnsi="宋体" w:eastAsia="宋体" w:cs="宋体"/>
                <w:lang w:eastAsia="zh-CN"/>
              </w:rPr>
              <w:t>〔</w:t>
            </w:r>
            <w:r>
              <w:rPr>
                <w:rFonts w:hint="eastAsia" w:ascii="宋体" w:hAnsi="宋体" w:eastAsia="宋体" w:cs="宋体"/>
              </w:rPr>
              <w:t>2022</w:t>
            </w:r>
            <w:r>
              <w:rPr>
                <w:rFonts w:hint="eastAsia" w:ascii="宋体" w:hAnsi="宋体" w:eastAsia="宋体" w:cs="宋体"/>
                <w:lang w:eastAsia="zh-CN"/>
              </w:rPr>
              <w:t>〕</w:t>
            </w:r>
            <w:r>
              <w:rPr>
                <w:rFonts w:hint="eastAsia" w:ascii="宋体" w:hAnsi="宋体" w:eastAsia="宋体" w:cs="宋体"/>
              </w:rPr>
              <w:t>7号）相符性分析</w:t>
            </w:r>
          </w:p>
          <w:p w14:paraId="26E3DC37">
            <w:pPr>
              <w:keepNext w:val="0"/>
              <w:keepLines w:val="0"/>
              <w:suppressLineNumbers w:val="0"/>
              <w:autoSpaceDE w:val="0"/>
              <w:autoSpaceDN w:val="0"/>
              <w:spacing w:before="0" w:beforeAutospacing="0" w:after="0" w:afterAutospacing="0"/>
              <w:ind w:left="0" w:right="0"/>
              <w:jc w:val="center"/>
              <w:rPr>
                <w:rFonts w:hint="eastAsia" w:ascii="宋体" w:hAnsi="宋体" w:eastAsia="宋体" w:cs="宋体"/>
                <w:b/>
                <w:bCs/>
              </w:rPr>
            </w:pPr>
            <w:r>
              <w:rPr>
                <w:rFonts w:hint="eastAsia" w:ascii="宋体" w:hAnsi="宋体" w:eastAsia="宋体" w:cs="宋体"/>
                <w:b/>
                <w:bCs/>
              </w:rPr>
              <w:t>表1-</w:t>
            </w:r>
            <w:r>
              <w:rPr>
                <w:rFonts w:hint="eastAsia" w:ascii="宋体" w:hAnsi="宋体" w:eastAsia="宋体" w:cs="宋体"/>
                <w:b/>
                <w:bCs/>
                <w:lang w:val="en-US" w:eastAsia="zh-CN"/>
              </w:rPr>
              <w:t>4</w:t>
            </w:r>
            <w:r>
              <w:rPr>
                <w:rFonts w:hint="eastAsia" w:ascii="宋体" w:hAnsi="宋体" w:eastAsia="宋体" w:cs="宋体"/>
                <w:b/>
                <w:bCs/>
              </w:rPr>
              <w:t xml:space="preserve">  与《长江经济带发展负面清单指南（试行，2022年版）》</w:t>
            </w:r>
          </w:p>
          <w:p w14:paraId="70C2DFCD">
            <w:pPr>
              <w:keepNext w:val="0"/>
              <w:keepLines w:val="0"/>
              <w:suppressLineNumbers w:val="0"/>
              <w:autoSpaceDE w:val="0"/>
              <w:autoSpaceDN w:val="0"/>
              <w:spacing w:before="0" w:beforeAutospacing="0" w:after="0" w:afterAutospacing="0"/>
              <w:ind w:left="0" w:right="0"/>
              <w:jc w:val="center"/>
              <w:rPr>
                <w:rFonts w:hint="eastAsia" w:ascii="宋体" w:hAnsi="宋体" w:eastAsia="宋体" w:cs="宋体"/>
              </w:rPr>
            </w:pPr>
            <w:r>
              <w:rPr>
                <w:rFonts w:hint="eastAsia" w:ascii="宋体" w:hAnsi="宋体" w:eastAsia="宋体" w:cs="宋体"/>
                <w:b/>
                <w:bCs/>
              </w:rPr>
              <w:t>相符性分析</w:t>
            </w:r>
          </w:p>
          <w:tbl>
            <w:tblPr>
              <w:tblStyle w:val="30"/>
              <w:tblW w:w="69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0" w:type="dxa"/>
                <w:bottom w:w="0" w:type="dxa"/>
                <w:right w:w="20" w:type="dxa"/>
              </w:tblCellMar>
            </w:tblPr>
            <w:tblGrid>
              <w:gridCol w:w="4333"/>
              <w:gridCol w:w="1723"/>
              <w:gridCol w:w="882"/>
            </w:tblGrid>
            <w:tr w14:paraId="0D6B8B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0" w:type="dxa"/>
                  <w:bottom w:w="0" w:type="dxa"/>
                  <w:right w:w="20" w:type="dxa"/>
                </w:tblCellMar>
              </w:tblPrEx>
              <w:trPr>
                <w:trHeight w:val="423" w:hRule="atLeast"/>
                <w:jc w:val="center"/>
              </w:trPr>
              <w:tc>
                <w:tcPr>
                  <w:tcW w:w="4333" w:type="dxa"/>
                  <w:noWrap w:val="0"/>
                  <w:vAlign w:val="center"/>
                </w:tcPr>
                <w:p w14:paraId="700814D6">
                  <w:pPr>
                    <w:keepNext w:val="0"/>
                    <w:keepLines w:val="0"/>
                    <w:suppressLineNumbers w:val="0"/>
                    <w:spacing w:before="0" w:beforeAutospacing="0" w:after="0" w:afterAutospacing="0" w:line="240" w:lineRule="atLeast"/>
                    <w:ind w:left="0" w:right="0"/>
                    <w:jc w:val="center"/>
                    <w:rPr>
                      <w:rFonts w:hint="eastAsia" w:ascii="宋体" w:hAnsi="宋体" w:eastAsia="宋体" w:cs="宋体"/>
                      <w:b/>
                      <w:bCs/>
                      <w:sz w:val="21"/>
                      <w:szCs w:val="21"/>
                    </w:rPr>
                  </w:pPr>
                  <w:r>
                    <w:rPr>
                      <w:rFonts w:hint="eastAsia" w:ascii="宋体" w:hAnsi="宋体" w:eastAsia="宋体" w:cs="宋体"/>
                      <w:b/>
                      <w:bCs/>
                      <w:sz w:val="21"/>
                      <w:szCs w:val="21"/>
                    </w:rPr>
                    <w:t>长江经济带发展负面清单</w:t>
                  </w:r>
                </w:p>
              </w:tc>
              <w:tc>
                <w:tcPr>
                  <w:tcW w:w="1723" w:type="dxa"/>
                  <w:noWrap w:val="0"/>
                  <w:vAlign w:val="center"/>
                </w:tcPr>
                <w:p w14:paraId="0946A020">
                  <w:pPr>
                    <w:keepNext w:val="0"/>
                    <w:keepLines w:val="0"/>
                    <w:suppressLineNumbers w:val="0"/>
                    <w:spacing w:before="0" w:beforeAutospacing="0" w:after="0" w:afterAutospacing="0" w:line="240" w:lineRule="atLeast"/>
                    <w:ind w:left="0" w:right="0"/>
                    <w:jc w:val="center"/>
                    <w:rPr>
                      <w:rFonts w:hint="eastAsia" w:ascii="宋体" w:hAnsi="宋体" w:eastAsia="宋体" w:cs="宋体"/>
                      <w:b/>
                      <w:bCs/>
                      <w:sz w:val="21"/>
                      <w:szCs w:val="21"/>
                    </w:rPr>
                  </w:pPr>
                  <w:r>
                    <w:rPr>
                      <w:rFonts w:hint="eastAsia" w:ascii="宋体" w:hAnsi="宋体" w:eastAsia="宋体" w:cs="宋体"/>
                      <w:b/>
                      <w:bCs/>
                      <w:sz w:val="21"/>
                      <w:szCs w:val="21"/>
                    </w:rPr>
                    <w:t>本项目情况</w:t>
                  </w:r>
                </w:p>
              </w:tc>
              <w:tc>
                <w:tcPr>
                  <w:tcW w:w="882" w:type="dxa"/>
                  <w:noWrap w:val="0"/>
                  <w:vAlign w:val="center"/>
                </w:tcPr>
                <w:p w14:paraId="7E8AD9B7">
                  <w:pPr>
                    <w:keepNext w:val="0"/>
                    <w:keepLines w:val="0"/>
                    <w:suppressLineNumbers w:val="0"/>
                    <w:spacing w:before="0" w:beforeAutospacing="0" w:after="0" w:afterAutospacing="0" w:line="240" w:lineRule="atLeast"/>
                    <w:ind w:left="0" w:right="0"/>
                    <w:jc w:val="center"/>
                    <w:rPr>
                      <w:rFonts w:hint="eastAsia" w:ascii="宋体" w:hAnsi="宋体" w:eastAsia="宋体" w:cs="宋体"/>
                      <w:b/>
                      <w:bCs/>
                      <w:sz w:val="21"/>
                      <w:szCs w:val="21"/>
                    </w:rPr>
                  </w:pPr>
                  <w:r>
                    <w:rPr>
                      <w:rFonts w:hint="eastAsia" w:ascii="宋体" w:hAnsi="宋体" w:eastAsia="宋体" w:cs="宋体"/>
                      <w:b/>
                      <w:bCs/>
                      <w:sz w:val="21"/>
                      <w:szCs w:val="21"/>
                    </w:rPr>
                    <w:t>相符性</w:t>
                  </w:r>
                </w:p>
              </w:tc>
            </w:tr>
            <w:tr w14:paraId="59B142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0" w:type="dxa"/>
                  <w:bottom w:w="0" w:type="dxa"/>
                  <w:right w:w="20" w:type="dxa"/>
                </w:tblCellMar>
              </w:tblPrEx>
              <w:trPr>
                <w:trHeight w:val="823" w:hRule="atLeast"/>
                <w:jc w:val="center"/>
              </w:trPr>
              <w:tc>
                <w:tcPr>
                  <w:tcW w:w="4333" w:type="dxa"/>
                  <w:noWrap w:val="0"/>
                  <w:vAlign w:val="center"/>
                </w:tcPr>
                <w:p w14:paraId="06D44D17">
                  <w:pPr>
                    <w:keepNext w:val="0"/>
                    <w:keepLines w:val="0"/>
                    <w:suppressLineNumbers w:val="0"/>
                    <w:tabs>
                      <w:tab w:val="left" w:pos="1054"/>
                      <w:tab w:val="left" w:pos="1234"/>
                    </w:tabs>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禁止建设不符合全国和省级港口布局规划以及港口总体规划的码头项目，禁止建设不符合《长江干线过江通道布局规划》的过长江通道项目</w:t>
                  </w:r>
                </w:p>
              </w:tc>
              <w:tc>
                <w:tcPr>
                  <w:tcW w:w="1723" w:type="dxa"/>
                  <w:noWrap w:val="0"/>
                  <w:vAlign w:val="center"/>
                </w:tcPr>
                <w:p w14:paraId="65D428E3">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本项目不属于港口码头和过江通道项目</w:t>
                  </w:r>
                </w:p>
              </w:tc>
              <w:tc>
                <w:tcPr>
                  <w:tcW w:w="882" w:type="dxa"/>
                  <w:noWrap w:val="0"/>
                  <w:vAlign w:val="center"/>
                </w:tcPr>
                <w:p w14:paraId="715CC84F">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相符</w:t>
                  </w:r>
                </w:p>
              </w:tc>
            </w:tr>
            <w:tr w14:paraId="45D9D1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093" w:hRule="atLeast"/>
                <w:jc w:val="center"/>
              </w:trPr>
              <w:tc>
                <w:tcPr>
                  <w:tcW w:w="4333" w:type="dxa"/>
                  <w:noWrap w:val="0"/>
                  <w:vAlign w:val="center"/>
                </w:tcPr>
                <w:p w14:paraId="23C54599">
                  <w:pPr>
                    <w:keepNext w:val="0"/>
                    <w:keepLines w:val="0"/>
                    <w:suppressLineNumbers w:val="0"/>
                    <w:tabs>
                      <w:tab w:val="left" w:pos="1054"/>
                      <w:tab w:val="left" w:pos="1234"/>
                    </w:tabs>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禁止在自然保护区核心区、缓冲区的岸线和河段范围内投资建设旅游和生产经营项目。禁止在风景名胜区核心景区的岸线和河段范围内投资建设与风景名胜资源保护无关的项目</w:t>
                  </w:r>
                </w:p>
              </w:tc>
              <w:tc>
                <w:tcPr>
                  <w:tcW w:w="1723" w:type="dxa"/>
                  <w:noWrap w:val="0"/>
                  <w:vAlign w:val="center"/>
                </w:tcPr>
                <w:p w14:paraId="0A7DD409">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项目选址不在自然保护区、风景名胜区范围内</w:t>
                  </w:r>
                </w:p>
              </w:tc>
              <w:tc>
                <w:tcPr>
                  <w:tcW w:w="882" w:type="dxa"/>
                  <w:noWrap w:val="0"/>
                  <w:vAlign w:val="center"/>
                </w:tcPr>
                <w:p w14:paraId="48E2E6DF">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相符</w:t>
                  </w:r>
                </w:p>
              </w:tc>
            </w:tr>
            <w:tr w14:paraId="790843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0" w:type="dxa"/>
                  <w:bottom w:w="0" w:type="dxa"/>
                  <w:right w:w="20" w:type="dxa"/>
                </w:tblCellMar>
              </w:tblPrEx>
              <w:trPr>
                <w:trHeight w:val="90" w:hRule="atLeast"/>
                <w:jc w:val="center"/>
              </w:trPr>
              <w:tc>
                <w:tcPr>
                  <w:tcW w:w="4333" w:type="dxa"/>
                  <w:noWrap w:val="0"/>
                  <w:vAlign w:val="center"/>
                </w:tcPr>
                <w:p w14:paraId="1F4F3398">
                  <w:pPr>
                    <w:keepNext w:val="0"/>
                    <w:keepLines w:val="0"/>
                    <w:suppressLineNumbers w:val="0"/>
                    <w:tabs>
                      <w:tab w:val="left" w:pos="1054"/>
                      <w:tab w:val="left" w:pos="1234"/>
                    </w:tabs>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723" w:type="dxa"/>
                  <w:noWrap w:val="0"/>
                  <w:vAlign w:val="center"/>
                </w:tcPr>
                <w:p w14:paraId="65C9696A">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项目选址不涉及饮用水水源保护区</w:t>
                  </w:r>
                </w:p>
              </w:tc>
              <w:tc>
                <w:tcPr>
                  <w:tcW w:w="882" w:type="dxa"/>
                  <w:noWrap w:val="0"/>
                  <w:vAlign w:val="center"/>
                </w:tcPr>
                <w:p w14:paraId="133A62F9">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相符</w:t>
                  </w:r>
                </w:p>
              </w:tc>
            </w:tr>
            <w:tr w14:paraId="2D7D96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0" w:type="dxa"/>
                  <w:bottom w:w="0" w:type="dxa"/>
                  <w:right w:w="20" w:type="dxa"/>
                </w:tblCellMar>
              </w:tblPrEx>
              <w:trPr>
                <w:trHeight w:val="90" w:hRule="atLeast"/>
                <w:jc w:val="center"/>
              </w:trPr>
              <w:tc>
                <w:tcPr>
                  <w:tcW w:w="4333" w:type="dxa"/>
                  <w:noWrap w:val="0"/>
                  <w:vAlign w:val="center"/>
                </w:tcPr>
                <w:p w14:paraId="1BE6AB3F">
                  <w:pPr>
                    <w:keepNext w:val="0"/>
                    <w:keepLines w:val="0"/>
                    <w:suppressLineNumbers w:val="0"/>
                    <w:tabs>
                      <w:tab w:val="left" w:pos="1054"/>
                      <w:tab w:val="left" w:pos="1234"/>
                    </w:tabs>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723" w:type="dxa"/>
                  <w:noWrap w:val="0"/>
                  <w:vAlign w:val="center"/>
                </w:tcPr>
                <w:p w14:paraId="015C4233">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项目选址不涉及水产种质资源保护区，不涉及挖沙、采矿工序</w:t>
                  </w:r>
                </w:p>
              </w:tc>
              <w:tc>
                <w:tcPr>
                  <w:tcW w:w="882" w:type="dxa"/>
                  <w:noWrap w:val="0"/>
                  <w:vAlign w:val="center"/>
                </w:tcPr>
                <w:p w14:paraId="25B23409">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相符</w:t>
                  </w:r>
                </w:p>
              </w:tc>
            </w:tr>
            <w:tr w14:paraId="626055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0" w:type="dxa"/>
                  <w:bottom w:w="0" w:type="dxa"/>
                  <w:right w:w="20" w:type="dxa"/>
                </w:tblCellMar>
              </w:tblPrEx>
              <w:trPr>
                <w:trHeight w:val="90" w:hRule="atLeast"/>
                <w:jc w:val="center"/>
              </w:trPr>
              <w:tc>
                <w:tcPr>
                  <w:tcW w:w="4333" w:type="dxa"/>
                  <w:noWrap w:val="0"/>
                  <w:vAlign w:val="center"/>
                </w:tcPr>
                <w:p w14:paraId="05710B4C">
                  <w:pPr>
                    <w:keepNext w:val="0"/>
                    <w:keepLines w:val="0"/>
                    <w:suppressLineNumbers w:val="0"/>
                    <w:tabs>
                      <w:tab w:val="left" w:pos="1054"/>
                      <w:tab w:val="left" w:pos="1234"/>
                    </w:tabs>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723" w:type="dxa"/>
                  <w:noWrap w:val="0"/>
                  <w:vAlign w:val="center"/>
                </w:tcPr>
                <w:p w14:paraId="3B54730B">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项目不占用长江岸线、河段及湖泊保护区</w:t>
                  </w:r>
                </w:p>
              </w:tc>
              <w:tc>
                <w:tcPr>
                  <w:tcW w:w="882" w:type="dxa"/>
                  <w:noWrap w:val="0"/>
                  <w:vAlign w:val="center"/>
                </w:tcPr>
                <w:p w14:paraId="1537B462">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相符</w:t>
                  </w:r>
                </w:p>
              </w:tc>
            </w:tr>
            <w:tr w14:paraId="5DD470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0" w:type="dxa"/>
                  <w:bottom w:w="0" w:type="dxa"/>
                  <w:right w:w="20" w:type="dxa"/>
                </w:tblCellMar>
              </w:tblPrEx>
              <w:trPr>
                <w:trHeight w:val="90" w:hRule="atLeast"/>
                <w:jc w:val="center"/>
              </w:trPr>
              <w:tc>
                <w:tcPr>
                  <w:tcW w:w="4333" w:type="dxa"/>
                  <w:noWrap w:val="0"/>
                  <w:vAlign w:val="center"/>
                </w:tcPr>
                <w:p w14:paraId="75C23C69">
                  <w:pPr>
                    <w:keepNext w:val="0"/>
                    <w:keepLines w:val="0"/>
                    <w:suppressLineNumbers w:val="0"/>
                    <w:tabs>
                      <w:tab w:val="left" w:pos="1054"/>
                      <w:tab w:val="left" w:pos="1234"/>
                    </w:tabs>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禁止未经许可在长江干支流及湖泊新设、改设或扩大排污口</w:t>
                  </w:r>
                </w:p>
              </w:tc>
              <w:tc>
                <w:tcPr>
                  <w:tcW w:w="1723" w:type="dxa"/>
                  <w:noWrap w:val="0"/>
                  <w:vAlign w:val="center"/>
                </w:tcPr>
                <w:p w14:paraId="1A79EADF">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项目污水排污口接管市政污水管网，不涉及长江干支流及湖泊</w:t>
                  </w:r>
                </w:p>
              </w:tc>
              <w:tc>
                <w:tcPr>
                  <w:tcW w:w="882" w:type="dxa"/>
                  <w:noWrap w:val="0"/>
                  <w:vAlign w:val="center"/>
                </w:tcPr>
                <w:p w14:paraId="58A10BEA">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相符</w:t>
                  </w:r>
                </w:p>
              </w:tc>
            </w:tr>
            <w:tr w14:paraId="2EE581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0" w:type="dxa"/>
                  <w:bottom w:w="0" w:type="dxa"/>
                  <w:right w:w="20" w:type="dxa"/>
                </w:tblCellMar>
              </w:tblPrEx>
              <w:trPr>
                <w:trHeight w:val="90" w:hRule="atLeast"/>
                <w:jc w:val="center"/>
              </w:trPr>
              <w:tc>
                <w:tcPr>
                  <w:tcW w:w="4333" w:type="dxa"/>
                  <w:noWrap w:val="0"/>
                  <w:vAlign w:val="center"/>
                </w:tcPr>
                <w:p w14:paraId="1796FF6D">
                  <w:pPr>
                    <w:keepNext w:val="0"/>
                    <w:keepLines w:val="0"/>
                    <w:suppressLineNumbers w:val="0"/>
                    <w:tabs>
                      <w:tab w:val="left" w:pos="1054"/>
                      <w:tab w:val="left" w:pos="1234"/>
                    </w:tabs>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禁止在“一江一口两湖七河”和332个水生生物保护区开展生产性捕捞</w:t>
                  </w:r>
                </w:p>
              </w:tc>
              <w:tc>
                <w:tcPr>
                  <w:tcW w:w="1723" w:type="dxa"/>
                  <w:noWrap w:val="0"/>
                  <w:vAlign w:val="center"/>
                </w:tcPr>
                <w:p w14:paraId="0BF58F44">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本项目不涉及捕捞</w:t>
                  </w:r>
                </w:p>
              </w:tc>
              <w:tc>
                <w:tcPr>
                  <w:tcW w:w="882" w:type="dxa"/>
                  <w:noWrap w:val="0"/>
                  <w:vAlign w:val="center"/>
                </w:tcPr>
                <w:p w14:paraId="045D3344">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相符</w:t>
                  </w:r>
                </w:p>
              </w:tc>
            </w:tr>
            <w:tr w14:paraId="5D9999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0" w:type="dxa"/>
                  <w:bottom w:w="0" w:type="dxa"/>
                  <w:right w:w="20" w:type="dxa"/>
                </w:tblCellMar>
              </w:tblPrEx>
              <w:trPr>
                <w:trHeight w:val="1093" w:hRule="atLeast"/>
                <w:jc w:val="center"/>
              </w:trPr>
              <w:tc>
                <w:tcPr>
                  <w:tcW w:w="4333" w:type="dxa"/>
                  <w:noWrap w:val="0"/>
                  <w:vAlign w:val="center"/>
                </w:tcPr>
                <w:p w14:paraId="532CF0B6">
                  <w:pPr>
                    <w:keepNext w:val="0"/>
                    <w:keepLines w:val="0"/>
                    <w:suppressLineNumbers w:val="0"/>
                    <w:tabs>
                      <w:tab w:val="left" w:pos="1054"/>
                      <w:tab w:val="left" w:pos="1234"/>
                    </w:tabs>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723" w:type="dxa"/>
                  <w:noWrap w:val="0"/>
                  <w:vAlign w:val="center"/>
                </w:tcPr>
                <w:p w14:paraId="4EA47A05">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项目不在长江干支流、重要湖泊岸线一公里范围内，不属于尾矿库、冶炼渣库和磷石膏库项目</w:t>
                  </w:r>
                </w:p>
              </w:tc>
              <w:tc>
                <w:tcPr>
                  <w:tcW w:w="882" w:type="dxa"/>
                  <w:noWrap w:val="0"/>
                  <w:vAlign w:val="center"/>
                </w:tcPr>
                <w:p w14:paraId="75E3E33A">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相符</w:t>
                  </w:r>
                </w:p>
              </w:tc>
            </w:tr>
            <w:tr w14:paraId="6B60C9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0" w:type="dxa"/>
                  <w:bottom w:w="0" w:type="dxa"/>
                  <w:right w:w="20" w:type="dxa"/>
                </w:tblCellMar>
              </w:tblPrEx>
              <w:trPr>
                <w:trHeight w:val="90" w:hRule="atLeast"/>
                <w:jc w:val="center"/>
              </w:trPr>
              <w:tc>
                <w:tcPr>
                  <w:tcW w:w="4333" w:type="dxa"/>
                  <w:noWrap w:val="0"/>
                  <w:vAlign w:val="center"/>
                </w:tcPr>
                <w:p w14:paraId="64070F7A">
                  <w:pPr>
                    <w:keepNext w:val="0"/>
                    <w:keepLines w:val="0"/>
                    <w:suppressLineNumbers w:val="0"/>
                    <w:tabs>
                      <w:tab w:val="left" w:pos="1054"/>
                      <w:tab w:val="left" w:pos="1234"/>
                    </w:tabs>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禁止在合规园区外新建、扩建钢铁、石化、化工、焦化、建材、有色、制浆造纸等高污染项目</w:t>
                  </w:r>
                </w:p>
              </w:tc>
              <w:tc>
                <w:tcPr>
                  <w:tcW w:w="1723" w:type="dxa"/>
                  <w:noWrap w:val="0"/>
                  <w:vAlign w:val="center"/>
                </w:tcPr>
                <w:p w14:paraId="414D9CDC">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项目位于</w:t>
                  </w:r>
                  <w:r>
                    <w:rPr>
                      <w:rFonts w:hint="eastAsia" w:ascii="宋体" w:hAnsi="宋体" w:eastAsia="宋体" w:cs="宋体"/>
                      <w:sz w:val="21"/>
                      <w:szCs w:val="21"/>
                      <w:lang w:val="en-US" w:eastAsia="zh-CN"/>
                    </w:rPr>
                    <w:t>边城镇</w:t>
                  </w:r>
                  <w:r>
                    <w:rPr>
                      <w:rFonts w:hint="eastAsia" w:ascii="宋体" w:hAnsi="宋体" w:eastAsia="宋体" w:cs="宋体"/>
                      <w:sz w:val="21"/>
                      <w:szCs w:val="21"/>
                    </w:rPr>
                    <w:t>，不属于钢铁、石化、化工等项目</w:t>
                  </w:r>
                </w:p>
              </w:tc>
              <w:tc>
                <w:tcPr>
                  <w:tcW w:w="882" w:type="dxa"/>
                  <w:noWrap w:val="0"/>
                  <w:vAlign w:val="center"/>
                </w:tcPr>
                <w:p w14:paraId="0B4A470D">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相符</w:t>
                  </w:r>
                </w:p>
              </w:tc>
            </w:tr>
            <w:tr w14:paraId="029310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0" w:type="dxa"/>
                  <w:bottom w:w="0" w:type="dxa"/>
                  <w:right w:w="20" w:type="dxa"/>
                </w:tblCellMar>
              </w:tblPrEx>
              <w:trPr>
                <w:trHeight w:val="90" w:hRule="atLeast"/>
                <w:jc w:val="center"/>
              </w:trPr>
              <w:tc>
                <w:tcPr>
                  <w:tcW w:w="4333" w:type="dxa"/>
                  <w:noWrap w:val="0"/>
                  <w:vAlign w:val="center"/>
                </w:tcPr>
                <w:p w14:paraId="15C098E8">
                  <w:pPr>
                    <w:keepNext w:val="0"/>
                    <w:keepLines w:val="0"/>
                    <w:suppressLineNumbers w:val="0"/>
                    <w:tabs>
                      <w:tab w:val="left" w:pos="1054"/>
                      <w:tab w:val="left" w:pos="1234"/>
                    </w:tabs>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禁止新建、扩建不符合国家石化、现代煤化工等产业布局规划的项目</w:t>
                  </w:r>
                </w:p>
              </w:tc>
              <w:tc>
                <w:tcPr>
                  <w:tcW w:w="1723" w:type="dxa"/>
                  <w:noWrap w:val="0"/>
                  <w:vAlign w:val="center"/>
                </w:tcPr>
                <w:p w14:paraId="484CA2CF">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项目不属于石化、现代煤化工行业</w:t>
                  </w:r>
                </w:p>
              </w:tc>
              <w:tc>
                <w:tcPr>
                  <w:tcW w:w="882" w:type="dxa"/>
                  <w:noWrap w:val="0"/>
                  <w:vAlign w:val="center"/>
                </w:tcPr>
                <w:p w14:paraId="49543021">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相符</w:t>
                  </w:r>
                </w:p>
              </w:tc>
            </w:tr>
            <w:tr w14:paraId="2D9674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0" w:type="dxa"/>
                  <w:bottom w:w="0" w:type="dxa"/>
                  <w:right w:w="20" w:type="dxa"/>
                </w:tblCellMar>
              </w:tblPrEx>
              <w:trPr>
                <w:trHeight w:val="1123" w:hRule="atLeast"/>
                <w:jc w:val="center"/>
              </w:trPr>
              <w:tc>
                <w:tcPr>
                  <w:tcW w:w="4333" w:type="dxa"/>
                  <w:noWrap w:val="0"/>
                  <w:vAlign w:val="center"/>
                </w:tcPr>
                <w:p w14:paraId="09FD20CD">
                  <w:pPr>
                    <w:keepNext w:val="0"/>
                    <w:keepLines w:val="0"/>
                    <w:suppressLineNumbers w:val="0"/>
                    <w:tabs>
                      <w:tab w:val="left" w:pos="1054"/>
                      <w:tab w:val="left" w:pos="1234"/>
                    </w:tabs>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禁止新建、扩建法律法规和相关政策明令禁止的落后产能项目。禁止新建、扩建不符合国家产能置换要求的严重过剩产能行业的项目。禁止新建、扩建不符合要求的高耗能高排放项目</w:t>
                  </w:r>
                </w:p>
              </w:tc>
              <w:tc>
                <w:tcPr>
                  <w:tcW w:w="1723" w:type="dxa"/>
                  <w:noWrap w:val="0"/>
                  <w:vAlign w:val="center"/>
                </w:tcPr>
                <w:p w14:paraId="36B7596F">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项目不属于落后产能、高耗能高排放项目</w:t>
                  </w:r>
                </w:p>
              </w:tc>
              <w:tc>
                <w:tcPr>
                  <w:tcW w:w="882" w:type="dxa"/>
                  <w:noWrap w:val="0"/>
                  <w:vAlign w:val="center"/>
                </w:tcPr>
                <w:p w14:paraId="6BEA4221">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相符</w:t>
                  </w:r>
                </w:p>
              </w:tc>
            </w:tr>
          </w:tbl>
          <w:p w14:paraId="7CBAF3AF">
            <w:pPr>
              <w:keepNext w:val="0"/>
              <w:keepLines w:val="0"/>
              <w:suppressLineNumbers w:val="0"/>
              <w:autoSpaceDE w:val="0"/>
              <w:autoSpaceDN w:val="0"/>
              <w:spacing w:before="0" w:beforeAutospacing="0" w:after="0" w:afterAutospacing="0"/>
              <w:ind w:left="0" w:right="0" w:firstLine="480" w:firstLineChars="200"/>
              <w:rPr>
                <w:rFonts w:hint="eastAsia" w:ascii="宋体" w:hAnsi="宋体" w:eastAsia="宋体" w:cs="宋体"/>
              </w:rPr>
            </w:pPr>
            <w:r>
              <w:rPr>
                <w:rFonts w:hint="eastAsia" w:ascii="宋体" w:hAnsi="宋体" w:eastAsia="宋体" w:cs="宋体"/>
              </w:rPr>
              <w:t>③与《＜长江经济带发展负面清单指南（试行，2022年版）＞江苏省实施细则》（苏长江办发</w:t>
            </w:r>
            <w:r>
              <w:rPr>
                <w:rFonts w:hint="eastAsia" w:ascii="宋体" w:hAnsi="宋体" w:eastAsia="宋体" w:cs="宋体"/>
                <w:lang w:eastAsia="zh-CN"/>
              </w:rPr>
              <w:t>〔</w:t>
            </w:r>
            <w:r>
              <w:rPr>
                <w:rFonts w:hint="eastAsia" w:ascii="宋体" w:hAnsi="宋体" w:eastAsia="宋体" w:cs="宋体"/>
              </w:rPr>
              <w:t>2022</w:t>
            </w:r>
            <w:r>
              <w:rPr>
                <w:rFonts w:hint="eastAsia" w:ascii="宋体" w:hAnsi="宋体" w:eastAsia="宋体" w:cs="宋体"/>
                <w:lang w:eastAsia="zh-CN"/>
              </w:rPr>
              <w:t>〕</w:t>
            </w:r>
            <w:r>
              <w:rPr>
                <w:rFonts w:hint="eastAsia" w:ascii="宋体" w:hAnsi="宋体" w:eastAsia="宋体" w:cs="宋体"/>
              </w:rPr>
              <w:t>55号）相符性分析</w:t>
            </w:r>
          </w:p>
          <w:p w14:paraId="577EB98D">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snapToGrid w:val="0"/>
                <w:kern w:val="0"/>
                <w:szCs w:val="22"/>
              </w:rPr>
            </w:pPr>
            <w:r>
              <w:rPr>
                <w:rFonts w:hint="eastAsia" w:ascii="宋体" w:hAnsi="宋体" w:eastAsia="宋体" w:cs="宋体"/>
                <w:b/>
                <w:bCs w:val="0"/>
                <w:snapToGrid w:val="0"/>
                <w:kern w:val="0"/>
                <w:szCs w:val="22"/>
              </w:rPr>
              <w:t>表1-</w:t>
            </w:r>
            <w:r>
              <w:rPr>
                <w:rFonts w:hint="eastAsia" w:ascii="宋体" w:hAnsi="宋体" w:eastAsia="宋体" w:cs="宋体"/>
                <w:b/>
                <w:bCs w:val="0"/>
                <w:snapToGrid w:val="0"/>
                <w:kern w:val="0"/>
                <w:szCs w:val="22"/>
                <w:lang w:val="en-US" w:eastAsia="zh-CN"/>
              </w:rPr>
              <w:t>5</w:t>
            </w:r>
            <w:r>
              <w:rPr>
                <w:rFonts w:hint="eastAsia" w:ascii="宋体" w:hAnsi="宋体" w:eastAsia="宋体" w:cs="宋体"/>
                <w:b/>
                <w:bCs w:val="0"/>
                <w:snapToGrid w:val="0"/>
                <w:kern w:val="0"/>
                <w:szCs w:val="22"/>
              </w:rPr>
              <w:t xml:space="preserve"> 与《&lt;长江经济带发展负面清单指南（试行，2022年版）&gt;江苏省实施细则》相符性分析</w:t>
            </w:r>
          </w:p>
          <w:tbl>
            <w:tblPr>
              <w:tblStyle w:val="30"/>
              <w:tblW w:w="68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
            <w:tblGrid>
              <w:gridCol w:w="754"/>
              <w:gridCol w:w="507"/>
              <w:gridCol w:w="3470"/>
              <w:gridCol w:w="1425"/>
              <w:gridCol w:w="742"/>
            </w:tblGrid>
            <w:tr w14:paraId="6C79BE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90" w:hRule="atLeast"/>
                <w:jc w:val="center"/>
              </w:trPr>
              <w:tc>
                <w:tcPr>
                  <w:tcW w:w="754" w:type="dxa"/>
                  <w:noWrap w:val="0"/>
                  <w:tcMar>
                    <w:left w:w="28" w:type="dxa"/>
                    <w:right w:w="28" w:type="dxa"/>
                  </w:tcMar>
                  <w:vAlign w:val="center"/>
                </w:tcPr>
                <w:p w14:paraId="77064983">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序号</w:t>
                  </w:r>
                </w:p>
              </w:tc>
              <w:tc>
                <w:tcPr>
                  <w:tcW w:w="3977" w:type="dxa"/>
                  <w:gridSpan w:val="2"/>
                  <w:noWrap w:val="0"/>
                  <w:tcMar>
                    <w:left w:w="28" w:type="dxa"/>
                    <w:right w:w="28" w:type="dxa"/>
                  </w:tcMar>
                  <w:vAlign w:val="center"/>
                </w:tcPr>
                <w:p w14:paraId="7361E412">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管控条款</w:t>
                  </w:r>
                </w:p>
              </w:tc>
              <w:tc>
                <w:tcPr>
                  <w:tcW w:w="1425" w:type="dxa"/>
                  <w:noWrap w:val="0"/>
                  <w:tcMar>
                    <w:left w:w="28" w:type="dxa"/>
                    <w:right w:w="28" w:type="dxa"/>
                  </w:tcMar>
                  <w:vAlign w:val="center"/>
                </w:tcPr>
                <w:p w14:paraId="75C927EA">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本项目情况</w:t>
                  </w:r>
                </w:p>
              </w:tc>
              <w:tc>
                <w:tcPr>
                  <w:tcW w:w="742" w:type="dxa"/>
                  <w:noWrap w:val="0"/>
                  <w:tcMar>
                    <w:left w:w="28" w:type="dxa"/>
                    <w:right w:w="28" w:type="dxa"/>
                  </w:tcMar>
                  <w:vAlign w:val="center"/>
                </w:tcPr>
                <w:p w14:paraId="650C7DAD">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相符性</w:t>
                  </w:r>
                </w:p>
              </w:tc>
            </w:tr>
            <w:tr w14:paraId="7390C8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90" w:hRule="atLeast"/>
                <w:jc w:val="center"/>
              </w:trPr>
              <w:tc>
                <w:tcPr>
                  <w:tcW w:w="754" w:type="dxa"/>
                  <w:vMerge w:val="restart"/>
                  <w:noWrap w:val="0"/>
                  <w:tcMar>
                    <w:left w:w="28" w:type="dxa"/>
                    <w:right w:w="28" w:type="dxa"/>
                  </w:tcMar>
                  <w:vAlign w:val="center"/>
                </w:tcPr>
                <w:p w14:paraId="3C13AA4B">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1</w:t>
                  </w:r>
                </w:p>
              </w:tc>
              <w:tc>
                <w:tcPr>
                  <w:tcW w:w="507" w:type="dxa"/>
                  <w:vMerge w:val="restart"/>
                  <w:noWrap w:val="0"/>
                  <w:tcMar>
                    <w:left w:w="28" w:type="dxa"/>
                    <w:right w:w="28" w:type="dxa"/>
                  </w:tcMar>
                  <w:vAlign w:val="center"/>
                </w:tcPr>
                <w:p w14:paraId="77D3D553">
                  <w:pPr>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河段利用与岸线开发</w:t>
                  </w:r>
                </w:p>
              </w:tc>
              <w:tc>
                <w:tcPr>
                  <w:tcW w:w="3470" w:type="dxa"/>
                  <w:noWrap w:val="0"/>
                  <w:tcMar>
                    <w:left w:w="28" w:type="dxa"/>
                    <w:right w:w="28" w:type="dxa"/>
                  </w:tcMar>
                  <w:vAlign w:val="center"/>
                </w:tcPr>
                <w:p w14:paraId="2F5D17B0">
                  <w:pPr>
                    <w:keepNext w:val="0"/>
                    <w:keepLines w:val="0"/>
                    <w:suppressLineNumbers w:val="0"/>
                    <w:adjustRightInd w:val="0"/>
                    <w:snapToGrid w:val="0"/>
                    <w:spacing w:before="0" w:beforeAutospacing="0" w:after="0" w:afterAutospacing="0" w:line="240" w:lineRule="atLeast"/>
                    <w:ind w:left="0" w:right="0"/>
                    <w:jc w:val="left"/>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1、禁止建设不符合国家港口布局规划和《江苏省沿江沿海港口布局规划（2015-2030年）》《江苏省内河港口布局规划（2017-2035年）》以及我省有关港口总体规划的码头项目，禁止建设未纳入《长江干线过江通道布局规划》的过长江通道项目。</w:t>
                  </w:r>
                </w:p>
              </w:tc>
              <w:tc>
                <w:tcPr>
                  <w:tcW w:w="1425" w:type="dxa"/>
                  <w:noWrap w:val="0"/>
                  <w:tcMar>
                    <w:left w:w="28" w:type="dxa"/>
                    <w:right w:w="28" w:type="dxa"/>
                  </w:tcMar>
                  <w:vAlign w:val="center"/>
                </w:tcPr>
                <w:p w14:paraId="0EEE7FD8">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本项目不属于</w:t>
                  </w:r>
                </w:p>
                <w:p w14:paraId="1CFCF7E1">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码头项目</w:t>
                  </w:r>
                </w:p>
              </w:tc>
              <w:tc>
                <w:tcPr>
                  <w:tcW w:w="742" w:type="dxa"/>
                  <w:noWrap w:val="0"/>
                  <w:tcMar>
                    <w:left w:w="28" w:type="dxa"/>
                    <w:right w:w="28" w:type="dxa"/>
                  </w:tcMar>
                  <w:vAlign w:val="center"/>
                </w:tcPr>
                <w:p w14:paraId="7BBB86B9">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相符</w:t>
                  </w:r>
                </w:p>
              </w:tc>
            </w:tr>
            <w:tr w14:paraId="1024AC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90" w:hRule="atLeast"/>
                <w:jc w:val="center"/>
              </w:trPr>
              <w:tc>
                <w:tcPr>
                  <w:tcW w:w="754" w:type="dxa"/>
                  <w:vMerge w:val="continue"/>
                  <w:noWrap w:val="0"/>
                  <w:tcMar>
                    <w:left w:w="28" w:type="dxa"/>
                    <w:right w:w="28" w:type="dxa"/>
                  </w:tcMar>
                  <w:vAlign w:val="center"/>
                </w:tcPr>
                <w:p w14:paraId="00B62B28">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p>
              </w:tc>
              <w:tc>
                <w:tcPr>
                  <w:tcW w:w="507" w:type="dxa"/>
                  <w:vMerge w:val="continue"/>
                  <w:noWrap w:val="0"/>
                  <w:tcMar>
                    <w:left w:w="28" w:type="dxa"/>
                    <w:right w:w="28" w:type="dxa"/>
                  </w:tcMar>
                  <w:vAlign w:val="center"/>
                </w:tcPr>
                <w:p w14:paraId="24581B61">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p>
              </w:tc>
              <w:tc>
                <w:tcPr>
                  <w:tcW w:w="3470" w:type="dxa"/>
                  <w:noWrap w:val="0"/>
                  <w:tcMar>
                    <w:left w:w="28" w:type="dxa"/>
                    <w:right w:w="28" w:type="dxa"/>
                  </w:tcMar>
                  <w:vAlign w:val="center"/>
                </w:tcPr>
                <w:p w14:paraId="39C8C79A">
                  <w:pPr>
                    <w:keepNext w:val="0"/>
                    <w:keepLines w:val="0"/>
                    <w:suppressLineNumbers w:val="0"/>
                    <w:adjustRightInd w:val="0"/>
                    <w:snapToGrid w:val="0"/>
                    <w:spacing w:before="0" w:beforeAutospacing="0" w:after="0" w:afterAutospacing="0" w:line="240" w:lineRule="atLeast"/>
                    <w:ind w:left="0" w:right="0"/>
                    <w:jc w:val="left"/>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2、严格执行《中华人民共和国自然保护区条例》，禁止在自然保护区核心区、缓冲区的岸线和河段范围内投资建设旅游和生产经营项目。严格执行《风景名胜区条例》《江苏省风景名胜区管理条例》，禁止在国家级和省级风景名胜区核心景区的岸线和河段范围内投资建设与风景名胜资源保护无关的项目。自然保护区、风景名胜区由省林业局会同有关方面界定并落实管控责任。</w:t>
                  </w:r>
                </w:p>
              </w:tc>
              <w:tc>
                <w:tcPr>
                  <w:tcW w:w="1425" w:type="dxa"/>
                  <w:noWrap w:val="0"/>
                  <w:tcMar>
                    <w:left w:w="28" w:type="dxa"/>
                    <w:right w:w="28" w:type="dxa"/>
                  </w:tcMar>
                  <w:vAlign w:val="center"/>
                </w:tcPr>
                <w:p w14:paraId="1B9A6E0B">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本项目建设地点不位于自然保护区范围内</w:t>
                  </w:r>
                </w:p>
              </w:tc>
              <w:tc>
                <w:tcPr>
                  <w:tcW w:w="742" w:type="dxa"/>
                  <w:noWrap w:val="0"/>
                  <w:tcMar>
                    <w:left w:w="28" w:type="dxa"/>
                    <w:right w:w="28" w:type="dxa"/>
                  </w:tcMar>
                  <w:vAlign w:val="center"/>
                </w:tcPr>
                <w:p w14:paraId="6618B075">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相符</w:t>
                  </w:r>
                </w:p>
              </w:tc>
            </w:tr>
            <w:tr w14:paraId="56E98B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90" w:hRule="atLeast"/>
                <w:jc w:val="center"/>
              </w:trPr>
              <w:tc>
                <w:tcPr>
                  <w:tcW w:w="754" w:type="dxa"/>
                  <w:vMerge w:val="continue"/>
                  <w:noWrap w:val="0"/>
                  <w:tcMar>
                    <w:left w:w="28" w:type="dxa"/>
                    <w:right w:w="28" w:type="dxa"/>
                  </w:tcMar>
                  <w:vAlign w:val="center"/>
                </w:tcPr>
                <w:p w14:paraId="02C033CC">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p>
              </w:tc>
              <w:tc>
                <w:tcPr>
                  <w:tcW w:w="507" w:type="dxa"/>
                  <w:vMerge w:val="continue"/>
                  <w:noWrap w:val="0"/>
                  <w:tcMar>
                    <w:left w:w="28" w:type="dxa"/>
                    <w:right w:w="28" w:type="dxa"/>
                  </w:tcMar>
                  <w:vAlign w:val="center"/>
                </w:tcPr>
                <w:p w14:paraId="2A597802">
                  <w:pPr>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napToGrid w:val="0"/>
                      <w:kern w:val="0"/>
                      <w:sz w:val="21"/>
                      <w:szCs w:val="21"/>
                    </w:rPr>
                  </w:pPr>
                </w:p>
              </w:tc>
              <w:tc>
                <w:tcPr>
                  <w:tcW w:w="3470" w:type="dxa"/>
                  <w:noWrap w:val="0"/>
                  <w:tcMar>
                    <w:left w:w="28" w:type="dxa"/>
                    <w:right w:w="28" w:type="dxa"/>
                  </w:tcMar>
                  <w:vAlign w:val="center"/>
                </w:tcPr>
                <w:p w14:paraId="312384C7">
                  <w:pPr>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3、严格执行《中华人民共和国水污染防治法》《江苏省人民代表大会常务委员会关于加强饮用水源地保护的决定》《江苏省水污染防治条例》，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禁止在饮用水水源准保护区的岸线和河段范围内新建、扩建对水体污染严重的投资建设项目，改建项目应当消减排污量。饮用水水源一级保护区、二级保护区、准保护区由省生态环境厅会同水利等有关方面界定并落实管控责任。</w:t>
                  </w:r>
                </w:p>
              </w:tc>
              <w:tc>
                <w:tcPr>
                  <w:tcW w:w="1425" w:type="dxa"/>
                  <w:noWrap w:val="0"/>
                  <w:tcMar>
                    <w:left w:w="28" w:type="dxa"/>
                    <w:right w:w="28" w:type="dxa"/>
                  </w:tcMar>
                  <w:vAlign w:val="center"/>
                </w:tcPr>
                <w:p w14:paraId="7DA4320B">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本项目不在饮用水源保护区岸线内</w:t>
                  </w:r>
                </w:p>
              </w:tc>
              <w:tc>
                <w:tcPr>
                  <w:tcW w:w="742" w:type="dxa"/>
                  <w:noWrap w:val="0"/>
                  <w:tcMar>
                    <w:left w:w="28" w:type="dxa"/>
                    <w:right w:w="28" w:type="dxa"/>
                  </w:tcMar>
                  <w:vAlign w:val="center"/>
                </w:tcPr>
                <w:p w14:paraId="6FC2CC51">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相符</w:t>
                  </w:r>
                </w:p>
              </w:tc>
            </w:tr>
            <w:tr w14:paraId="7D0050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90" w:hRule="atLeast"/>
                <w:jc w:val="center"/>
              </w:trPr>
              <w:tc>
                <w:tcPr>
                  <w:tcW w:w="754" w:type="dxa"/>
                  <w:vMerge w:val="continue"/>
                  <w:noWrap w:val="0"/>
                  <w:tcMar>
                    <w:left w:w="28" w:type="dxa"/>
                    <w:right w:w="28" w:type="dxa"/>
                  </w:tcMar>
                  <w:vAlign w:val="center"/>
                </w:tcPr>
                <w:p w14:paraId="740B348E">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p>
              </w:tc>
              <w:tc>
                <w:tcPr>
                  <w:tcW w:w="507" w:type="dxa"/>
                  <w:noWrap w:val="0"/>
                  <w:tcMar>
                    <w:left w:w="28" w:type="dxa"/>
                    <w:right w:w="28" w:type="dxa"/>
                  </w:tcMar>
                  <w:vAlign w:val="center"/>
                </w:tcPr>
                <w:p w14:paraId="709D345E">
                  <w:pPr>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napToGrid w:val="0"/>
                      <w:kern w:val="0"/>
                      <w:sz w:val="21"/>
                      <w:szCs w:val="21"/>
                    </w:rPr>
                  </w:pPr>
                </w:p>
              </w:tc>
              <w:tc>
                <w:tcPr>
                  <w:tcW w:w="3470" w:type="dxa"/>
                  <w:noWrap w:val="0"/>
                  <w:tcMar>
                    <w:left w:w="28" w:type="dxa"/>
                    <w:right w:w="28" w:type="dxa"/>
                  </w:tcMar>
                  <w:vAlign w:val="center"/>
                </w:tcPr>
                <w:p w14:paraId="4943C13A">
                  <w:pPr>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4、严格执行《水产种质资源保护区管理暂行办法》，禁止在国家级和省级水产种质资源保护区的岸线和河段范围内新建围湖造田、围海造地或围填海等投资建设项目。严格执行《中华人民共和国湿地保护法》《江苏省湿地保护条例》，禁止在国家湿地公园的岸线和河段范围内挖沙、采矿，以及任何不符合主体功能定位的投资建设项目。水产种质资源保护区、国家湿地公园分别由省农业农村厅、省林业局会同有关方面界定并落实管控责任。</w:t>
                  </w:r>
                </w:p>
              </w:tc>
              <w:tc>
                <w:tcPr>
                  <w:tcW w:w="1425" w:type="dxa"/>
                  <w:noWrap w:val="0"/>
                  <w:tcMar>
                    <w:left w:w="28" w:type="dxa"/>
                    <w:right w:w="28" w:type="dxa"/>
                  </w:tcMar>
                  <w:vAlign w:val="center"/>
                </w:tcPr>
                <w:p w14:paraId="5FECDF92">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本项目不属于围湖造田、围海造地或围填海等投资建设项目</w:t>
                  </w:r>
                </w:p>
              </w:tc>
              <w:tc>
                <w:tcPr>
                  <w:tcW w:w="742" w:type="dxa"/>
                  <w:noWrap w:val="0"/>
                  <w:tcMar>
                    <w:left w:w="28" w:type="dxa"/>
                    <w:right w:w="28" w:type="dxa"/>
                  </w:tcMar>
                  <w:vAlign w:val="center"/>
                </w:tcPr>
                <w:p w14:paraId="34197907">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rPr>
                  </w:pPr>
                </w:p>
                <w:p w14:paraId="6DB32026">
                  <w:pPr>
                    <w:pStyle w:val="10"/>
                    <w:keepNext w:val="0"/>
                    <w:keepLines w:val="0"/>
                    <w:suppressLineNumbers w:val="0"/>
                    <w:spacing w:before="0" w:beforeAutospacing="0" w:after="0" w:afterAutospacing="0"/>
                    <w:ind w:left="0" w:right="0"/>
                    <w:jc w:val="center"/>
                    <w:rPr>
                      <w:rFonts w:hint="eastAsia" w:ascii="宋体" w:hAnsi="宋体" w:eastAsia="宋体" w:cs="宋体"/>
                    </w:rPr>
                  </w:pPr>
                  <w:r>
                    <w:rPr>
                      <w:rFonts w:hint="eastAsia" w:ascii="宋体" w:hAnsi="宋体" w:eastAsia="宋体" w:cs="宋体"/>
                      <w:snapToGrid w:val="0"/>
                      <w:kern w:val="0"/>
                      <w:sz w:val="21"/>
                      <w:szCs w:val="21"/>
                    </w:rPr>
                    <w:t>相符</w:t>
                  </w:r>
                </w:p>
              </w:tc>
            </w:tr>
            <w:tr w14:paraId="6C5A48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90" w:hRule="atLeast"/>
                <w:jc w:val="center"/>
              </w:trPr>
              <w:tc>
                <w:tcPr>
                  <w:tcW w:w="754" w:type="dxa"/>
                  <w:vMerge w:val="continue"/>
                  <w:noWrap w:val="0"/>
                  <w:tcMar>
                    <w:left w:w="28" w:type="dxa"/>
                    <w:right w:w="28" w:type="dxa"/>
                  </w:tcMar>
                  <w:vAlign w:val="center"/>
                </w:tcPr>
                <w:p w14:paraId="0C6384F2">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p>
              </w:tc>
              <w:tc>
                <w:tcPr>
                  <w:tcW w:w="507" w:type="dxa"/>
                  <w:vMerge w:val="restart"/>
                  <w:noWrap w:val="0"/>
                  <w:tcMar>
                    <w:left w:w="28" w:type="dxa"/>
                    <w:right w:w="28" w:type="dxa"/>
                  </w:tcMar>
                  <w:vAlign w:val="center"/>
                </w:tcPr>
                <w:p w14:paraId="37AA260D">
                  <w:pPr>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napToGrid w:val="0"/>
                      <w:kern w:val="0"/>
                      <w:sz w:val="21"/>
                      <w:szCs w:val="21"/>
                    </w:rPr>
                  </w:pPr>
                </w:p>
              </w:tc>
              <w:tc>
                <w:tcPr>
                  <w:tcW w:w="3470" w:type="dxa"/>
                  <w:noWrap w:val="0"/>
                  <w:tcMar>
                    <w:left w:w="28" w:type="dxa"/>
                    <w:right w:w="28" w:type="dxa"/>
                  </w:tcMar>
                  <w:vAlign w:val="top"/>
                </w:tcPr>
                <w:p w14:paraId="3EA6F487">
                  <w:pPr>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w:t>
                  </w:r>
                </w:p>
              </w:tc>
              <w:tc>
                <w:tcPr>
                  <w:tcW w:w="1425" w:type="dxa"/>
                  <w:noWrap w:val="0"/>
                  <w:tcMar>
                    <w:left w:w="28" w:type="dxa"/>
                    <w:right w:w="28" w:type="dxa"/>
                  </w:tcMar>
                  <w:vAlign w:val="center"/>
                </w:tcPr>
                <w:p w14:paraId="529101AA">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本项目不占用长江流域河湖岸线</w:t>
                  </w:r>
                </w:p>
              </w:tc>
              <w:tc>
                <w:tcPr>
                  <w:tcW w:w="742" w:type="dxa"/>
                  <w:noWrap w:val="0"/>
                  <w:tcMar>
                    <w:left w:w="28" w:type="dxa"/>
                    <w:right w:w="28" w:type="dxa"/>
                  </w:tcMar>
                  <w:vAlign w:val="center"/>
                </w:tcPr>
                <w:p w14:paraId="2BFC22BB">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相符</w:t>
                  </w:r>
                </w:p>
              </w:tc>
            </w:tr>
            <w:tr w14:paraId="6D3294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948" w:hRule="atLeast"/>
                <w:jc w:val="center"/>
              </w:trPr>
              <w:tc>
                <w:tcPr>
                  <w:tcW w:w="754" w:type="dxa"/>
                  <w:vMerge w:val="continue"/>
                  <w:noWrap w:val="0"/>
                  <w:tcMar>
                    <w:left w:w="28" w:type="dxa"/>
                    <w:right w:w="28" w:type="dxa"/>
                  </w:tcMar>
                  <w:vAlign w:val="center"/>
                </w:tcPr>
                <w:p w14:paraId="1D606237">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rPr>
                  </w:pPr>
                </w:p>
              </w:tc>
              <w:tc>
                <w:tcPr>
                  <w:tcW w:w="507" w:type="dxa"/>
                  <w:vMerge w:val="continue"/>
                  <w:noWrap w:val="0"/>
                  <w:tcMar>
                    <w:left w:w="28" w:type="dxa"/>
                    <w:right w:w="28" w:type="dxa"/>
                  </w:tcMar>
                  <w:vAlign w:val="center"/>
                </w:tcPr>
                <w:p w14:paraId="36349E21">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rPr>
                  </w:pPr>
                </w:p>
              </w:tc>
              <w:tc>
                <w:tcPr>
                  <w:tcW w:w="3470" w:type="dxa"/>
                  <w:noWrap w:val="0"/>
                  <w:tcMar>
                    <w:left w:w="28" w:type="dxa"/>
                    <w:right w:w="28" w:type="dxa"/>
                  </w:tcMar>
                  <w:vAlign w:val="center"/>
                </w:tcPr>
                <w:p w14:paraId="66B36784">
                  <w:pPr>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6、禁止未经许可在长江干支流及湖泊新设、改设或扩大排污口。</w:t>
                  </w:r>
                </w:p>
              </w:tc>
              <w:tc>
                <w:tcPr>
                  <w:tcW w:w="1425" w:type="dxa"/>
                  <w:noWrap w:val="0"/>
                  <w:tcMar>
                    <w:left w:w="28" w:type="dxa"/>
                    <w:right w:w="28" w:type="dxa"/>
                  </w:tcMar>
                  <w:vAlign w:val="center"/>
                </w:tcPr>
                <w:p w14:paraId="3E3C3146">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本项目不在长江干支流及湖泊设排污口</w:t>
                  </w:r>
                </w:p>
              </w:tc>
              <w:tc>
                <w:tcPr>
                  <w:tcW w:w="742" w:type="dxa"/>
                  <w:noWrap w:val="0"/>
                  <w:tcMar>
                    <w:left w:w="28" w:type="dxa"/>
                    <w:right w:w="28" w:type="dxa"/>
                  </w:tcMar>
                  <w:vAlign w:val="center"/>
                </w:tcPr>
                <w:p w14:paraId="78C9E6C6">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相符</w:t>
                  </w:r>
                </w:p>
              </w:tc>
            </w:tr>
            <w:tr w14:paraId="6D3C4A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812" w:hRule="atLeast"/>
                <w:jc w:val="center"/>
              </w:trPr>
              <w:tc>
                <w:tcPr>
                  <w:tcW w:w="754" w:type="dxa"/>
                  <w:vMerge w:val="restart"/>
                  <w:noWrap w:val="0"/>
                  <w:tcMar>
                    <w:left w:w="28" w:type="dxa"/>
                    <w:right w:w="28" w:type="dxa"/>
                  </w:tcMar>
                  <w:vAlign w:val="center"/>
                </w:tcPr>
                <w:p w14:paraId="3CB10E80">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2</w:t>
                  </w:r>
                </w:p>
              </w:tc>
              <w:tc>
                <w:tcPr>
                  <w:tcW w:w="507" w:type="dxa"/>
                  <w:vMerge w:val="restart"/>
                  <w:noWrap w:val="0"/>
                  <w:tcMar>
                    <w:left w:w="28" w:type="dxa"/>
                    <w:right w:w="28" w:type="dxa"/>
                  </w:tcMar>
                  <w:vAlign w:val="center"/>
                </w:tcPr>
                <w:p w14:paraId="454FEC77">
                  <w:pPr>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区域活动</w:t>
                  </w:r>
                </w:p>
              </w:tc>
              <w:tc>
                <w:tcPr>
                  <w:tcW w:w="3470" w:type="dxa"/>
                  <w:noWrap w:val="0"/>
                  <w:tcMar>
                    <w:left w:w="28" w:type="dxa"/>
                    <w:right w:w="28" w:type="dxa"/>
                  </w:tcMar>
                  <w:vAlign w:val="center"/>
                </w:tcPr>
                <w:p w14:paraId="41545195">
                  <w:pPr>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7、禁止长江干流、长江口、34个列入《率先全面禁捕的长江流域水生生物保护区名录》的水生生物保护区以及省规定的其它禁渔水域开展生产性捕捞。</w:t>
                  </w:r>
                </w:p>
              </w:tc>
              <w:tc>
                <w:tcPr>
                  <w:tcW w:w="1425" w:type="dxa"/>
                  <w:noWrap w:val="0"/>
                  <w:tcMar>
                    <w:left w:w="28" w:type="dxa"/>
                    <w:right w:w="28" w:type="dxa"/>
                  </w:tcMar>
                  <w:vAlign w:val="center"/>
                </w:tcPr>
                <w:p w14:paraId="77A68F93">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本项目不涉及捕捞</w:t>
                  </w:r>
                </w:p>
              </w:tc>
              <w:tc>
                <w:tcPr>
                  <w:tcW w:w="742" w:type="dxa"/>
                  <w:noWrap w:val="0"/>
                  <w:tcMar>
                    <w:left w:w="28" w:type="dxa"/>
                    <w:right w:w="28" w:type="dxa"/>
                  </w:tcMar>
                  <w:vAlign w:val="center"/>
                </w:tcPr>
                <w:p w14:paraId="485AA2A1">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相符</w:t>
                  </w:r>
                </w:p>
              </w:tc>
            </w:tr>
            <w:tr w14:paraId="677DBD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90" w:hRule="atLeast"/>
                <w:jc w:val="center"/>
              </w:trPr>
              <w:tc>
                <w:tcPr>
                  <w:tcW w:w="754" w:type="dxa"/>
                  <w:vMerge w:val="continue"/>
                  <w:noWrap w:val="0"/>
                  <w:tcMar>
                    <w:left w:w="28" w:type="dxa"/>
                    <w:right w:w="28" w:type="dxa"/>
                  </w:tcMar>
                  <w:vAlign w:val="center"/>
                </w:tcPr>
                <w:p w14:paraId="41C60047">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rPr>
                  </w:pPr>
                </w:p>
              </w:tc>
              <w:tc>
                <w:tcPr>
                  <w:tcW w:w="507" w:type="dxa"/>
                  <w:vMerge w:val="continue"/>
                  <w:noWrap w:val="0"/>
                  <w:tcMar>
                    <w:left w:w="28" w:type="dxa"/>
                    <w:right w:w="28" w:type="dxa"/>
                  </w:tcMar>
                  <w:vAlign w:val="center"/>
                </w:tcPr>
                <w:p w14:paraId="6CB26A93">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rPr>
                  </w:pPr>
                </w:p>
              </w:tc>
              <w:tc>
                <w:tcPr>
                  <w:tcW w:w="3470" w:type="dxa"/>
                  <w:noWrap w:val="0"/>
                  <w:tcMar>
                    <w:left w:w="28" w:type="dxa"/>
                    <w:right w:w="28" w:type="dxa"/>
                  </w:tcMar>
                  <w:vAlign w:val="center"/>
                </w:tcPr>
                <w:p w14:paraId="2FBF2088">
                  <w:pPr>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8、禁止在距离长江干流岸线一公里范围内新建、扩建化工园区和化工项目。长江干支流一公里按照长江干支流岸线边界（即水利部门河道管理范围边界）向陆域纵深一公里执行。</w:t>
                  </w:r>
                </w:p>
              </w:tc>
              <w:tc>
                <w:tcPr>
                  <w:tcW w:w="1425" w:type="dxa"/>
                  <w:noWrap w:val="0"/>
                  <w:tcMar>
                    <w:left w:w="28" w:type="dxa"/>
                    <w:right w:w="28" w:type="dxa"/>
                  </w:tcMar>
                  <w:vAlign w:val="center"/>
                </w:tcPr>
                <w:p w14:paraId="3A50D218">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本项目不在长江干流岸线一公里范围内</w:t>
                  </w:r>
                </w:p>
              </w:tc>
              <w:tc>
                <w:tcPr>
                  <w:tcW w:w="742" w:type="dxa"/>
                  <w:noWrap w:val="0"/>
                  <w:tcMar>
                    <w:left w:w="28" w:type="dxa"/>
                    <w:right w:w="28" w:type="dxa"/>
                  </w:tcMar>
                  <w:vAlign w:val="center"/>
                </w:tcPr>
                <w:p w14:paraId="1328BAEC">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相符</w:t>
                  </w:r>
                </w:p>
              </w:tc>
            </w:tr>
            <w:tr w14:paraId="25F643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1089" w:hRule="atLeast"/>
                <w:jc w:val="center"/>
              </w:trPr>
              <w:tc>
                <w:tcPr>
                  <w:tcW w:w="754" w:type="dxa"/>
                  <w:vMerge w:val="continue"/>
                  <w:noWrap w:val="0"/>
                  <w:tcMar>
                    <w:left w:w="28" w:type="dxa"/>
                    <w:right w:w="28" w:type="dxa"/>
                  </w:tcMar>
                  <w:vAlign w:val="center"/>
                </w:tcPr>
                <w:p w14:paraId="09F0CEE6">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p>
              </w:tc>
              <w:tc>
                <w:tcPr>
                  <w:tcW w:w="507" w:type="dxa"/>
                  <w:vMerge w:val="continue"/>
                  <w:noWrap w:val="0"/>
                  <w:tcMar>
                    <w:left w:w="28" w:type="dxa"/>
                    <w:right w:w="28" w:type="dxa"/>
                  </w:tcMar>
                  <w:vAlign w:val="center"/>
                </w:tcPr>
                <w:p w14:paraId="762C924B">
                  <w:pPr>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napToGrid w:val="0"/>
                      <w:kern w:val="0"/>
                      <w:sz w:val="21"/>
                      <w:szCs w:val="21"/>
                    </w:rPr>
                  </w:pPr>
                </w:p>
              </w:tc>
              <w:tc>
                <w:tcPr>
                  <w:tcW w:w="3470" w:type="dxa"/>
                  <w:noWrap w:val="0"/>
                  <w:tcMar>
                    <w:left w:w="28" w:type="dxa"/>
                    <w:right w:w="28" w:type="dxa"/>
                  </w:tcMar>
                  <w:vAlign w:val="center"/>
                </w:tcPr>
                <w:p w14:paraId="3E678929">
                  <w:pPr>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9、禁止在长江干流岸线三公里范围内新建、改建、扩建尾矿库、冶炼渣库和磷石膏库，以提升安全、生态环境保护水平为目的的改建除外。</w:t>
                  </w:r>
                </w:p>
              </w:tc>
              <w:tc>
                <w:tcPr>
                  <w:tcW w:w="1425" w:type="dxa"/>
                  <w:noWrap w:val="0"/>
                  <w:tcMar>
                    <w:left w:w="28" w:type="dxa"/>
                    <w:right w:w="28" w:type="dxa"/>
                  </w:tcMar>
                  <w:vAlign w:val="center"/>
                </w:tcPr>
                <w:p w14:paraId="6DE5A873">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本项目不在清单所列项目之列</w:t>
                  </w:r>
                </w:p>
              </w:tc>
              <w:tc>
                <w:tcPr>
                  <w:tcW w:w="742" w:type="dxa"/>
                  <w:noWrap w:val="0"/>
                  <w:tcMar>
                    <w:left w:w="28" w:type="dxa"/>
                    <w:right w:w="28" w:type="dxa"/>
                  </w:tcMar>
                  <w:vAlign w:val="center"/>
                </w:tcPr>
                <w:p w14:paraId="6C58E604">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相符</w:t>
                  </w:r>
                </w:p>
              </w:tc>
            </w:tr>
            <w:tr w14:paraId="69D7FA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90" w:hRule="atLeast"/>
                <w:jc w:val="center"/>
              </w:trPr>
              <w:tc>
                <w:tcPr>
                  <w:tcW w:w="754" w:type="dxa"/>
                  <w:vMerge w:val="continue"/>
                  <w:noWrap w:val="0"/>
                  <w:tcMar>
                    <w:left w:w="28" w:type="dxa"/>
                    <w:right w:w="28" w:type="dxa"/>
                  </w:tcMar>
                  <w:vAlign w:val="center"/>
                </w:tcPr>
                <w:p w14:paraId="5B133487">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p>
              </w:tc>
              <w:tc>
                <w:tcPr>
                  <w:tcW w:w="507" w:type="dxa"/>
                  <w:vMerge w:val="continue"/>
                  <w:noWrap w:val="0"/>
                  <w:tcMar>
                    <w:left w:w="28" w:type="dxa"/>
                    <w:right w:w="28" w:type="dxa"/>
                  </w:tcMar>
                  <w:vAlign w:val="center"/>
                </w:tcPr>
                <w:p w14:paraId="0BEF5495">
                  <w:pPr>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napToGrid w:val="0"/>
                      <w:kern w:val="0"/>
                      <w:sz w:val="21"/>
                      <w:szCs w:val="21"/>
                    </w:rPr>
                  </w:pPr>
                </w:p>
              </w:tc>
              <w:tc>
                <w:tcPr>
                  <w:tcW w:w="3470" w:type="dxa"/>
                  <w:noWrap w:val="0"/>
                  <w:tcMar>
                    <w:left w:w="28" w:type="dxa"/>
                    <w:right w:w="28" w:type="dxa"/>
                  </w:tcMar>
                  <w:vAlign w:val="center"/>
                </w:tcPr>
                <w:p w14:paraId="0DA75507">
                  <w:pPr>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10、禁止在太湖流域一、二、三级保护区内开展《江苏省太湖水污染防治条例》禁止的投资建设活动。</w:t>
                  </w:r>
                </w:p>
              </w:tc>
              <w:tc>
                <w:tcPr>
                  <w:tcW w:w="1425" w:type="dxa"/>
                  <w:noWrap w:val="0"/>
                  <w:tcMar>
                    <w:left w:w="28" w:type="dxa"/>
                    <w:right w:w="28" w:type="dxa"/>
                  </w:tcMar>
                  <w:vAlign w:val="center"/>
                </w:tcPr>
                <w:p w14:paraId="2C3B2D2E">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本项目不在太湖流域保护区内</w:t>
                  </w:r>
                </w:p>
              </w:tc>
              <w:tc>
                <w:tcPr>
                  <w:tcW w:w="742" w:type="dxa"/>
                  <w:noWrap w:val="0"/>
                  <w:tcMar>
                    <w:left w:w="28" w:type="dxa"/>
                    <w:right w:w="28" w:type="dxa"/>
                  </w:tcMar>
                  <w:vAlign w:val="center"/>
                </w:tcPr>
                <w:p w14:paraId="094CBF53">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相符</w:t>
                  </w:r>
                </w:p>
              </w:tc>
            </w:tr>
            <w:tr w14:paraId="7BA192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90" w:hRule="atLeast"/>
                <w:jc w:val="center"/>
              </w:trPr>
              <w:tc>
                <w:tcPr>
                  <w:tcW w:w="754" w:type="dxa"/>
                  <w:vMerge w:val="continue"/>
                  <w:noWrap w:val="0"/>
                  <w:tcMar>
                    <w:left w:w="28" w:type="dxa"/>
                    <w:right w:w="28" w:type="dxa"/>
                  </w:tcMar>
                  <w:vAlign w:val="center"/>
                </w:tcPr>
                <w:p w14:paraId="3C771B94">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p>
              </w:tc>
              <w:tc>
                <w:tcPr>
                  <w:tcW w:w="507" w:type="dxa"/>
                  <w:vMerge w:val="continue"/>
                  <w:noWrap w:val="0"/>
                  <w:tcMar>
                    <w:left w:w="28" w:type="dxa"/>
                    <w:right w:w="28" w:type="dxa"/>
                  </w:tcMar>
                  <w:vAlign w:val="center"/>
                </w:tcPr>
                <w:p w14:paraId="14249F97">
                  <w:pPr>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napToGrid w:val="0"/>
                      <w:kern w:val="0"/>
                      <w:sz w:val="21"/>
                      <w:szCs w:val="21"/>
                    </w:rPr>
                  </w:pPr>
                </w:p>
              </w:tc>
              <w:tc>
                <w:tcPr>
                  <w:tcW w:w="3470" w:type="dxa"/>
                  <w:noWrap w:val="0"/>
                  <w:tcMar>
                    <w:left w:w="28" w:type="dxa"/>
                    <w:right w:w="28" w:type="dxa"/>
                  </w:tcMar>
                  <w:vAlign w:val="center"/>
                </w:tcPr>
                <w:p w14:paraId="6F3667D8">
                  <w:pPr>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11、禁止在沿江地区新建、扩建未纳入国家和省布局规划的燃煤发电项目。</w:t>
                  </w:r>
                </w:p>
              </w:tc>
              <w:tc>
                <w:tcPr>
                  <w:tcW w:w="1425" w:type="dxa"/>
                  <w:noWrap w:val="0"/>
                  <w:tcMar>
                    <w:left w:w="28" w:type="dxa"/>
                    <w:right w:w="28" w:type="dxa"/>
                  </w:tcMar>
                  <w:vAlign w:val="center"/>
                </w:tcPr>
                <w:p w14:paraId="4E96B56B">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本项目不属于燃煤发电项目</w:t>
                  </w:r>
                </w:p>
              </w:tc>
              <w:tc>
                <w:tcPr>
                  <w:tcW w:w="742" w:type="dxa"/>
                  <w:noWrap w:val="0"/>
                  <w:tcMar>
                    <w:left w:w="28" w:type="dxa"/>
                    <w:right w:w="28" w:type="dxa"/>
                  </w:tcMar>
                  <w:vAlign w:val="center"/>
                </w:tcPr>
                <w:p w14:paraId="236D0942">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相符</w:t>
                  </w:r>
                </w:p>
              </w:tc>
            </w:tr>
            <w:tr w14:paraId="215074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1629" w:hRule="atLeast"/>
                <w:jc w:val="center"/>
              </w:trPr>
              <w:tc>
                <w:tcPr>
                  <w:tcW w:w="754" w:type="dxa"/>
                  <w:vMerge w:val="continue"/>
                  <w:noWrap w:val="0"/>
                  <w:tcMar>
                    <w:left w:w="28" w:type="dxa"/>
                    <w:right w:w="28" w:type="dxa"/>
                  </w:tcMar>
                  <w:vAlign w:val="center"/>
                </w:tcPr>
                <w:p w14:paraId="7EA4BBED">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p>
              </w:tc>
              <w:tc>
                <w:tcPr>
                  <w:tcW w:w="507" w:type="dxa"/>
                  <w:vMerge w:val="continue"/>
                  <w:noWrap w:val="0"/>
                  <w:tcMar>
                    <w:left w:w="28" w:type="dxa"/>
                    <w:right w:w="28" w:type="dxa"/>
                  </w:tcMar>
                  <w:vAlign w:val="center"/>
                </w:tcPr>
                <w:p w14:paraId="5CC07503">
                  <w:pPr>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napToGrid w:val="0"/>
                      <w:kern w:val="0"/>
                      <w:sz w:val="21"/>
                      <w:szCs w:val="21"/>
                    </w:rPr>
                  </w:pPr>
                </w:p>
              </w:tc>
              <w:tc>
                <w:tcPr>
                  <w:tcW w:w="3470" w:type="dxa"/>
                  <w:noWrap w:val="0"/>
                  <w:tcMar>
                    <w:left w:w="28" w:type="dxa"/>
                    <w:right w:w="28" w:type="dxa"/>
                  </w:tcMar>
                  <w:vAlign w:val="center"/>
                </w:tcPr>
                <w:p w14:paraId="75E00419">
                  <w:pPr>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12、禁止在合规园区外新建、扩建钢铁、石化、化工、焦化、建材、有色、制浆造纸等高污染项目。合规园区名录按照《&lt;长江经济带发展父母清单指南（试行，2022年版）&gt;江苏省实施细则合规园区名录》执行。</w:t>
                  </w:r>
                </w:p>
              </w:tc>
              <w:tc>
                <w:tcPr>
                  <w:tcW w:w="1425" w:type="dxa"/>
                  <w:noWrap w:val="0"/>
                  <w:tcMar>
                    <w:left w:w="28" w:type="dxa"/>
                    <w:right w:w="28" w:type="dxa"/>
                  </w:tcMar>
                  <w:vAlign w:val="center"/>
                </w:tcPr>
                <w:p w14:paraId="427403F2">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本项目不在清单所列项目之列</w:t>
                  </w:r>
                </w:p>
              </w:tc>
              <w:tc>
                <w:tcPr>
                  <w:tcW w:w="742" w:type="dxa"/>
                  <w:noWrap w:val="0"/>
                  <w:tcMar>
                    <w:left w:w="28" w:type="dxa"/>
                    <w:right w:w="28" w:type="dxa"/>
                  </w:tcMar>
                  <w:vAlign w:val="center"/>
                </w:tcPr>
                <w:p w14:paraId="46FE1200">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相符</w:t>
                  </w:r>
                </w:p>
              </w:tc>
            </w:tr>
            <w:tr w14:paraId="421020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90" w:hRule="atLeast"/>
                <w:jc w:val="center"/>
              </w:trPr>
              <w:tc>
                <w:tcPr>
                  <w:tcW w:w="754" w:type="dxa"/>
                  <w:vMerge w:val="continue"/>
                  <w:noWrap w:val="0"/>
                  <w:tcMar>
                    <w:left w:w="28" w:type="dxa"/>
                    <w:right w:w="28" w:type="dxa"/>
                  </w:tcMar>
                  <w:vAlign w:val="center"/>
                </w:tcPr>
                <w:p w14:paraId="3B666A5C">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p>
              </w:tc>
              <w:tc>
                <w:tcPr>
                  <w:tcW w:w="507" w:type="dxa"/>
                  <w:vMerge w:val="continue"/>
                  <w:noWrap w:val="0"/>
                  <w:tcMar>
                    <w:left w:w="28" w:type="dxa"/>
                    <w:right w:w="28" w:type="dxa"/>
                  </w:tcMar>
                  <w:vAlign w:val="center"/>
                </w:tcPr>
                <w:p w14:paraId="2572B47F">
                  <w:pPr>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napToGrid w:val="0"/>
                      <w:kern w:val="0"/>
                      <w:sz w:val="21"/>
                      <w:szCs w:val="21"/>
                    </w:rPr>
                  </w:pPr>
                </w:p>
              </w:tc>
              <w:tc>
                <w:tcPr>
                  <w:tcW w:w="3470" w:type="dxa"/>
                  <w:noWrap w:val="0"/>
                  <w:tcMar>
                    <w:left w:w="28" w:type="dxa"/>
                    <w:right w:w="28" w:type="dxa"/>
                  </w:tcMar>
                  <w:vAlign w:val="center"/>
                </w:tcPr>
                <w:p w14:paraId="3CE393BB">
                  <w:pPr>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13、禁止在取消化工定位的园区（集中区）内新建化工项目。</w:t>
                  </w:r>
                </w:p>
              </w:tc>
              <w:tc>
                <w:tcPr>
                  <w:tcW w:w="1425" w:type="dxa"/>
                  <w:noWrap w:val="0"/>
                  <w:tcMar>
                    <w:left w:w="28" w:type="dxa"/>
                    <w:right w:w="28" w:type="dxa"/>
                  </w:tcMar>
                  <w:vAlign w:val="center"/>
                </w:tcPr>
                <w:p w14:paraId="03F2B830">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本项目不属于化工项目</w:t>
                  </w:r>
                </w:p>
              </w:tc>
              <w:tc>
                <w:tcPr>
                  <w:tcW w:w="742" w:type="dxa"/>
                  <w:noWrap w:val="0"/>
                  <w:tcMar>
                    <w:left w:w="28" w:type="dxa"/>
                    <w:right w:w="28" w:type="dxa"/>
                  </w:tcMar>
                  <w:vAlign w:val="center"/>
                </w:tcPr>
                <w:p w14:paraId="6787A631">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相符</w:t>
                  </w:r>
                </w:p>
              </w:tc>
            </w:tr>
            <w:tr w14:paraId="78D2E6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90" w:hRule="atLeast"/>
                <w:jc w:val="center"/>
              </w:trPr>
              <w:tc>
                <w:tcPr>
                  <w:tcW w:w="754" w:type="dxa"/>
                  <w:vMerge w:val="continue"/>
                  <w:noWrap w:val="0"/>
                  <w:tcMar>
                    <w:left w:w="28" w:type="dxa"/>
                    <w:right w:w="28" w:type="dxa"/>
                  </w:tcMar>
                  <w:vAlign w:val="center"/>
                </w:tcPr>
                <w:p w14:paraId="2ED7F7E2">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p>
              </w:tc>
              <w:tc>
                <w:tcPr>
                  <w:tcW w:w="507" w:type="dxa"/>
                  <w:vMerge w:val="continue"/>
                  <w:noWrap w:val="0"/>
                  <w:tcMar>
                    <w:left w:w="28" w:type="dxa"/>
                    <w:right w:w="28" w:type="dxa"/>
                  </w:tcMar>
                  <w:vAlign w:val="center"/>
                </w:tcPr>
                <w:p w14:paraId="06C77863">
                  <w:pPr>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napToGrid w:val="0"/>
                      <w:kern w:val="0"/>
                      <w:sz w:val="21"/>
                      <w:szCs w:val="21"/>
                    </w:rPr>
                  </w:pPr>
                </w:p>
              </w:tc>
              <w:tc>
                <w:tcPr>
                  <w:tcW w:w="3470" w:type="dxa"/>
                  <w:noWrap w:val="0"/>
                  <w:tcMar>
                    <w:left w:w="28" w:type="dxa"/>
                    <w:right w:w="28" w:type="dxa"/>
                  </w:tcMar>
                  <w:vAlign w:val="center"/>
                </w:tcPr>
                <w:p w14:paraId="625DC6B3">
                  <w:pPr>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14、禁止在化工企业周边建设不符合安全距离规定的劳动密集型的非化工项目和其他人员密集的公共设施项目。</w:t>
                  </w:r>
                </w:p>
              </w:tc>
              <w:tc>
                <w:tcPr>
                  <w:tcW w:w="1425" w:type="dxa"/>
                  <w:noWrap w:val="0"/>
                  <w:tcMar>
                    <w:left w:w="28" w:type="dxa"/>
                    <w:right w:w="28" w:type="dxa"/>
                  </w:tcMar>
                  <w:vAlign w:val="center"/>
                </w:tcPr>
                <w:p w14:paraId="5EACDAB1">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本项目不属于劳动密集型企业</w:t>
                  </w:r>
                </w:p>
              </w:tc>
              <w:tc>
                <w:tcPr>
                  <w:tcW w:w="742" w:type="dxa"/>
                  <w:noWrap w:val="0"/>
                  <w:tcMar>
                    <w:left w:w="28" w:type="dxa"/>
                    <w:right w:w="28" w:type="dxa"/>
                  </w:tcMar>
                  <w:vAlign w:val="center"/>
                </w:tcPr>
                <w:p w14:paraId="322BD3B6">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相符</w:t>
                  </w:r>
                </w:p>
              </w:tc>
            </w:tr>
            <w:tr w14:paraId="0B8CEA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820" w:hRule="atLeast"/>
                <w:jc w:val="center"/>
              </w:trPr>
              <w:tc>
                <w:tcPr>
                  <w:tcW w:w="754" w:type="dxa"/>
                  <w:vMerge w:val="restart"/>
                  <w:noWrap w:val="0"/>
                  <w:tcMar>
                    <w:left w:w="28" w:type="dxa"/>
                    <w:right w:w="28" w:type="dxa"/>
                  </w:tcMar>
                  <w:vAlign w:val="center"/>
                </w:tcPr>
                <w:p w14:paraId="5549B18E">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3</w:t>
                  </w:r>
                </w:p>
              </w:tc>
              <w:tc>
                <w:tcPr>
                  <w:tcW w:w="507" w:type="dxa"/>
                  <w:vMerge w:val="restart"/>
                  <w:noWrap w:val="0"/>
                  <w:tcMar>
                    <w:left w:w="28" w:type="dxa"/>
                    <w:right w:w="28" w:type="dxa"/>
                  </w:tcMar>
                  <w:vAlign w:val="center"/>
                </w:tcPr>
                <w:p w14:paraId="3548F019">
                  <w:pPr>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产业发展</w:t>
                  </w:r>
                </w:p>
              </w:tc>
              <w:tc>
                <w:tcPr>
                  <w:tcW w:w="3470" w:type="dxa"/>
                  <w:noWrap w:val="0"/>
                  <w:tcMar>
                    <w:left w:w="28" w:type="dxa"/>
                    <w:right w:w="28" w:type="dxa"/>
                  </w:tcMar>
                  <w:vAlign w:val="center"/>
                </w:tcPr>
                <w:p w14:paraId="2DFF09CE">
                  <w:pPr>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15、禁止新建、扩建不符合国家和省产业政策的尿素、磷铵、电石、烧碱、聚氯乙烯、纯碱等行业新增产能项目。</w:t>
                  </w:r>
                </w:p>
              </w:tc>
              <w:tc>
                <w:tcPr>
                  <w:tcW w:w="1425" w:type="dxa"/>
                  <w:noWrap w:val="0"/>
                  <w:tcMar>
                    <w:left w:w="28" w:type="dxa"/>
                    <w:right w:w="28" w:type="dxa"/>
                  </w:tcMar>
                  <w:vAlign w:val="center"/>
                </w:tcPr>
                <w:p w14:paraId="1FD2E2D6">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本项目不在清单所列项目之列</w:t>
                  </w:r>
                </w:p>
              </w:tc>
              <w:tc>
                <w:tcPr>
                  <w:tcW w:w="742" w:type="dxa"/>
                  <w:noWrap w:val="0"/>
                  <w:tcMar>
                    <w:left w:w="28" w:type="dxa"/>
                    <w:right w:w="28" w:type="dxa"/>
                  </w:tcMar>
                  <w:vAlign w:val="center"/>
                </w:tcPr>
                <w:p w14:paraId="4888B4C0">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相符</w:t>
                  </w:r>
                </w:p>
              </w:tc>
            </w:tr>
            <w:tr w14:paraId="40DF10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1359" w:hRule="atLeast"/>
                <w:jc w:val="center"/>
              </w:trPr>
              <w:tc>
                <w:tcPr>
                  <w:tcW w:w="754" w:type="dxa"/>
                  <w:vMerge w:val="continue"/>
                  <w:noWrap w:val="0"/>
                  <w:tcMar>
                    <w:left w:w="28" w:type="dxa"/>
                    <w:right w:w="28" w:type="dxa"/>
                  </w:tcMar>
                  <w:vAlign w:val="center"/>
                </w:tcPr>
                <w:p w14:paraId="78E2FDE7">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p>
              </w:tc>
              <w:tc>
                <w:tcPr>
                  <w:tcW w:w="507" w:type="dxa"/>
                  <w:vMerge w:val="continue"/>
                  <w:noWrap w:val="0"/>
                  <w:tcMar>
                    <w:left w:w="28" w:type="dxa"/>
                    <w:right w:w="28" w:type="dxa"/>
                  </w:tcMar>
                  <w:vAlign w:val="center"/>
                </w:tcPr>
                <w:p w14:paraId="3C9CCCEF">
                  <w:pPr>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napToGrid w:val="0"/>
                      <w:kern w:val="0"/>
                      <w:sz w:val="21"/>
                      <w:szCs w:val="21"/>
                    </w:rPr>
                  </w:pPr>
                </w:p>
              </w:tc>
              <w:tc>
                <w:tcPr>
                  <w:tcW w:w="3470" w:type="dxa"/>
                  <w:noWrap w:val="0"/>
                  <w:tcMar>
                    <w:left w:w="28" w:type="dxa"/>
                    <w:right w:w="28" w:type="dxa"/>
                  </w:tcMar>
                  <w:vAlign w:val="center"/>
                </w:tcPr>
                <w:p w14:paraId="05325285">
                  <w:pPr>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16、禁止新建、改建、扩建高毒、高残留以及对环境影响大的农药原药（化学合成类）项目，禁止新建、扩建不符合国家和省产业政策的农药、医药和染料中间体化工项目。</w:t>
                  </w:r>
                </w:p>
              </w:tc>
              <w:tc>
                <w:tcPr>
                  <w:tcW w:w="1425" w:type="dxa"/>
                  <w:noWrap w:val="0"/>
                  <w:tcMar>
                    <w:left w:w="28" w:type="dxa"/>
                    <w:right w:w="28" w:type="dxa"/>
                  </w:tcMar>
                  <w:vAlign w:val="center"/>
                </w:tcPr>
                <w:p w14:paraId="57123A88">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本项目不在清单所列项目之列</w:t>
                  </w:r>
                </w:p>
              </w:tc>
              <w:tc>
                <w:tcPr>
                  <w:tcW w:w="742" w:type="dxa"/>
                  <w:noWrap w:val="0"/>
                  <w:tcMar>
                    <w:left w:w="28" w:type="dxa"/>
                    <w:right w:w="28" w:type="dxa"/>
                  </w:tcMar>
                  <w:vAlign w:val="center"/>
                </w:tcPr>
                <w:p w14:paraId="1A2E9E47">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相符</w:t>
                  </w:r>
                </w:p>
              </w:tc>
            </w:tr>
            <w:tr w14:paraId="7B2246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838" w:hRule="atLeast"/>
                <w:jc w:val="center"/>
              </w:trPr>
              <w:tc>
                <w:tcPr>
                  <w:tcW w:w="754" w:type="dxa"/>
                  <w:vMerge w:val="continue"/>
                  <w:noWrap w:val="0"/>
                  <w:tcMar>
                    <w:left w:w="28" w:type="dxa"/>
                    <w:right w:w="28" w:type="dxa"/>
                  </w:tcMar>
                  <w:vAlign w:val="center"/>
                </w:tcPr>
                <w:p w14:paraId="3E705D6D">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p>
              </w:tc>
              <w:tc>
                <w:tcPr>
                  <w:tcW w:w="507" w:type="dxa"/>
                  <w:vMerge w:val="continue"/>
                  <w:noWrap w:val="0"/>
                  <w:tcMar>
                    <w:left w:w="28" w:type="dxa"/>
                    <w:right w:w="28" w:type="dxa"/>
                  </w:tcMar>
                  <w:vAlign w:val="center"/>
                </w:tcPr>
                <w:p w14:paraId="565A5562">
                  <w:pPr>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napToGrid w:val="0"/>
                      <w:kern w:val="0"/>
                      <w:sz w:val="21"/>
                      <w:szCs w:val="21"/>
                    </w:rPr>
                  </w:pPr>
                </w:p>
              </w:tc>
              <w:tc>
                <w:tcPr>
                  <w:tcW w:w="3470" w:type="dxa"/>
                  <w:noWrap w:val="0"/>
                  <w:tcMar>
                    <w:left w:w="28" w:type="dxa"/>
                    <w:right w:w="28" w:type="dxa"/>
                  </w:tcMar>
                  <w:vAlign w:val="center"/>
                </w:tcPr>
                <w:p w14:paraId="3599DCD1">
                  <w:pPr>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17、禁止新建、扩建不合格国家石化、现代煤化工等产业布局规划的项目，禁止新建独立焦化项目。</w:t>
                  </w:r>
                </w:p>
              </w:tc>
              <w:tc>
                <w:tcPr>
                  <w:tcW w:w="1425" w:type="dxa"/>
                  <w:noWrap w:val="0"/>
                  <w:tcMar>
                    <w:left w:w="28" w:type="dxa"/>
                    <w:right w:w="28" w:type="dxa"/>
                  </w:tcMar>
                  <w:vAlign w:val="center"/>
                </w:tcPr>
                <w:p w14:paraId="41D86B40">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本项目不在清单所列项目之列</w:t>
                  </w:r>
                </w:p>
              </w:tc>
              <w:tc>
                <w:tcPr>
                  <w:tcW w:w="742" w:type="dxa"/>
                  <w:noWrap w:val="0"/>
                  <w:tcMar>
                    <w:left w:w="28" w:type="dxa"/>
                    <w:right w:w="28" w:type="dxa"/>
                  </w:tcMar>
                  <w:vAlign w:val="center"/>
                </w:tcPr>
                <w:p w14:paraId="3360FCA9">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相符</w:t>
                  </w:r>
                </w:p>
              </w:tc>
            </w:tr>
            <w:tr w14:paraId="32BF3E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90" w:hRule="atLeast"/>
                <w:jc w:val="center"/>
              </w:trPr>
              <w:tc>
                <w:tcPr>
                  <w:tcW w:w="754" w:type="dxa"/>
                  <w:vMerge w:val="continue"/>
                  <w:noWrap w:val="0"/>
                  <w:tcMar>
                    <w:left w:w="28" w:type="dxa"/>
                    <w:right w:w="28" w:type="dxa"/>
                  </w:tcMar>
                  <w:vAlign w:val="center"/>
                </w:tcPr>
                <w:p w14:paraId="3E9B2E67">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p>
              </w:tc>
              <w:tc>
                <w:tcPr>
                  <w:tcW w:w="507" w:type="dxa"/>
                  <w:vMerge w:val="continue"/>
                  <w:noWrap w:val="0"/>
                  <w:tcMar>
                    <w:left w:w="28" w:type="dxa"/>
                    <w:right w:w="28" w:type="dxa"/>
                  </w:tcMar>
                  <w:vAlign w:val="center"/>
                </w:tcPr>
                <w:p w14:paraId="5FA43053">
                  <w:pPr>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napToGrid w:val="0"/>
                      <w:kern w:val="0"/>
                      <w:sz w:val="21"/>
                      <w:szCs w:val="21"/>
                    </w:rPr>
                  </w:pPr>
                </w:p>
              </w:tc>
              <w:tc>
                <w:tcPr>
                  <w:tcW w:w="3470" w:type="dxa"/>
                  <w:noWrap w:val="0"/>
                  <w:tcMar>
                    <w:left w:w="28" w:type="dxa"/>
                    <w:right w:w="28" w:type="dxa"/>
                  </w:tcMar>
                  <w:vAlign w:val="center"/>
                </w:tcPr>
                <w:p w14:paraId="1D38FF05">
                  <w:pPr>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18、禁止新建、扩建国家《产业结构调整指导目录》《江苏省产业结构调整限值、淘汰和禁止目录》明确的限制类、淘汰类、禁止类项目，法律法规和相关政策命令禁止的落后产能项目，以及命令淘汰的安全生产落后工艺及装备项目。</w:t>
                  </w:r>
                </w:p>
              </w:tc>
              <w:tc>
                <w:tcPr>
                  <w:tcW w:w="1425" w:type="dxa"/>
                  <w:noWrap w:val="0"/>
                  <w:tcMar>
                    <w:left w:w="28" w:type="dxa"/>
                    <w:right w:w="28" w:type="dxa"/>
                  </w:tcMar>
                  <w:vAlign w:val="center"/>
                </w:tcPr>
                <w:p w14:paraId="56B3F312">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本项目不在清单所列项目之列</w:t>
                  </w:r>
                </w:p>
              </w:tc>
              <w:tc>
                <w:tcPr>
                  <w:tcW w:w="742" w:type="dxa"/>
                  <w:noWrap w:val="0"/>
                  <w:tcMar>
                    <w:left w:w="28" w:type="dxa"/>
                    <w:right w:w="28" w:type="dxa"/>
                  </w:tcMar>
                  <w:vAlign w:val="center"/>
                </w:tcPr>
                <w:p w14:paraId="606040C2">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相符</w:t>
                  </w:r>
                </w:p>
              </w:tc>
            </w:tr>
            <w:tr w14:paraId="464E7F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849" w:hRule="atLeast"/>
                <w:jc w:val="center"/>
              </w:trPr>
              <w:tc>
                <w:tcPr>
                  <w:tcW w:w="754" w:type="dxa"/>
                  <w:vMerge w:val="continue"/>
                  <w:noWrap w:val="0"/>
                  <w:tcMar>
                    <w:left w:w="28" w:type="dxa"/>
                    <w:right w:w="28" w:type="dxa"/>
                  </w:tcMar>
                  <w:vAlign w:val="center"/>
                </w:tcPr>
                <w:p w14:paraId="028B6BAA">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p>
              </w:tc>
              <w:tc>
                <w:tcPr>
                  <w:tcW w:w="507" w:type="dxa"/>
                  <w:vMerge w:val="continue"/>
                  <w:noWrap w:val="0"/>
                  <w:tcMar>
                    <w:left w:w="28" w:type="dxa"/>
                    <w:right w:w="28" w:type="dxa"/>
                  </w:tcMar>
                  <w:vAlign w:val="center"/>
                </w:tcPr>
                <w:p w14:paraId="44AC55B1">
                  <w:pPr>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napToGrid w:val="0"/>
                      <w:kern w:val="0"/>
                      <w:sz w:val="21"/>
                      <w:szCs w:val="21"/>
                    </w:rPr>
                  </w:pPr>
                </w:p>
              </w:tc>
              <w:tc>
                <w:tcPr>
                  <w:tcW w:w="3470" w:type="dxa"/>
                  <w:noWrap w:val="0"/>
                  <w:tcMar>
                    <w:left w:w="28" w:type="dxa"/>
                    <w:right w:w="28" w:type="dxa"/>
                  </w:tcMar>
                  <w:vAlign w:val="center"/>
                </w:tcPr>
                <w:p w14:paraId="3611120E">
                  <w:pPr>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19、禁止新建、扩建不符合国家产能置换要求的严重过剩产行业项目。禁止新建、扩建不符合要求的高耗能高排放项目。</w:t>
                  </w:r>
                </w:p>
              </w:tc>
              <w:tc>
                <w:tcPr>
                  <w:tcW w:w="1425" w:type="dxa"/>
                  <w:noWrap w:val="0"/>
                  <w:tcMar>
                    <w:left w:w="28" w:type="dxa"/>
                    <w:right w:w="28" w:type="dxa"/>
                  </w:tcMar>
                  <w:vAlign w:val="center"/>
                </w:tcPr>
                <w:p w14:paraId="06CDC737">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本项目不属于产能过剩行业项目，不属于高耗能高排放项目</w:t>
                  </w:r>
                </w:p>
              </w:tc>
              <w:tc>
                <w:tcPr>
                  <w:tcW w:w="742" w:type="dxa"/>
                  <w:noWrap w:val="0"/>
                  <w:tcMar>
                    <w:left w:w="28" w:type="dxa"/>
                    <w:right w:w="28" w:type="dxa"/>
                  </w:tcMar>
                  <w:vAlign w:val="center"/>
                </w:tcPr>
                <w:p w14:paraId="3DA91466">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相符</w:t>
                  </w:r>
                </w:p>
              </w:tc>
            </w:tr>
          </w:tbl>
          <w:p w14:paraId="57C9FCBB">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rPr>
            </w:pPr>
            <w:r>
              <w:rPr>
                <w:rFonts w:hint="eastAsia" w:ascii="宋体" w:hAnsi="宋体" w:eastAsia="宋体" w:cs="宋体"/>
              </w:rPr>
              <w:t>本项目与《&lt;长江经济带发展负面清单指南（试行，2022年版）&gt;江苏省实施细则》（苏长江办发</w:t>
            </w:r>
            <w:r>
              <w:rPr>
                <w:rFonts w:hint="eastAsia" w:ascii="宋体" w:hAnsi="宋体" w:eastAsia="宋体" w:cs="宋体"/>
                <w:lang w:eastAsia="zh-CN"/>
              </w:rPr>
              <w:t>〔</w:t>
            </w:r>
            <w:r>
              <w:rPr>
                <w:rFonts w:hint="eastAsia" w:ascii="宋体" w:hAnsi="宋体" w:eastAsia="宋体" w:cs="宋体"/>
              </w:rPr>
              <w:t>2022</w:t>
            </w:r>
            <w:r>
              <w:rPr>
                <w:rFonts w:hint="eastAsia" w:ascii="宋体" w:hAnsi="宋体" w:eastAsia="宋体" w:cs="宋体"/>
                <w:lang w:eastAsia="zh-CN"/>
              </w:rPr>
              <w:t>〕</w:t>
            </w:r>
            <w:r>
              <w:rPr>
                <w:rFonts w:hint="eastAsia" w:ascii="宋体" w:hAnsi="宋体" w:eastAsia="宋体" w:cs="宋体"/>
              </w:rPr>
              <w:t>55号）相符。</w:t>
            </w:r>
          </w:p>
          <w:p w14:paraId="470D278D">
            <w:pPr>
              <w:pStyle w:val="80"/>
              <w:keepNext w:val="0"/>
              <w:keepLines w:val="0"/>
              <w:suppressLineNumbers w:val="0"/>
              <w:adjustRightInd w:val="0"/>
              <w:snapToGrid w:val="0"/>
              <w:spacing w:before="0" w:beforeAutospacing="0" w:after="0" w:afterAutospacing="0" w:line="360" w:lineRule="auto"/>
              <w:ind w:left="0" w:right="0" w:firstLine="0" w:firstLineChars="0"/>
              <w:rPr>
                <w:rFonts w:hint="eastAsia" w:ascii="宋体" w:hAnsi="宋体" w:eastAsia="宋体" w:cs="宋体"/>
                <w:b w:val="0"/>
                <w:bCs/>
              </w:rPr>
            </w:pPr>
            <w:r>
              <w:rPr>
                <w:rFonts w:hint="eastAsia" w:ascii="宋体" w:hAnsi="宋体" w:eastAsia="宋体" w:cs="宋体"/>
                <w:b w:val="0"/>
                <w:bCs/>
                <w:lang w:val="en-US" w:eastAsia="zh-CN"/>
              </w:rPr>
              <w:t>3</w:t>
            </w:r>
            <w:r>
              <w:rPr>
                <w:rFonts w:hint="eastAsia" w:ascii="宋体" w:hAnsi="宋体" w:eastAsia="宋体" w:cs="宋体"/>
                <w:b w:val="0"/>
                <w:bCs/>
              </w:rPr>
              <w:t>、与《重点行业挥发性有机物综合治理方案》（环大气</w:t>
            </w:r>
            <w:r>
              <w:rPr>
                <w:rFonts w:hint="eastAsia" w:ascii="宋体" w:hAnsi="宋体" w:eastAsia="宋体" w:cs="宋体"/>
                <w:b w:val="0"/>
                <w:bCs/>
                <w:lang w:eastAsia="zh-CN"/>
              </w:rPr>
              <w:t>〔</w:t>
            </w:r>
            <w:r>
              <w:rPr>
                <w:rFonts w:hint="eastAsia" w:ascii="宋体" w:hAnsi="宋体" w:eastAsia="宋体" w:cs="宋体"/>
                <w:b w:val="0"/>
                <w:bCs/>
              </w:rPr>
              <w:t>2019</w:t>
            </w:r>
            <w:r>
              <w:rPr>
                <w:rFonts w:hint="eastAsia" w:ascii="宋体" w:hAnsi="宋体" w:eastAsia="宋体" w:cs="宋体"/>
                <w:b w:val="0"/>
                <w:bCs/>
                <w:lang w:eastAsia="zh-CN"/>
              </w:rPr>
              <w:t>〕</w:t>
            </w:r>
            <w:r>
              <w:rPr>
                <w:rFonts w:hint="eastAsia" w:ascii="宋体" w:hAnsi="宋体" w:eastAsia="宋体" w:cs="宋体"/>
                <w:b w:val="0"/>
                <w:bCs/>
              </w:rPr>
              <w:t>53号）相符性</w:t>
            </w:r>
          </w:p>
          <w:p w14:paraId="3EBABF04">
            <w:pPr>
              <w:pStyle w:val="56"/>
              <w:keepNext w:val="0"/>
              <w:keepLines w:val="0"/>
              <w:suppressLineNumbers w:val="0"/>
              <w:adjustRightInd w:val="0"/>
              <w:snapToGrid w:val="0"/>
              <w:spacing w:before="48" w:beforeAutospacing="0" w:after="0" w:afterAutospacing="0" w:line="360" w:lineRule="auto"/>
              <w:ind w:left="0" w:right="0"/>
              <w:rPr>
                <w:rFonts w:hint="eastAsia" w:ascii="宋体" w:hAnsi="宋体" w:eastAsia="宋体" w:cs="宋体"/>
                <w:b w:val="0"/>
                <w:bCs/>
              </w:rPr>
            </w:pPr>
            <w:r>
              <w:rPr>
                <w:rFonts w:hint="eastAsia" w:ascii="宋体" w:hAnsi="宋体" w:eastAsia="宋体" w:cs="宋体"/>
                <w:b/>
                <w:bCs w:val="0"/>
              </w:rPr>
              <w:t>表1-</w:t>
            </w:r>
            <w:r>
              <w:rPr>
                <w:rFonts w:hint="eastAsia" w:ascii="宋体" w:hAnsi="宋体" w:eastAsia="宋体" w:cs="宋体"/>
                <w:b/>
                <w:bCs w:val="0"/>
                <w:lang w:val="en-US" w:eastAsia="zh-CN"/>
              </w:rPr>
              <w:t>6</w:t>
            </w:r>
            <w:r>
              <w:rPr>
                <w:rFonts w:hint="eastAsia" w:ascii="宋体" w:hAnsi="宋体" w:eastAsia="宋体" w:cs="宋体"/>
                <w:b/>
                <w:bCs w:val="0"/>
              </w:rPr>
              <w:t xml:space="preserve">  与《重点行业挥发性有机物综合治理方案》相符性分析</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0" w:type="dxa"/>
                <w:bottom w:w="0" w:type="dxa"/>
                <w:right w:w="20" w:type="dxa"/>
              </w:tblCellMar>
            </w:tblPr>
            <w:tblGrid>
              <w:gridCol w:w="3681"/>
              <w:gridCol w:w="2377"/>
              <w:gridCol w:w="741"/>
            </w:tblGrid>
            <w:tr w14:paraId="7A4E3D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0" w:type="dxa"/>
                  <w:bottom w:w="0" w:type="dxa"/>
                  <w:right w:w="20" w:type="dxa"/>
                </w:tblCellMar>
              </w:tblPrEx>
              <w:trPr>
                <w:trHeight w:val="340" w:hRule="atLeast"/>
                <w:jc w:val="center"/>
              </w:trPr>
              <w:tc>
                <w:tcPr>
                  <w:tcW w:w="2706" w:type="pct"/>
                  <w:noWrap w:val="0"/>
                  <w:vAlign w:val="center"/>
                </w:tcPr>
                <w:p w14:paraId="25ED6036">
                  <w:pPr>
                    <w:keepNext w:val="0"/>
                    <w:keepLines w:val="0"/>
                    <w:suppressLineNumbers w:val="0"/>
                    <w:spacing w:before="0" w:beforeAutospacing="0" w:after="0" w:afterAutospacing="0" w:line="240" w:lineRule="auto"/>
                    <w:ind w:left="0" w:right="0"/>
                    <w:jc w:val="center"/>
                    <w:rPr>
                      <w:rFonts w:hint="eastAsia" w:ascii="宋体" w:hAnsi="宋体" w:eastAsia="宋体" w:cs="宋体"/>
                      <w:bCs/>
                      <w:sz w:val="21"/>
                      <w:szCs w:val="21"/>
                    </w:rPr>
                  </w:pPr>
                  <w:r>
                    <w:rPr>
                      <w:rFonts w:hint="eastAsia" w:ascii="宋体" w:hAnsi="宋体" w:eastAsia="宋体" w:cs="宋体"/>
                      <w:bCs/>
                      <w:sz w:val="21"/>
                      <w:szCs w:val="21"/>
                    </w:rPr>
                    <w:t>方案要求</w:t>
                  </w:r>
                </w:p>
              </w:tc>
              <w:tc>
                <w:tcPr>
                  <w:tcW w:w="1747" w:type="pct"/>
                  <w:noWrap w:val="0"/>
                  <w:vAlign w:val="center"/>
                </w:tcPr>
                <w:p w14:paraId="34B58C29">
                  <w:pPr>
                    <w:keepNext w:val="0"/>
                    <w:keepLines w:val="0"/>
                    <w:suppressLineNumbers w:val="0"/>
                    <w:spacing w:before="0" w:beforeAutospacing="0" w:after="0" w:afterAutospacing="0" w:line="240" w:lineRule="auto"/>
                    <w:ind w:left="0" w:right="0"/>
                    <w:jc w:val="center"/>
                    <w:rPr>
                      <w:rFonts w:hint="eastAsia" w:ascii="宋体" w:hAnsi="宋体" w:eastAsia="宋体" w:cs="宋体"/>
                      <w:bCs/>
                      <w:sz w:val="21"/>
                      <w:szCs w:val="21"/>
                    </w:rPr>
                  </w:pPr>
                  <w:r>
                    <w:rPr>
                      <w:rFonts w:hint="eastAsia" w:ascii="宋体" w:hAnsi="宋体" w:eastAsia="宋体" w:cs="宋体"/>
                      <w:bCs/>
                      <w:sz w:val="21"/>
                      <w:szCs w:val="21"/>
                    </w:rPr>
                    <w:t>本项目情况</w:t>
                  </w:r>
                </w:p>
              </w:tc>
              <w:tc>
                <w:tcPr>
                  <w:tcW w:w="545" w:type="pct"/>
                  <w:noWrap w:val="0"/>
                  <w:vAlign w:val="center"/>
                </w:tcPr>
                <w:p w14:paraId="3C93E7FB">
                  <w:pPr>
                    <w:keepNext w:val="0"/>
                    <w:keepLines w:val="0"/>
                    <w:suppressLineNumbers w:val="0"/>
                    <w:spacing w:before="0" w:beforeAutospacing="0" w:after="0" w:afterAutospacing="0" w:line="240" w:lineRule="auto"/>
                    <w:ind w:left="0" w:right="0"/>
                    <w:jc w:val="center"/>
                    <w:rPr>
                      <w:rFonts w:hint="eastAsia" w:ascii="宋体" w:hAnsi="宋体" w:eastAsia="宋体" w:cs="宋体"/>
                      <w:bCs/>
                      <w:sz w:val="21"/>
                      <w:szCs w:val="21"/>
                    </w:rPr>
                  </w:pPr>
                  <w:r>
                    <w:rPr>
                      <w:rFonts w:hint="eastAsia" w:ascii="宋体" w:hAnsi="宋体" w:eastAsia="宋体" w:cs="宋体"/>
                      <w:bCs/>
                      <w:sz w:val="21"/>
                      <w:szCs w:val="21"/>
                    </w:rPr>
                    <w:t>相符性</w:t>
                  </w:r>
                </w:p>
              </w:tc>
            </w:tr>
            <w:tr w14:paraId="4C29D6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0" w:type="dxa"/>
                  <w:bottom w:w="0" w:type="dxa"/>
                  <w:right w:w="20" w:type="dxa"/>
                </w:tblCellMar>
              </w:tblPrEx>
              <w:trPr>
                <w:trHeight w:val="340" w:hRule="atLeast"/>
                <w:jc w:val="center"/>
              </w:trPr>
              <w:tc>
                <w:tcPr>
                  <w:tcW w:w="2706" w:type="pct"/>
                  <w:noWrap w:val="0"/>
                  <w:vAlign w:val="center"/>
                </w:tcPr>
                <w:p w14:paraId="56E5C84A">
                  <w:pPr>
                    <w:keepNext w:val="0"/>
                    <w:keepLines w:val="0"/>
                    <w:suppressLineNumbers w:val="0"/>
                    <w:spacing w:before="0" w:beforeAutospacing="0" w:after="0" w:afterAutospacing="0" w:line="240" w:lineRule="auto"/>
                    <w:ind w:left="0" w:right="0"/>
                    <w:jc w:val="center"/>
                    <w:rPr>
                      <w:rFonts w:hint="eastAsia" w:ascii="宋体" w:hAnsi="宋体" w:eastAsia="宋体" w:cs="宋体"/>
                      <w:bCs/>
                      <w:sz w:val="21"/>
                      <w:szCs w:val="21"/>
                    </w:rPr>
                  </w:pPr>
                  <w:r>
                    <w:rPr>
                      <w:rFonts w:hint="eastAsia" w:ascii="宋体" w:hAnsi="宋体" w:eastAsia="宋体" w:cs="宋体"/>
                      <w:bCs/>
                      <w:sz w:val="21"/>
                      <w:szCs w:val="21"/>
                    </w:rPr>
                    <w:t>(一）大力推进源头替代。通过使用水性、粉末、高固体分、无溶剂、辐射固化等低 VOCs含量的涂料，水性、辐射固化、植物基等低 VOCs含量的油墨，水基、热熔、无溶剂、辐射固化、改性、生物降解等低 VOCs含量的胶粘剂，以及低VOCs含量、低反应活性的清洗剂等，替代溶剂型涂料、油墨、胶粘剂、清洗剂等，从源头减少VOCs产生。</w:t>
                  </w:r>
                </w:p>
              </w:tc>
              <w:tc>
                <w:tcPr>
                  <w:tcW w:w="1747" w:type="pct"/>
                  <w:noWrap w:val="0"/>
                  <w:vAlign w:val="center"/>
                </w:tcPr>
                <w:p w14:paraId="797D1B40">
                  <w:pPr>
                    <w:keepNext w:val="0"/>
                    <w:keepLines w:val="0"/>
                    <w:suppressLineNumbers w:val="0"/>
                    <w:spacing w:before="0" w:beforeAutospacing="0" w:after="0" w:afterAutospacing="0" w:line="240" w:lineRule="auto"/>
                    <w:ind w:left="0" w:right="0"/>
                    <w:jc w:val="center"/>
                    <w:rPr>
                      <w:rFonts w:hint="eastAsia" w:ascii="宋体" w:hAnsi="宋体" w:eastAsia="宋体" w:cs="宋体"/>
                      <w:bCs/>
                      <w:sz w:val="21"/>
                      <w:szCs w:val="21"/>
                    </w:rPr>
                  </w:pPr>
                  <w:r>
                    <w:rPr>
                      <w:rFonts w:hint="eastAsia" w:ascii="宋体" w:hAnsi="宋体" w:eastAsia="宋体" w:cs="宋体"/>
                      <w:bCs/>
                      <w:sz w:val="21"/>
                      <w:szCs w:val="21"/>
                    </w:rPr>
                    <w:t>本项目采用</w:t>
                  </w:r>
                  <w:r>
                    <w:rPr>
                      <w:rFonts w:hint="eastAsia" w:ascii="宋体" w:hAnsi="宋体" w:eastAsia="宋体" w:cs="宋体"/>
                      <w:bCs/>
                      <w:sz w:val="21"/>
                      <w:szCs w:val="21"/>
                      <w:lang w:val="en-US" w:eastAsia="zh-CN"/>
                    </w:rPr>
                    <w:t>粉末</w:t>
                  </w:r>
                  <w:r>
                    <w:rPr>
                      <w:rFonts w:hint="eastAsia" w:ascii="宋体" w:hAnsi="宋体" w:eastAsia="宋体" w:cs="宋体"/>
                      <w:bCs/>
                      <w:sz w:val="21"/>
                      <w:szCs w:val="21"/>
                    </w:rPr>
                    <w:t>涂料，属于低VOCs含量的涂料。</w:t>
                  </w:r>
                </w:p>
              </w:tc>
              <w:tc>
                <w:tcPr>
                  <w:tcW w:w="545" w:type="pct"/>
                  <w:noWrap w:val="0"/>
                  <w:vAlign w:val="center"/>
                </w:tcPr>
                <w:p w14:paraId="5A92592A">
                  <w:pPr>
                    <w:keepNext w:val="0"/>
                    <w:keepLines w:val="0"/>
                    <w:suppressLineNumbers w:val="0"/>
                    <w:spacing w:before="0" w:beforeAutospacing="0" w:after="0" w:afterAutospacing="0" w:line="240" w:lineRule="auto"/>
                    <w:ind w:left="0" w:right="0"/>
                    <w:jc w:val="center"/>
                    <w:rPr>
                      <w:rFonts w:hint="eastAsia" w:ascii="宋体" w:hAnsi="宋体" w:eastAsia="宋体" w:cs="宋体"/>
                      <w:bCs/>
                      <w:sz w:val="21"/>
                      <w:szCs w:val="21"/>
                    </w:rPr>
                  </w:pPr>
                  <w:r>
                    <w:rPr>
                      <w:rFonts w:hint="eastAsia" w:ascii="宋体" w:hAnsi="宋体" w:eastAsia="宋体" w:cs="宋体"/>
                      <w:bCs/>
                      <w:sz w:val="21"/>
                      <w:szCs w:val="21"/>
                    </w:rPr>
                    <w:t>相符</w:t>
                  </w:r>
                </w:p>
              </w:tc>
            </w:tr>
            <w:tr w14:paraId="640573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0" w:type="dxa"/>
                  <w:bottom w:w="0" w:type="dxa"/>
                  <w:right w:w="20" w:type="dxa"/>
                </w:tblCellMar>
              </w:tblPrEx>
              <w:trPr>
                <w:trHeight w:val="340" w:hRule="atLeast"/>
                <w:jc w:val="center"/>
              </w:trPr>
              <w:tc>
                <w:tcPr>
                  <w:tcW w:w="2706" w:type="pct"/>
                  <w:noWrap w:val="0"/>
                  <w:vAlign w:val="center"/>
                </w:tcPr>
                <w:p w14:paraId="7C08FA21">
                  <w:pPr>
                    <w:keepNext w:val="0"/>
                    <w:keepLines w:val="0"/>
                    <w:suppressLineNumbers w:val="0"/>
                    <w:spacing w:before="0" w:beforeAutospacing="0" w:after="0" w:afterAutospacing="0" w:line="240" w:lineRule="auto"/>
                    <w:ind w:left="0" w:right="0"/>
                    <w:jc w:val="center"/>
                    <w:rPr>
                      <w:rFonts w:hint="eastAsia" w:ascii="宋体" w:hAnsi="宋体" w:eastAsia="宋体" w:cs="宋体"/>
                      <w:bCs/>
                      <w:sz w:val="21"/>
                      <w:szCs w:val="21"/>
                    </w:rPr>
                  </w:pPr>
                  <w:r>
                    <w:rPr>
                      <w:rFonts w:hint="eastAsia" w:ascii="宋体" w:hAnsi="宋体" w:eastAsia="宋体" w:cs="宋体"/>
                      <w:bCs/>
                      <w:sz w:val="21"/>
                      <w:szCs w:val="21"/>
                    </w:rPr>
                    <w:t>(二）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tc>
              <w:tc>
                <w:tcPr>
                  <w:tcW w:w="1747" w:type="pct"/>
                  <w:noWrap w:val="0"/>
                  <w:vAlign w:val="center"/>
                </w:tcPr>
                <w:p w14:paraId="19A1F076">
                  <w:pPr>
                    <w:keepNext w:val="0"/>
                    <w:keepLines w:val="0"/>
                    <w:suppressLineNumbers w:val="0"/>
                    <w:spacing w:before="0" w:beforeAutospacing="0" w:after="0" w:afterAutospacing="0" w:line="240" w:lineRule="auto"/>
                    <w:ind w:left="0" w:right="0"/>
                    <w:jc w:val="center"/>
                    <w:rPr>
                      <w:rFonts w:hint="eastAsia" w:ascii="宋体" w:hAnsi="宋体" w:eastAsia="宋体" w:cs="宋体"/>
                      <w:bCs/>
                      <w:sz w:val="21"/>
                      <w:szCs w:val="21"/>
                    </w:rPr>
                  </w:pPr>
                  <w:r>
                    <w:rPr>
                      <w:rFonts w:hint="eastAsia" w:ascii="宋体" w:hAnsi="宋体" w:eastAsia="宋体" w:cs="宋体"/>
                      <w:bCs/>
                      <w:sz w:val="21"/>
                      <w:szCs w:val="21"/>
                    </w:rPr>
                    <w:t>本项目</w:t>
                  </w:r>
                  <w:r>
                    <w:rPr>
                      <w:rFonts w:hint="eastAsia" w:ascii="宋体" w:hAnsi="宋体" w:eastAsia="宋体" w:cs="宋体"/>
                      <w:bCs/>
                      <w:sz w:val="21"/>
                      <w:szCs w:val="21"/>
                      <w:lang w:val="en-US" w:eastAsia="zh-CN"/>
                    </w:rPr>
                    <w:t>固化</w:t>
                  </w:r>
                  <w:r>
                    <w:rPr>
                      <w:rFonts w:hint="eastAsia" w:ascii="宋体" w:hAnsi="宋体" w:eastAsia="宋体" w:cs="宋体"/>
                      <w:bCs/>
                      <w:sz w:val="21"/>
                      <w:szCs w:val="21"/>
                    </w:rPr>
                    <w:t>产生的有机废气经过</w:t>
                  </w:r>
                  <w:r>
                    <w:rPr>
                      <w:rFonts w:hint="eastAsia" w:ascii="宋体" w:hAnsi="宋体" w:eastAsia="宋体" w:cs="宋体"/>
                      <w:bCs/>
                      <w:sz w:val="21"/>
                      <w:szCs w:val="21"/>
                      <w:lang w:val="en-US" w:eastAsia="zh-CN"/>
                    </w:rPr>
                    <w:t>水喷淋+</w:t>
                  </w:r>
                  <w:r>
                    <w:rPr>
                      <w:rFonts w:hint="eastAsia" w:ascii="宋体" w:hAnsi="宋体" w:eastAsia="宋体" w:cs="宋体"/>
                      <w:bCs/>
                      <w:sz w:val="21"/>
                      <w:szCs w:val="21"/>
                    </w:rPr>
                    <w:t>二级活性炭吸附处理达标后高空排放。本项目采用废气处理设施尽可能减少挥发性有机物排放。</w:t>
                  </w:r>
                </w:p>
              </w:tc>
              <w:tc>
                <w:tcPr>
                  <w:tcW w:w="545" w:type="pct"/>
                  <w:noWrap w:val="0"/>
                  <w:vAlign w:val="center"/>
                </w:tcPr>
                <w:p w14:paraId="14020ECE">
                  <w:pPr>
                    <w:keepNext w:val="0"/>
                    <w:keepLines w:val="0"/>
                    <w:suppressLineNumbers w:val="0"/>
                    <w:spacing w:before="0" w:beforeAutospacing="0" w:after="0" w:afterAutospacing="0" w:line="240" w:lineRule="auto"/>
                    <w:ind w:left="0" w:right="0"/>
                    <w:jc w:val="center"/>
                    <w:rPr>
                      <w:rFonts w:hint="eastAsia" w:ascii="宋体" w:hAnsi="宋体" w:eastAsia="宋体" w:cs="宋体"/>
                      <w:bCs/>
                      <w:sz w:val="21"/>
                      <w:szCs w:val="21"/>
                    </w:rPr>
                  </w:pPr>
                  <w:r>
                    <w:rPr>
                      <w:rFonts w:hint="eastAsia" w:ascii="宋体" w:hAnsi="宋体" w:eastAsia="宋体" w:cs="宋体"/>
                      <w:bCs/>
                      <w:sz w:val="21"/>
                      <w:szCs w:val="21"/>
                    </w:rPr>
                    <w:t>相符</w:t>
                  </w:r>
                </w:p>
              </w:tc>
            </w:tr>
            <w:tr w14:paraId="1A2F9E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0" w:type="dxa"/>
                  <w:bottom w:w="0" w:type="dxa"/>
                  <w:right w:w="20" w:type="dxa"/>
                </w:tblCellMar>
              </w:tblPrEx>
              <w:trPr>
                <w:trHeight w:val="340" w:hRule="atLeast"/>
                <w:jc w:val="center"/>
              </w:trPr>
              <w:tc>
                <w:tcPr>
                  <w:tcW w:w="2706" w:type="pct"/>
                  <w:noWrap w:val="0"/>
                  <w:vAlign w:val="center"/>
                </w:tcPr>
                <w:p w14:paraId="10264659">
                  <w:pPr>
                    <w:keepNext w:val="0"/>
                    <w:keepLines w:val="0"/>
                    <w:suppressLineNumbers w:val="0"/>
                    <w:tabs>
                      <w:tab w:val="left" w:pos="1054"/>
                      <w:tab w:val="left" w:pos="1234"/>
                    </w:tabs>
                    <w:spacing w:before="0" w:beforeAutospacing="0" w:after="0" w:afterAutospacing="0" w:line="240" w:lineRule="auto"/>
                    <w:ind w:left="0" w:right="0"/>
                    <w:rPr>
                      <w:rFonts w:hint="eastAsia" w:ascii="宋体" w:hAnsi="宋体" w:eastAsia="宋体" w:cs="宋体"/>
                      <w:bCs/>
                      <w:sz w:val="21"/>
                      <w:szCs w:val="21"/>
                    </w:rPr>
                  </w:pPr>
                  <w:r>
                    <w:rPr>
                      <w:rFonts w:hint="eastAsia" w:ascii="宋体" w:hAnsi="宋体" w:eastAsia="宋体" w:cs="宋体"/>
                      <w:bCs/>
                      <w:sz w:val="21"/>
                      <w:szCs w:val="21"/>
                    </w:rPr>
                    <w:t>(三)工业涂装VOCs综合治理。加大汽车、家具、集装箱、电子产品、工程机械等行业VOCs治理力度，重点区域应结合本地产业特征，加快实施其他行业涂装 VOCs 综合治理。强化源头控制，加快使用粉末、水性、高固体分、辐射固化等低VOCs含量的涂料替代溶剂型涂料。重点区域汽车制造底漆大力推广使用水性涂料，乘用车中涂、色漆大力推广使用高固体分或水性涂料，加快客车、货车等中涂、色漆改造。钢制集装箱制造在箱内、箱外、木地板涂装等工序大力推广使用水性涂料，在确保防腐蚀功能的前提下，加快推进特种集装箱采用水性涂料。木质家具制造大力推广使用水性、辐射固化、粉末等涂料和水性胶粘剂；金属家具制造大力推广使用粉末涂料﹔软体家具制造大力推广使用水性胶粘剂。工程机械制造大力推广使用水性、粉末和高固体分涂料。电子产品制造推广使用粉末、水性、辐射固化等涂料。</w:t>
                  </w:r>
                </w:p>
              </w:tc>
              <w:tc>
                <w:tcPr>
                  <w:tcW w:w="1747" w:type="pct"/>
                  <w:noWrap w:val="0"/>
                  <w:vAlign w:val="center"/>
                </w:tcPr>
                <w:p w14:paraId="4C874454">
                  <w:pPr>
                    <w:keepNext w:val="0"/>
                    <w:keepLines w:val="0"/>
                    <w:suppressLineNumbers w:val="0"/>
                    <w:tabs>
                      <w:tab w:val="left" w:pos="1054"/>
                      <w:tab w:val="left" w:pos="1234"/>
                    </w:tabs>
                    <w:spacing w:before="0" w:beforeAutospacing="0" w:after="0" w:afterAutospacing="0" w:line="240" w:lineRule="auto"/>
                    <w:ind w:left="0" w:right="0"/>
                    <w:rPr>
                      <w:rFonts w:hint="eastAsia" w:ascii="宋体" w:hAnsi="宋体" w:eastAsia="宋体" w:cs="宋体"/>
                      <w:bCs/>
                      <w:sz w:val="21"/>
                      <w:szCs w:val="21"/>
                    </w:rPr>
                  </w:pPr>
                  <w:r>
                    <w:rPr>
                      <w:rFonts w:hint="eastAsia" w:ascii="宋体" w:hAnsi="宋体" w:eastAsia="宋体" w:cs="宋体"/>
                      <w:bCs/>
                      <w:sz w:val="21"/>
                      <w:szCs w:val="21"/>
                    </w:rPr>
                    <w:t>本项目涂装采用</w:t>
                  </w:r>
                  <w:r>
                    <w:rPr>
                      <w:rFonts w:hint="eastAsia" w:ascii="宋体" w:hAnsi="宋体" w:eastAsia="宋体" w:cs="宋体"/>
                      <w:bCs/>
                      <w:sz w:val="21"/>
                      <w:szCs w:val="21"/>
                      <w:lang w:val="en-US" w:eastAsia="zh-CN"/>
                    </w:rPr>
                    <w:t>粉末</w:t>
                  </w:r>
                  <w:r>
                    <w:rPr>
                      <w:rFonts w:hint="eastAsia" w:ascii="宋体" w:hAnsi="宋体" w:eastAsia="宋体" w:cs="宋体"/>
                      <w:bCs/>
                      <w:sz w:val="21"/>
                      <w:szCs w:val="21"/>
                    </w:rPr>
                    <w:t>涂料，属于低 VOCs含量的涂料。</w:t>
                  </w:r>
                </w:p>
              </w:tc>
              <w:tc>
                <w:tcPr>
                  <w:tcW w:w="545" w:type="pct"/>
                  <w:noWrap w:val="0"/>
                  <w:vAlign w:val="center"/>
                </w:tcPr>
                <w:p w14:paraId="09A6E7C1">
                  <w:pPr>
                    <w:keepNext w:val="0"/>
                    <w:keepLines w:val="0"/>
                    <w:suppressLineNumbers w:val="0"/>
                    <w:spacing w:before="0" w:beforeAutospacing="0" w:after="0" w:afterAutospacing="0" w:line="240" w:lineRule="auto"/>
                    <w:ind w:left="0" w:right="0"/>
                    <w:jc w:val="center"/>
                    <w:rPr>
                      <w:rFonts w:hint="eastAsia" w:ascii="宋体" w:hAnsi="宋体" w:eastAsia="宋体" w:cs="宋体"/>
                      <w:bCs/>
                      <w:sz w:val="21"/>
                      <w:szCs w:val="21"/>
                    </w:rPr>
                  </w:pPr>
                  <w:r>
                    <w:rPr>
                      <w:rFonts w:hint="eastAsia" w:ascii="宋体" w:hAnsi="宋体" w:eastAsia="宋体" w:cs="宋体"/>
                      <w:bCs/>
                      <w:sz w:val="21"/>
                      <w:szCs w:val="21"/>
                    </w:rPr>
                    <w:t>相符</w:t>
                  </w:r>
                </w:p>
              </w:tc>
            </w:tr>
          </w:tbl>
          <w:p w14:paraId="07DEB20F">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bCs/>
              </w:rPr>
            </w:pPr>
            <w:r>
              <w:rPr>
                <w:rFonts w:hint="eastAsia" w:ascii="宋体" w:hAnsi="宋体" w:eastAsia="宋体" w:cs="宋体"/>
                <w:bCs/>
              </w:rPr>
              <w:t>由以上分析可知，本项目符合《重点行业挥发性有机物综合治理方案》（环大气</w:t>
            </w:r>
            <w:r>
              <w:rPr>
                <w:rFonts w:hint="eastAsia" w:ascii="宋体" w:hAnsi="宋体" w:eastAsia="宋体" w:cs="宋体"/>
                <w:bCs/>
                <w:lang w:eastAsia="zh-CN"/>
              </w:rPr>
              <w:t>〔</w:t>
            </w:r>
            <w:r>
              <w:rPr>
                <w:rFonts w:hint="eastAsia" w:ascii="宋体" w:hAnsi="宋体" w:eastAsia="宋体" w:cs="宋体"/>
                <w:bCs/>
              </w:rPr>
              <w:t>2019</w:t>
            </w:r>
            <w:r>
              <w:rPr>
                <w:rFonts w:hint="eastAsia" w:ascii="宋体" w:hAnsi="宋体" w:eastAsia="宋体" w:cs="宋体"/>
                <w:bCs/>
                <w:lang w:eastAsia="zh-CN"/>
              </w:rPr>
              <w:t>〕</w:t>
            </w:r>
            <w:r>
              <w:rPr>
                <w:rFonts w:hint="eastAsia" w:ascii="宋体" w:hAnsi="宋体" w:eastAsia="宋体" w:cs="宋体"/>
                <w:bCs/>
              </w:rPr>
              <w:t>53号）相关要求。</w:t>
            </w:r>
          </w:p>
          <w:p w14:paraId="57B00232">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rightChars="0"/>
              <w:jc w:val="both"/>
              <w:textAlignment w:val="baseline"/>
              <w:rPr>
                <w:rFonts w:hint="eastAsia" w:ascii="宋体" w:hAnsi="宋体" w:eastAsia="宋体" w:cs="宋体"/>
                <w:b w:val="0"/>
                <w:bCs/>
                <w:color w:val="auto"/>
                <w:sz w:val="24"/>
                <w:szCs w:val="24"/>
              </w:rPr>
            </w:pPr>
            <w:r>
              <w:rPr>
                <w:rFonts w:hint="eastAsia" w:ascii="宋体" w:hAnsi="宋体" w:eastAsia="宋体" w:cs="宋体"/>
                <w:b w:val="0"/>
                <w:bCs/>
                <w:lang w:val="en-US" w:eastAsia="zh-CN"/>
              </w:rPr>
              <w:t>4</w:t>
            </w:r>
            <w:r>
              <w:rPr>
                <w:rFonts w:hint="eastAsia" w:ascii="宋体" w:hAnsi="宋体" w:eastAsia="宋体" w:cs="宋体"/>
                <w:b w:val="0"/>
                <w:bCs/>
              </w:rPr>
              <w:t>、</w:t>
            </w:r>
            <w:r>
              <w:rPr>
                <w:rFonts w:hint="eastAsia" w:ascii="宋体" w:hAnsi="宋体" w:eastAsia="宋体" w:cs="宋体"/>
                <w:b w:val="0"/>
                <w:bCs/>
                <w:color w:val="auto"/>
                <w:sz w:val="24"/>
                <w:szCs w:val="24"/>
              </w:rPr>
              <w:t>与危险废物相关环保政策的相符分析</w:t>
            </w:r>
          </w:p>
          <w:p w14:paraId="245200CC">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rightChars="0"/>
              <w:jc w:val="left"/>
              <w:textAlignment w:val="baseline"/>
              <w:rPr>
                <w:rFonts w:hint="eastAsia" w:ascii="宋体" w:hAnsi="宋体" w:eastAsia="宋体" w:cs="宋体"/>
                <w:b/>
                <w:bCs/>
                <w:color w:val="auto"/>
                <w:sz w:val="24"/>
                <w:szCs w:val="24"/>
              </w:rPr>
            </w:pP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本项目符合《江苏省固体废物全过程环境监管工作意见》</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苏环办〔2024〕16 号）、《省生态环境厅关于进一步加强危险废物环境管理工作的通知》（苏环办〔2021〕207 号）、《危险废物管理计划和管理台账制定技术导则》（HJ1259-2022）文件中的有关要求，与这些文件的相符性分析详见表1-</w:t>
            </w:r>
            <w:r>
              <w:rPr>
                <w:rFonts w:hint="eastAsia" w:ascii="宋体" w:hAnsi="宋体" w:eastAsia="宋体" w:cs="宋体"/>
                <w:b w:val="0"/>
                <w:bCs w:val="0"/>
                <w:color w:val="auto"/>
                <w:sz w:val="24"/>
                <w:szCs w:val="24"/>
                <w:lang w:val="en-US" w:eastAsia="zh-CN"/>
              </w:rPr>
              <w:t>7</w:t>
            </w:r>
            <w:r>
              <w:rPr>
                <w:rFonts w:hint="eastAsia" w:ascii="宋体" w:hAnsi="宋体" w:eastAsia="宋体" w:cs="宋体"/>
                <w:b w:val="0"/>
                <w:bCs w:val="0"/>
                <w:color w:val="auto"/>
                <w:sz w:val="24"/>
                <w:szCs w:val="24"/>
              </w:rPr>
              <w:t>。</w:t>
            </w:r>
          </w:p>
          <w:p w14:paraId="4D482D0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rightChars="0"/>
              <w:jc w:val="center"/>
              <w:textAlignment w:val="baseline"/>
              <w:rPr>
                <w:rFonts w:hint="eastAsia" w:ascii="宋体" w:hAnsi="宋体" w:eastAsia="宋体" w:cs="宋体"/>
                <w:b/>
                <w:bCs/>
                <w:color w:val="auto"/>
                <w:spacing w:val="7"/>
                <w:sz w:val="24"/>
                <w:szCs w:val="24"/>
              </w:rPr>
            </w:pPr>
            <w:r>
              <w:rPr>
                <w:rFonts w:hint="eastAsia" w:ascii="宋体" w:hAnsi="宋体" w:eastAsia="宋体" w:cs="宋体"/>
                <w:b/>
                <w:bCs/>
                <w:color w:val="auto"/>
                <w:sz w:val="24"/>
                <w:szCs w:val="24"/>
              </w:rPr>
              <w:t>表 1-</w:t>
            </w:r>
            <w:r>
              <w:rPr>
                <w:rFonts w:hint="eastAsia" w:ascii="宋体" w:hAnsi="宋体" w:eastAsia="宋体" w:cs="宋体"/>
                <w:b/>
                <w:bCs/>
                <w:color w:val="auto"/>
                <w:sz w:val="24"/>
                <w:szCs w:val="24"/>
                <w:lang w:val="en-US" w:eastAsia="zh-CN"/>
              </w:rPr>
              <w:t>7</w:t>
            </w:r>
            <w:r>
              <w:rPr>
                <w:rFonts w:hint="eastAsia" w:ascii="宋体" w:hAnsi="宋体" w:eastAsia="宋体" w:cs="宋体"/>
                <w:b/>
                <w:bCs/>
                <w:color w:val="auto"/>
                <w:sz w:val="24"/>
                <w:szCs w:val="24"/>
              </w:rPr>
              <w:t xml:space="preserve">  与危险废物相关环保政策的相符性分析</w:t>
            </w:r>
          </w:p>
          <w:tbl>
            <w:tblPr>
              <w:tblStyle w:val="78"/>
              <w:tblW w:w="66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27"/>
              <w:gridCol w:w="3446"/>
              <w:gridCol w:w="2205"/>
            </w:tblGrid>
            <w:tr w14:paraId="41F19A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jc w:val="center"/>
              </w:trPr>
              <w:tc>
                <w:tcPr>
                  <w:tcW w:w="1027" w:type="dxa"/>
                  <w:tcBorders>
                    <w:top w:val="single" w:color="000000" w:sz="10" w:space="0"/>
                    <w:left w:val="nil"/>
                  </w:tcBorders>
                  <w:noWrap w:val="0"/>
                  <w:vAlign w:val="center"/>
                </w:tcPr>
                <w:p w14:paraId="2A90F16A">
                  <w:pPr>
                    <w:pStyle w:val="64"/>
                    <w:keepNext w:val="0"/>
                    <w:keepLines w:val="0"/>
                    <w:pageBreakBefore w:val="0"/>
                    <w:widowControl/>
                    <w:kinsoku w:val="0"/>
                    <w:wordWrap/>
                    <w:overflowPunct/>
                    <w:topLinePunct w:val="0"/>
                    <w:autoSpaceDE w:val="0"/>
                    <w:autoSpaceDN w:val="0"/>
                    <w:bidi w:val="0"/>
                    <w:adjustRightInd w:val="0"/>
                    <w:snapToGrid w:val="0"/>
                    <w:spacing w:line="240" w:lineRule="atLeast"/>
                    <w:ind w:left="0" w:right="0" w:firstLine="0"/>
                    <w:jc w:val="center"/>
                    <w:textAlignment w:val="baseline"/>
                    <w:rPr>
                      <w:rFonts w:hint="eastAsia" w:ascii="宋体" w:hAnsi="宋体" w:eastAsia="宋体" w:cs="宋体"/>
                      <w:b/>
                      <w:bCs/>
                      <w:sz w:val="21"/>
                      <w:szCs w:val="21"/>
                    </w:rPr>
                  </w:pPr>
                  <w:r>
                    <w:rPr>
                      <w:rFonts w:hint="eastAsia" w:ascii="宋体" w:hAnsi="宋体" w:eastAsia="宋体" w:cs="宋体"/>
                      <w:b/>
                      <w:bCs/>
                      <w:spacing w:val="6"/>
                      <w:sz w:val="21"/>
                      <w:szCs w:val="21"/>
                    </w:rPr>
                    <w:t>文件名称</w:t>
                  </w:r>
                </w:p>
              </w:tc>
              <w:tc>
                <w:tcPr>
                  <w:tcW w:w="3446" w:type="dxa"/>
                  <w:tcBorders>
                    <w:top w:val="single" w:color="000000" w:sz="10" w:space="0"/>
                  </w:tcBorders>
                  <w:noWrap w:val="0"/>
                  <w:vAlign w:val="center"/>
                </w:tcPr>
                <w:p w14:paraId="4B71BDEE">
                  <w:pPr>
                    <w:pStyle w:val="64"/>
                    <w:keepNext w:val="0"/>
                    <w:keepLines w:val="0"/>
                    <w:pageBreakBefore w:val="0"/>
                    <w:widowControl/>
                    <w:kinsoku w:val="0"/>
                    <w:wordWrap/>
                    <w:overflowPunct/>
                    <w:topLinePunct w:val="0"/>
                    <w:autoSpaceDE w:val="0"/>
                    <w:autoSpaceDN w:val="0"/>
                    <w:bidi w:val="0"/>
                    <w:adjustRightInd w:val="0"/>
                    <w:snapToGrid w:val="0"/>
                    <w:spacing w:line="240" w:lineRule="atLeast"/>
                    <w:ind w:left="0" w:right="0" w:firstLine="0"/>
                    <w:jc w:val="center"/>
                    <w:textAlignment w:val="baseline"/>
                    <w:rPr>
                      <w:rFonts w:hint="eastAsia" w:ascii="宋体" w:hAnsi="宋体" w:eastAsia="宋体" w:cs="宋体"/>
                      <w:b/>
                      <w:bCs/>
                      <w:sz w:val="21"/>
                      <w:szCs w:val="21"/>
                    </w:rPr>
                  </w:pPr>
                  <w:r>
                    <w:rPr>
                      <w:rFonts w:hint="eastAsia" w:ascii="宋体" w:hAnsi="宋体" w:eastAsia="宋体" w:cs="宋体"/>
                      <w:b/>
                      <w:bCs/>
                      <w:spacing w:val="7"/>
                      <w:sz w:val="21"/>
                      <w:szCs w:val="21"/>
                    </w:rPr>
                    <w:t>相关内容</w:t>
                  </w:r>
                </w:p>
              </w:tc>
              <w:tc>
                <w:tcPr>
                  <w:tcW w:w="2205" w:type="dxa"/>
                  <w:tcBorders>
                    <w:top w:val="single" w:color="000000" w:sz="10" w:space="0"/>
                    <w:right w:val="nil"/>
                  </w:tcBorders>
                  <w:noWrap w:val="0"/>
                  <w:vAlign w:val="center"/>
                </w:tcPr>
                <w:p w14:paraId="10820908">
                  <w:pPr>
                    <w:pStyle w:val="64"/>
                    <w:keepNext w:val="0"/>
                    <w:keepLines w:val="0"/>
                    <w:pageBreakBefore w:val="0"/>
                    <w:widowControl/>
                    <w:kinsoku w:val="0"/>
                    <w:wordWrap/>
                    <w:overflowPunct/>
                    <w:topLinePunct w:val="0"/>
                    <w:autoSpaceDE w:val="0"/>
                    <w:autoSpaceDN w:val="0"/>
                    <w:bidi w:val="0"/>
                    <w:adjustRightInd w:val="0"/>
                    <w:snapToGrid w:val="0"/>
                    <w:spacing w:line="240" w:lineRule="atLeast"/>
                    <w:ind w:left="0" w:right="0" w:firstLine="0"/>
                    <w:jc w:val="center"/>
                    <w:textAlignment w:val="baseline"/>
                    <w:rPr>
                      <w:rFonts w:hint="eastAsia" w:ascii="宋体" w:hAnsi="宋体" w:eastAsia="宋体" w:cs="宋体"/>
                      <w:b/>
                      <w:bCs/>
                      <w:sz w:val="21"/>
                      <w:szCs w:val="21"/>
                    </w:rPr>
                  </w:pPr>
                  <w:r>
                    <w:rPr>
                      <w:rFonts w:hint="eastAsia" w:ascii="宋体" w:hAnsi="宋体" w:eastAsia="宋体" w:cs="宋体"/>
                      <w:b/>
                      <w:bCs/>
                      <w:spacing w:val="8"/>
                      <w:sz w:val="21"/>
                      <w:szCs w:val="21"/>
                    </w:rPr>
                    <w:t>本项目情况及相符性</w:t>
                  </w:r>
                </w:p>
              </w:tc>
            </w:tr>
            <w:tr w14:paraId="703BFB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0" w:hRule="atLeast"/>
                <w:jc w:val="center"/>
              </w:trPr>
              <w:tc>
                <w:tcPr>
                  <w:tcW w:w="1027" w:type="dxa"/>
                  <w:vMerge w:val="restart"/>
                  <w:tcBorders>
                    <w:left w:val="nil"/>
                    <w:right w:val="single" w:color="000000" w:sz="2" w:space="0"/>
                  </w:tcBorders>
                  <w:noWrap w:val="0"/>
                  <w:vAlign w:val="center"/>
                </w:tcPr>
                <w:p w14:paraId="31B27C97">
                  <w:pPr>
                    <w:pStyle w:val="64"/>
                    <w:keepNext w:val="0"/>
                    <w:keepLines w:val="0"/>
                    <w:pageBreakBefore w:val="0"/>
                    <w:widowControl/>
                    <w:kinsoku w:val="0"/>
                    <w:wordWrap/>
                    <w:overflowPunct/>
                    <w:topLinePunct w:val="0"/>
                    <w:autoSpaceDE w:val="0"/>
                    <w:autoSpaceDN w:val="0"/>
                    <w:bidi w:val="0"/>
                    <w:adjustRightInd w:val="0"/>
                    <w:snapToGrid w:val="0"/>
                    <w:spacing w:line="240" w:lineRule="atLeast"/>
                    <w:ind w:left="0" w:right="0" w:firstLine="0"/>
                    <w:jc w:val="center"/>
                    <w:textAlignment w:val="baseline"/>
                    <w:rPr>
                      <w:rFonts w:hint="eastAsia" w:ascii="宋体" w:hAnsi="宋体" w:eastAsia="宋体" w:cs="宋体"/>
                      <w:sz w:val="21"/>
                      <w:szCs w:val="21"/>
                    </w:rPr>
                  </w:pPr>
                  <w:r>
                    <w:rPr>
                      <w:rFonts w:hint="eastAsia" w:ascii="宋体" w:hAnsi="宋体" w:eastAsia="宋体" w:cs="宋体"/>
                      <w:spacing w:val="6"/>
                      <w:sz w:val="21"/>
                      <w:szCs w:val="21"/>
                    </w:rPr>
                    <w:t>《江苏省</w:t>
                  </w:r>
                  <w:r>
                    <w:rPr>
                      <w:rFonts w:hint="eastAsia" w:ascii="宋体" w:hAnsi="宋体" w:eastAsia="宋体" w:cs="宋体"/>
                      <w:sz w:val="21"/>
                      <w:szCs w:val="21"/>
                    </w:rPr>
                    <w:t xml:space="preserve"> </w:t>
                  </w:r>
                  <w:r>
                    <w:rPr>
                      <w:rFonts w:hint="eastAsia" w:ascii="宋体" w:hAnsi="宋体" w:eastAsia="宋体" w:cs="宋体"/>
                      <w:spacing w:val="7"/>
                      <w:sz w:val="21"/>
                      <w:szCs w:val="21"/>
                    </w:rPr>
                    <w:t>固体废物</w:t>
                  </w:r>
                  <w:r>
                    <w:rPr>
                      <w:rFonts w:hint="eastAsia" w:ascii="宋体" w:hAnsi="宋体" w:eastAsia="宋体" w:cs="宋体"/>
                      <w:sz w:val="21"/>
                      <w:szCs w:val="21"/>
                    </w:rPr>
                    <w:t xml:space="preserve"> </w:t>
                  </w:r>
                  <w:r>
                    <w:rPr>
                      <w:rFonts w:hint="eastAsia" w:ascii="宋体" w:hAnsi="宋体" w:eastAsia="宋体" w:cs="宋体"/>
                      <w:spacing w:val="7"/>
                      <w:sz w:val="21"/>
                      <w:szCs w:val="21"/>
                    </w:rPr>
                    <w:t>全过程环</w:t>
                  </w:r>
                  <w:r>
                    <w:rPr>
                      <w:rFonts w:hint="eastAsia" w:ascii="宋体" w:hAnsi="宋体" w:eastAsia="宋体" w:cs="宋体"/>
                      <w:sz w:val="21"/>
                      <w:szCs w:val="21"/>
                    </w:rPr>
                    <w:t xml:space="preserve"> </w:t>
                  </w:r>
                  <w:r>
                    <w:rPr>
                      <w:rFonts w:hint="eastAsia" w:ascii="宋体" w:hAnsi="宋体" w:eastAsia="宋体" w:cs="宋体"/>
                      <w:spacing w:val="7"/>
                      <w:sz w:val="21"/>
                      <w:szCs w:val="21"/>
                    </w:rPr>
                    <w:t>境监管工</w:t>
                  </w:r>
                  <w:r>
                    <w:rPr>
                      <w:rFonts w:hint="eastAsia" w:ascii="宋体" w:hAnsi="宋体" w:eastAsia="宋体" w:cs="宋体"/>
                      <w:sz w:val="21"/>
                      <w:szCs w:val="21"/>
                    </w:rPr>
                    <w:t xml:space="preserve"> </w:t>
                  </w:r>
                  <w:r>
                    <w:rPr>
                      <w:rFonts w:hint="eastAsia" w:ascii="宋体" w:hAnsi="宋体" w:eastAsia="宋体" w:cs="宋体"/>
                      <w:spacing w:val="4"/>
                      <w:sz w:val="21"/>
                      <w:szCs w:val="21"/>
                    </w:rPr>
                    <w:t>作意见》</w:t>
                  </w:r>
                  <w:r>
                    <w:rPr>
                      <w:rFonts w:hint="eastAsia" w:ascii="宋体" w:hAnsi="宋体" w:eastAsia="宋体" w:cs="宋体"/>
                      <w:spacing w:val="7"/>
                      <w:sz w:val="21"/>
                      <w:szCs w:val="21"/>
                    </w:rPr>
                    <w:t>（苏环办</w:t>
                  </w:r>
                </w:p>
                <w:p w14:paraId="6A72A8B0">
                  <w:pPr>
                    <w:pStyle w:val="64"/>
                    <w:keepNext w:val="0"/>
                    <w:keepLines w:val="0"/>
                    <w:pageBreakBefore w:val="0"/>
                    <w:widowControl/>
                    <w:kinsoku w:val="0"/>
                    <w:wordWrap/>
                    <w:overflowPunct/>
                    <w:topLinePunct w:val="0"/>
                    <w:autoSpaceDE w:val="0"/>
                    <w:autoSpaceDN w:val="0"/>
                    <w:bidi w:val="0"/>
                    <w:adjustRightInd w:val="0"/>
                    <w:snapToGrid w:val="0"/>
                    <w:spacing w:line="240" w:lineRule="atLeast"/>
                    <w:ind w:left="0" w:right="0" w:firstLine="0"/>
                    <w:jc w:val="center"/>
                    <w:textAlignment w:val="baseline"/>
                    <w:rPr>
                      <w:rFonts w:hint="eastAsia" w:ascii="宋体" w:hAnsi="宋体" w:eastAsia="宋体" w:cs="宋体"/>
                      <w:sz w:val="21"/>
                      <w:szCs w:val="21"/>
                    </w:rPr>
                  </w:pPr>
                  <w:r>
                    <w:rPr>
                      <w:rFonts w:hint="eastAsia" w:ascii="宋体" w:hAnsi="宋体" w:eastAsia="宋体" w:cs="宋体"/>
                      <w:spacing w:val="3"/>
                      <w:sz w:val="21"/>
                      <w:szCs w:val="21"/>
                    </w:rPr>
                    <w:t>〔2024〕16</w:t>
                  </w:r>
                  <w:r>
                    <w:rPr>
                      <w:rFonts w:hint="eastAsia" w:ascii="宋体" w:hAnsi="宋体" w:eastAsia="宋体" w:cs="宋体"/>
                      <w:spacing w:val="2"/>
                      <w:sz w:val="21"/>
                      <w:szCs w:val="21"/>
                    </w:rPr>
                    <w:t xml:space="preserve"> </w:t>
                  </w:r>
                  <w:r>
                    <w:rPr>
                      <w:rFonts w:hint="eastAsia" w:ascii="宋体" w:hAnsi="宋体" w:eastAsia="宋体" w:cs="宋体"/>
                      <w:spacing w:val="-3"/>
                      <w:sz w:val="21"/>
                      <w:szCs w:val="21"/>
                    </w:rPr>
                    <w:t>号）</w:t>
                  </w:r>
                </w:p>
              </w:tc>
              <w:tc>
                <w:tcPr>
                  <w:tcW w:w="3446" w:type="dxa"/>
                  <w:noWrap w:val="0"/>
                  <w:vAlign w:val="center"/>
                </w:tcPr>
                <w:p w14:paraId="0FB70B57">
                  <w:pPr>
                    <w:pStyle w:val="64"/>
                    <w:keepNext w:val="0"/>
                    <w:keepLines w:val="0"/>
                    <w:pageBreakBefore w:val="0"/>
                    <w:widowControl/>
                    <w:kinsoku w:val="0"/>
                    <w:wordWrap/>
                    <w:overflowPunct/>
                    <w:topLinePunct w:val="0"/>
                    <w:autoSpaceDE w:val="0"/>
                    <w:autoSpaceDN w:val="0"/>
                    <w:bidi w:val="0"/>
                    <w:adjustRightInd w:val="0"/>
                    <w:snapToGrid w:val="0"/>
                    <w:spacing w:line="240" w:lineRule="atLeast"/>
                    <w:ind w:left="0" w:right="0" w:firstLine="0"/>
                    <w:jc w:val="center"/>
                    <w:textAlignment w:val="baseline"/>
                    <w:rPr>
                      <w:rFonts w:hint="eastAsia" w:ascii="宋体" w:hAnsi="宋体" w:eastAsia="宋体" w:cs="宋体"/>
                      <w:sz w:val="21"/>
                      <w:szCs w:val="21"/>
                    </w:rPr>
                  </w:pPr>
                  <w:r>
                    <w:rPr>
                      <w:rFonts w:hint="eastAsia" w:ascii="宋体" w:hAnsi="宋体" w:eastAsia="宋体" w:cs="宋体"/>
                      <w:spacing w:val="8"/>
                      <w:sz w:val="21"/>
                      <w:szCs w:val="21"/>
                    </w:rPr>
                    <w:t>二、严格过程控制</w:t>
                  </w:r>
                </w:p>
                <w:p w14:paraId="23A06917">
                  <w:pPr>
                    <w:pStyle w:val="64"/>
                    <w:keepNext w:val="0"/>
                    <w:keepLines w:val="0"/>
                    <w:pageBreakBefore w:val="0"/>
                    <w:widowControl/>
                    <w:kinsoku w:val="0"/>
                    <w:wordWrap/>
                    <w:overflowPunct/>
                    <w:topLinePunct w:val="0"/>
                    <w:autoSpaceDE w:val="0"/>
                    <w:autoSpaceDN w:val="0"/>
                    <w:bidi w:val="0"/>
                    <w:adjustRightInd w:val="0"/>
                    <w:snapToGrid w:val="0"/>
                    <w:spacing w:line="240" w:lineRule="atLeast"/>
                    <w:ind w:left="0" w:right="0" w:firstLine="0"/>
                    <w:jc w:val="left"/>
                    <w:textAlignment w:val="baseline"/>
                    <w:rPr>
                      <w:rFonts w:hint="eastAsia" w:ascii="宋体" w:hAnsi="宋体" w:eastAsia="宋体" w:cs="宋体"/>
                      <w:sz w:val="21"/>
                      <w:szCs w:val="21"/>
                    </w:rPr>
                  </w:pPr>
                  <w:r>
                    <w:rPr>
                      <w:rFonts w:hint="eastAsia" w:ascii="宋体" w:hAnsi="宋体" w:eastAsia="宋体" w:cs="宋体"/>
                      <w:spacing w:val="6"/>
                      <w:sz w:val="21"/>
                      <w:szCs w:val="21"/>
                    </w:rPr>
                    <w:t>6</w:t>
                  </w:r>
                  <w:r>
                    <w:rPr>
                      <w:rFonts w:hint="eastAsia" w:ascii="宋体" w:hAnsi="宋体" w:eastAsia="宋体" w:cs="宋体"/>
                      <w:spacing w:val="6"/>
                      <w:sz w:val="21"/>
                      <w:szCs w:val="21"/>
                      <w:lang w:eastAsia="zh-CN"/>
                    </w:rPr>
                    <w:t>、</w:t>
                  </w:r>
                  <w:r>
                    <w:rPr>
                      <w:rFonts w:hint="eastAsia" w:ascii="宋体" w:hAnsi="宋体" w:eastAsia="宋体" w:cs="宋体"/>
                      <w:spacing w:val="6"/>
                      <w:sz w:val="21"/>
                      <w:szCs w:val="21"/>
                    </w:rPr>
                    <w:t>规范贮存管理要求。根据《危险废物贮存污染控制标准》</w:t>
                  </w:r>
                  <w:r>
                    <w:rPr>
                      <w:rFonts w:hint="eastAsia" w:ascii="宋体" w:hAnsi="宋体" w:eastAsia="宋体" w:cs="宋体"/>
                      <w:spacing w:val="6"/>
                      <w:sz w:val="21"/>
                      <w:szCs w:val="21"/>
                      <w:lang w:eastAsia="zh-CN"/>
                    </w:rPr>
                    <w:t>（</w:t>
                  </w:r>
                  <w:r>
                    <w:rPr>
                      <w:rFonts w:hint="eastAsia" w:ascii="宋体" w:hAnsi="宋体" w:eastAsia="宋体" w:cs="宋体"/>
                      <w:sz w:val="21"/>
                      <w:szCs w:val="21"/>
                    </w:rPr>
                    <w:t>GB</w:t>
                  </w:r>
                  <w:r>
                    <w:rPr>
                      <w:rFonts w:hint="eastAsia" w:ascii="宋体" w:hAnsi="宋体" w:eastAsia="宋体" w:cs="宋体"/>
                      <w:spacing w:val="6"/>
                      <w:sz w:val="21"/>
                      <w:szCs w:val="21"/>
                    </w:rPr>
                    <w:t>18597-2023</w:t>
                  </w:r>
                  <w:r>
                    <w:rPr>
                      <w:rFonts w:hint="eastAsia" w:ascii="宋体" w:hAnsi="宋体" w:eastAsia="宋体" w:cs="宋体"/>
                      <w:spacing w:val="6"/>
                      <w:sz w:val="21"/>
                      <w:szCs w:val="21"/>
                      <w:lang w:eastAsia="zh-CN"/>
                    </w:rPr>
                    <w:t>）</w:t>
                  </w:r>
                  <w:r>
                    <w:rPr>
                      <w:rFonts w:hint="eastAsia" w:ascii="宋体" w:hAnsi="宋体" w:eastAsia="宋体" w:cs="宋体"/>
                      <w:spacing w:val="6"/>
                      <w:sz w:val="21"/>
                      <w:szCs w:val="21"/>
                    </w:rPr>
                    <w:t>，</w:t>
                  </w:r>
                  <w:r>
                    <w:rPr>
                      <w:rFonts w:hint="eastAsia" w:ascii="宋体" w:hAnsi="宋体" w:eastAsia="宋体" w:cs="宋体"/>
                      <w:spacing w:val="9"/>
                      <w:sz w:val="21"/>
                      <w:szCs w:val="21"/>
                    </w:rPr>
                    <w:t>企业可根据实际情况选择采用危险废物贮存设施或贮存点两类方式进行贮</w:t>
                  </w:r>
                  <w:r>
                    <w:rPr>
                      <w:rFonts w:hint="eastAsia" w:ascii="宋体" w:hAnsi="宋体" w:eastAsia="宋体" w:cs="宋体"/>
                      <w:spacing w:val="8"/>
                      <w:sz w:val="21"/>
                      <w:szCs w:val="21"/>
                    </w:rPr>
                    <w:t>存，符合相应的污染控制标准。</w:t>
                  </w:r>
                </w:p>
              </w:tc>
              <w:tc>
                <w:tcPr>
                  <w:tcW w:w="2205" w:type="dxa"/>
                  <w:tcBorders>
                    <w:right w:val="nil"/>
                  </w:tcBorders>
                  <w:noWrap w:val="0"/>
                  <w:vAlign w:val="center"/>
                </w:tcPr>
                <w:p w14:paraId="60E05DEA">
                  <w:pPr>
                    <w:pStyle w:val="64"/>
                    <w:keepNext w:val="0"/>
                    <w:keepLines w:val="0"/>
                    <w:pageBreakBefore w:val="0"/>
                    <w:widowControl/>
                    <w:kinsoku w:val="0"/>
                    <w:wordWrap/>
                    <w:overflowPunct/>
                    <w:topLinePunct w:val="0"/>
                    <w:autoSpaceDE w:val="0"/>
                    <w:autoSpaceDN w:val="0"/>
                    <w:bidi w:val="0"/>
                    <w:adjustRightInd w:val="0"/>
                    <w:snapToGrid w:val="0"/>
                    <w:spacing w:line="240" w:lineRule="atLeast"/>
                    <w:ind w:left="0" w:right="0" w:firstLine="0"/>
                    <w:jc w:val="center"/>
                    <w:textAlignment w:val="baseline"/>
                    <w:rPr>
                      <w:rFonts w:hint="eastAsia" w:ascii="宋体" w:hAnsi="宋体" w:eastAsia="宋体" w:cs="宋体"/>
                      <w:sz w:val="21"/>
                      <w:szCs w:val="21"/>
                    </w:rPr>
                  </w:pPr>
                  <w:r>
                    <w:rPr>
                      <w:rFonts w:hint="eastAsia" w:ascii="宋体" w:hAnsi="宋体" w:eastAsia="宋体" w:cs="宋体"/>
                      <w:spacing w:val="8"/>
                      <w:sz w:val="21"/>
                      <w:szCs w:val="21"/>
                    </w:rPr>
                    <w:t>相符。本项目严格按</w:t>
                  </w:r>
                  <w:r>
                    <w:rPr>
                      <w:rFonts w:hint="eastAsia" w:ascii="宋体" w:hAnsi="宋体" w:eastAsia="宋体" w:cs="宋体"/>
                      <w:spacing w:val="5"/>
                      <w:sz w:val="21"/>
                      <w:szCs w:val="21"/>
                    </w:rPr>
                    <w:t xml:space="preserve"> </w:t>
                  </w:r>
                  <w:r>
                    <w:rPr>
                      <w:rFonts w:hint="eastAsia" w:ascii="宋体" w:hAnsi="宋体" w:eastAsia="宋体" w:cs="宋体"/>
                      <w:spacing w:val="8"/>
                      <w:sz w:val="21"/>
                      <w:szCs w:val="21"/>
                    </w:rPr>
                    <w:t>照《危险废物贮存污</w:t>
                  </w:r>
                </w:p>
                <w:p w14:paraId="7D79DEDC">
                  <w:pPr>
                    <w:pStyle w:val="64"/>
                    <w:keepNext w:val="0"/>
                    <w:keepLines w:val="0"/>
                    <w:pageBreakBefore w:val="0"/>
                    <w:widowControl/>
                    <w:kinsoku w:val="0"/>
                    <w:wordWrap/>
                    <w:overflowPunct/>
                    <w:topLinePunct w:val="0"/>
                    <w:autoSpaceDE w:val="0"/>
                    <w:autoSpaceDN w:val="0"/>
                    <w:bidi w:val="0"/>
                    <w:adjustRightInd w:val="0"/>
                    <w:snapToGrid w:val="0"/>
                    <w:spacing w:line="240" w:lineRule="atLeast"/>
                    <w:ind w:left="0" w:right="0" w:firstLine="0"/>
                    <w:jc w:val="center"/>
                    <w:textAlignment w:val="baseline"/>
                    <w:rPr>
                      <w:rFonts w:hint="eastAsia" w:ascii="宋体" w:hAnsi="宋体" w:eastAsia="宋体" w:cs="宋体"/>
                      <w:sz w:val="21"/>
                      <w:szCs w:val="21"/>
                    </w:rPr>
                  </w:pPr>
                  <w:r>
                    <w:rPr>
                      <w:rFonts w:hint="eastAsia" w:ascii="宋体" w:hAnsi="宋体" w:eastAsia="宋体" w:cs="宋体"/>
                      <w:spacing w:val="6"/>
                      <w:sz w:val="21"/>
                      <w:szCs w:val="21"/>
                    </w:rPr>
                    <w:t>染控制标准》</w:t>
                  </w:r>
                  <w:r>
                    <w:rPr>
                      <w:rFonts w:hint="eastAsia" w:ascii="宋体" w:hAnsi="宋体" w:eastAsia="宋体" w:cs="宋体"/>
                      <w:spacing w:val="6"/>
                      <w:sz w:val="21"/>
                      <w:szCs w:val="21"/>
                      <w:lang w:eastAsia="zh-CN"/>
                    </w:rPr>
                    <w:t>（</w:t>
                  </w:r>
                  <w:r>
                    <w:rPr>
                      <w:rFonts w:hint="eastAsia" w:ascii="宋体" w:hAnsi="宋体" w:eastAsia="宋体" w:cs="宋体"/>
                      <w:sz w:val="21"/>
                      <w:szCs w:val="21"/>
                    </w:rPr>
                    <w:t>GB</w:t>
                  </w:r>
                  <w:r>
                    <w:rPr>
                      <w:rFonts w:hint="eastAsia" w:ascii="宋体" w:hAnsi="宋体" w:eastAsia="宋体" w:cs="宋体"/>
                      <w:spacing w:val="6"/>
                      <w:sz w:val="21"/>
                      <w:szCs w:val="21"/>
                    </w:rPr>
                    <w:t>18597-2023</w:t>
                  </w:r>
                  <w:r>
                    <w:rPr>
                      <w:rFonts w:hint="eastAsia" w:ascii="宋体" w:hAnsi="宋体" w:eastAsia="宋体" w:cs="宋体"/>
                      <w:spacing w:val="6"/>
                      <w:sz w:val="21"/>
                      <w:szCs w:val="21"/>
                      <w:lang w:eastAsia="zh-CN"/>
                    </w:rPr>
                    <w:t>）</w:t>
                  </w:r>
                  <w:r>
                    <w:rPr>
                      <w:rFonts w:hint="eastAsia" w:ascii="宋体" w:hAnsi="宋体" w:eastAsia="宋体" w:cs="宋体"/>
                      <w:spacing w:val="5"/>
                      <w:sz w:val="21"/>
                      <w:szCs w:val="21"/>
                    </w:rPr>
                    <w:t>相关</w:t>
                  </w:r>
                  <w:r>
                    <w:rPr>
                      <w:rFonts w:hint="eastAsia" w:ascii="宋体" w:hAnsi="宋体" w:eastAsia="宋体" w:cs="宋体"/>
                      <w:spacing w:val="19"/>
                      <w:sz w:val="21"/>
                      <w:szCs w:val="21"/>
                    </w:rPr>
                    <w:t>要求建设危废暂存</w:t>
                  </w:r>
                  <w:r>
                    <w:rPr>
                      <w:rFonts w:hint="eastAsia" w:ascii="宋体" w:hAnsi="宋体" w:eastAsia="宋体" w:cs="宋体"/>
                      <w:spacing w:val="7"/>
                      <w:sz w:val="21"/>
                      <w:szCs w:val="21"/>
                    </w:rPr>
                    <w:t>间，符合相应的污染</w:t>
                  </w:r>
                  <w:r>
                    <w:rPr>
                      <w:rFonts w:hint="eastAsia" w:ascii="宋体" w:hAnsi="宋体" w:eastAsia="宋体" w:cs="宋体"/>
                      <w:spacing w:val="6"/>
                      <w:sz w:val="21"/>
                      <w:szCs w:val="21"/>
                    </w:rPr>
                    <w:t>控制标准。</w:t>
                  </w:r>
                </w:p>
              </w:tc>
            </w:tr>
            <w:tr w14:paraId="00364C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1" w:hRule="atLeast"/>
                <w:jc w:val="center"/>
              </w:trPr>
              <w:tc>
                <w:tcPr>
                  <w:tcW w:w="1027" w:type="dxa"/>
                  <w:vMerge w:val="continue"/>
                  <w:tcBorders>
                    <w:left w:val="nil"/>
                    <w:right w:val="single" w:color="000000" w:sz="2" w:space="0"/>
                  </w:tcBorders>
                  <w:noWrap w:val="0"/>
                  <w:vAlign w:val="center"/>
                </w:tcPr>
                <w:p w14:paraId="2417A30E">
                  <w:pPr>
                    <w:keepNext w:val="0"/>
                    <w:keepLines w:val="0"/>
                    <w:pageBreakBefore w:val="0"/>
                    <w:widowControl/>
                    <w:kinsoku w:val="0"/>
                    <w:wordWrap/>
                    <w:overflowPunct/>
                    <w:topLinePunct w:val="0"/>
                    <w:autoSpaceDE w:val="0"/>
                    <w:autoSpaceDN w:val="0"/>
                    <w:bidi w:val="0"/>
                    <w:adjustRightInd w:val="0"/>
                    <w:snapToGrid w:val="0"/>
                    <w:spacing w:line="240" w:lineRule="atLeast"/>
                    <w:ind w:left="0" w:right="0" w:firstLine="0"/>
                    <w:jc w:val="center"/>
                    <w:textAlignment w:val="baseline"/>
                    <w:rPr>
                      <w:rFonts w:hint="eastAsia" w:ascii="宋体" w:hAnsi="宋体" w:eastAsia="宋体" w:cs="宋体"/>
                      <w:sz w:val="21"/>
                      <w:szCs w:val="21"/>
                    </w:rPr>
                  </w:pPr>
                </w:p>
              </w:tc>
              <w:tc>
                <w:tcPr>
                  <w:tcW w:w="3446" w:type="dxa"/>
                  <w:tcBorders>
                    <w:left w:val="single" w:color="000000" w:sz="2" w:space="0"/>
                  </w:tcBorders>
                  <w:noWrap w:val="0"/>
                  <w:vAlign w:val="center"/>
                </w:tcPr>
                <w:p w14:paraId="2655734F">
                  <w:pPr>
                    <w:pStyle w:val="64"/>
                    <w:keepNext w:val="0"/>
                    <w:keepLines w:val="0"/>
                    <w:pageBreakBefore w:val="0"/>
                    <w:widowControl/>
                    <w:kinsoku w:val="0"/>
                    <w:wordWrap/>
                    <w:overflowPunct/>
                    <w:topLinePunct w:val="0"/>
                    <w:autoSpaceDE w:val="0"/>
                    <w:autoSpaceDN w:val="0"/>
                    <w:bidi w:val="0"/>
                    <w:adjustRightInd w:val="0"/>
                    <w:snapToGrid w:val="0"/>
                    <w:spacing w:line="240" w:lineRule="atLeast"/>
                    <w:ind w:left="0" w:right="0" w:firstLine="0"/>
                    <w:jc w:val="center"/>
                    <w:textAlignment w:val="baseline"/>
                    <w:rPr>
                      <w:rFonts w:hint="eastAsia" w:ascii="宋体" w:hAnsi="宋体" w:eastAsia="宋体" w:cs="宋体"/>
                      <w:sz w:val="21"/>
                      <w:szCs w:val="21"/>
                    </w:rPr>
                  </w:pPr>
                  <w:r>
                    <w:rPr>
                      <w:rFonts w:hint="eastAsia" w:ascii="宋体" w:hAnsi="宋体" w:eastAsia="宋体" w:cs="宋体"/>
                      <w:spacing w:val="6"/>
                      <w:sz w:val="21"/>
                      <w:szCs w:val="21"/>
                    </w:rPr>
                    <w:t>8.强化转移过程管理。全面落实危险废</w:t>
                  </w:r>
                  <w:r>
                    <w:rPr>
                      <w:rFonts w:hint="eastAsia" w:ascii="宋体" w:hAnsi="宋体" w:eastAsia="宋体" w:cs="宋体"/>
                      <w:spacing w:val="4"/>
                      <w:sz w:val="21"/>
                      <w:szCs w:val="21"/>
                    </w:rPr>
                    <w:t>物转移电子联单制度，实行省内全域扫</w:t>
                  </w:r>
                  <w:r>
                    <w:rPr>
                      <w:rFonts w:hint="eastAsia" w:ascii="宋体" w:hAnsi="宋体" w:eastAsia="宋体" w:cs="宋体"/>
                      <w:spacing w:val="2"/>
                      <w:sz w:val="21"/>
                      <w:szCs w:val="21"/>
                    </w:rPr>
                    <w:t>描“二维码</w:t>
                  </w:r>
                  <w:r>
                    <w:rPr>
                      <w:rFonts w:hint="eastAsia" w:ascii="宋体" w:hAnsi="宋体" w:eastAsia="宋体" w:cs="宋体"/>
                      <w:spacing w:val="-67"/>
                      <w:sz w:val="21"/>
                      <w:szCs w:val="21"/>
                    </w:rPr>
                    <w:t xml:space="preserve"> </w:t>
                  </w:r>
                  <w:r>
                    <w:rPr>
                      <w:rFonts w:hint="eastAsia" w:ascii="宋体" w:hAnsi="宋体" w:eastAsia="宋体" w:cs="宋体"/>
                      <w:spacing w:val="2"/>
                      <w:sz w:val="21"/>
                      <w:szCs w:val="21"/>
                    </w:rPr>
                    <w:t>”转移。加强与危险货物道</w:t>
                  </w:r>
                  <w:r>
                    <w:rPr>
                      <w:rFonts w:hint="eastAsia" w:ascii="宋体" w:hAnsi="宋体" w:eastAsia="宋体" w:cs="宋体"/>
                      <w:spacing w:val="4"/>
                      <w:sz w:val="21"/>
                      <w:szCs w:val="21"/>
                    </w:rPr>
                    <w:t>路运输电子运单数据共享，实现运输轨迹可溯可查。危险废物产生单位须依法核实经营单位主体资格和技术能力，直接签订委托合同，并向经营单位提供相关危险废物产生工艺、具体成分，以及</w:t>
                  </w:r>
                  <w:r>
                    <w:rPr>
                      <w:rFonts w:hint="eastAsia" w:ascii="宋体" w:hAnsi="宋体" w:eastAsia="宋体" w:cs="宋体"/>
                      <w:spacing w:val="7"/>
                      <w:sz w:val="21"/>
                      <w:szCs w:val="21"/>
                    </w:rPr>
                    <w:t>是否易燃易爆等信息。</w:t>
                  </w:r>
                </w:p>
              </w:tc>
              <w:tc>
                <w:tcPr>
                  <w:tcW w:w="2205" w:type="dxa"/>
                  <w:tcBorders>
                    <w:right w:val="nil"/>
                  </w:tcBorders>
                  <w:noWrap w:val="0"/>
                  <w:vAlign w:val="center"/>
                </w:tcPr>
                <w:p w14:paraId="13CBD5AA">
                  <w:pPr>
                    <w:pStyle w:val="64"/>
                    <w:keepNext w:val="0"/>
                    <w:keepLines w:val="0"/>
                    <w:pageBreakBefore w:val="0"/>
                    <w:widowControl/>
                    <w:kinsoku w:val="0"/>
                    <w:wordWrap/>
                    <w:overflowPunct/>
                    <w:topLinePunct w:val="0"/>
                    <w:autoSpaceDE w:val="0"/>
                    <w:autoSpaceDN w:val="0"/>
                    <w:bidi w:val="0"/>
                    <w:adjustRightInd w:val="0"/>
                    <w:snapToGrid w:val="0"/>
                    <w:spacing w:line="240" w:lineRule="atLeast"/>
                    <w:ind w:left="0" w:right="0" w:firstLine="0"/>
                    <w:jc w:val="center"/>
                    <w:textAlignment w:val="baseline"/>
                    <w:rPr>
                      <w:rFonts w:hint="eastAsia" w:ascii="宋体" w:hAnsi="宋体" w:eastAsia="宋体" w:cs="宋体"/>
                      <w:sz w:val="21"/>
                      <w:szCs w:val="21"/>
                    </w:rPr>
                  </w:pPr>
                  <w:r>
                    <w:rPr>
                      <w:rFonts w:hint="eastAsia" w:ascii="宋体" w:hAnsi="宋体" w:eastAsia="宋体" w:cs="宋体"/>
                      <w:spacing w:val="8"/>
                      <w:sz w:val="21"/>
                      <w:szCs w:val="21"/>
                    </w:rPr>
                    <w:t>相符。本项目建成</w:t>
                  </w:r>
                  <w:r>
                    <w:rPr>
                      <w:rFonts w:hint="eastAsia" w:ascii="宋体" w:hAnsi="宋体" w:eastAsia="宋体" w:cs="宋体"/>
                      <w:spacing w:val="8"/>
                      <w:sz w:val="21"/>
                      <w:szCs w:val="21"/>
                      <w:lang w:val="en-US" w:eastAsia="zh-CN"/>
                    </w:rPr>
                    <w:t>后将</w:t>
                  </w:r>
                  <w:r>
                    <w:rPr>
                      <w:rFonts w:hint="eastAsia" w:ascii="宋体" w:hAnsi="宋体" w:eastAsia="宋体" w:cs="宋体"/>
                      <w:spacing w:val="9"/>
                      <w:sz w:val="21"/>
                      <w:szCs w:val="21"/>
                    </w:rPr>
                    <w:t>按规定申报危险废物产生、贮存、转</w:t>
                  </w:r>
                  <w:r>
                    <w:rPr>
                      <w:rFonts w:hint="eastAsia" w:ascii="宋体" w:hAnsi="宋体" w:eastAsia="宋体" w:cs="宋体"/>
                      <w:spacing w:val="1"/>
                      <w:sz w:val="21"/>
                      <w:szCs w:val="21"/>
                    </w:rPr>
                    <w:t>移、利用处置等信息，</w:t>
                  </w:r>
                  <w:r>
                    <w:rPr>
                      <w:rFonts w:hint="eastAsia" w:ascii="宋体" w:hAnsi="宋体" w:eastAsia="宋体" w:cs="宋体"/>
                      <w:spacing w:val="8"/>
                      <w:sz w:val="21"/>
                      <w:szCs w:val="21"/>
                    </w:rPr>
                    <w:t>并制定年度管理计</w:t>
                  </w:r>
                  <w:r>
                    <w:rPr>
                      <w:rFonts w:hint="eastAsia" w:ascii="宋体" w:hAnsi="宋体" w:eastAsia="宋体" w:cs="宋体"/>
                      <w:spacing w:val="7"/>
                      <w:sz w:val="21"/>
                      <w:szCs w:val="21"/>
                    </w:rPr>
                    <w:t>划，在系统中备案。</w:t>
                  </w:r>
                  <w:r>
                    <w:rPr>
                      <w:rFonts w:hint="eastAsia" w:ascii="宋体" w:hAnsi="宋体" w:eastAsia="宋体" w:cs="宋体"/>
                      <w:spacing w:val="8"/>
                      <w:sz w:val="21"/>
                      <w:szCs w:val="21"/>
                    </w:rPr>
                    <w:t>全面落实危险废物转</w:t>
                  </w:r>
                  <w:r>
                    <w:rPr>
                      <w:rFonts w:hint="eastAsia" w:ascii="宋体" w:hAnsi="宋体" w:eastAsia="宋体" w:cs="宋体"/>
                      <w:spacing w:val="7"/>
                      <w:sz w:val="21"/>
                      <w:szCs w:val="21"/>
                    </w:rPr>
                    <w:t>移电子联单制度。</w:t>
                  </w:r>
                </w:p>
              </w:tc>
            </w:tr>
            <w:tr w14:paraId="7CD2E1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6" w:hRule="atLeast"/>
                <w:jc w:val="center"/>
              </w:trPr>
              <w:tc>
                <w:tcPr>
                  <w:tcW w:w="1027" w:type="dxa"/>
                  <w:vMerge w:val="continue"/>
                  <w:tcBorders>
                    <w:left w:val="nil"/>
                    <w:right w:val="single" w:color="000000" w:sz="2" w:space="0"/>
                  </w:tcBorders>
                  <w:noWrap w:val="0"/>
                  <w:vAlign w:val="center"/>
                </w:tcPr>
                <w:p w14:paraId="1C0B2DED">
                  <w:pPr>
                    <w:keepNext w:val="0"/>
                    <w:keepLines w:val="0"/>
                    <w:pageBreakBefore w:val="0"/>
                    <w:widowControl/>
                    <w:kinsoku w:val="0"/>
                    <w:wordWrap/>
                    <w:overflowPunct/>
                    <w:topLinePunct w:val="0"/>
                    <w:autoSpaceDE w:val="0"/>
                    <w:autoSpaceDN w:val="0"/>
                    <w:bidi w:val="0"/>
                    <w:adjustRightInd w:val="0"/>
                    <w:snapToGrid w:val="0"/>
                    <w:spacing w:line="240" w:lineRule="atLeast"/>
                    <w:ind w:left="0" w:right="0" w:firstLine="0"/>
                    <w:jc w:val="center"/>
                    <w:textAlignment w:val="baseline"/>
                    <w:rPr>
                      <w:rFonts w:hint="eastAsia" w:ascii="宋体" w:hAnsi="宋体" w:eastAsia="宋体" w:cs="宋体"/>
                      <w:sz w:val="21"/>
                      <w:szCs w:val="21"/>
                    </w:rPr>
                  </w:pPr>
                </w:p>
              </w:tc>
              <w:tc>
                <w:tcPr>
                  <w:tcW w:w="3446" w:type="dxa"/>
                  <w:tcBorders>
                    <w:left w:val="single" w:color="000000" w:sz="2" w:space="0"/>
                  </w:tcBorders>
                  <w:noWrap w:val="0"/>
                  <w:vAlign w:val="center"/>
                </w:tcPr>
                <w:p w14:paraId="34FAD492">
                  <w:pPr>
                    <w:pStyle w:val="64"/>
                    <w:keepNext w:val="0"/>
                    <w:keepLines w:val="0"/>
                    <w:pageBreakBefore w:val="0"/>
                    <w:widowControl/>
                    <w:kinsoku w:val="0"/>
                    <w:wordWrap/>
                    <w:overflowPunct/>
                    <w:topLinePunct w:val="0"/>
                    <w:autoSpaceDE w:val="0"/>
                    <w:autoSpaceDN w:val="0"/>
                    <w:bidi w:val="0"/>
                    <w:adjustRightInd w:val="0"/>
                    <w:snapToGrid w:val="0"/>
                    <w:spacing w:line="240" w:lineRule="atLeast"/>
                    <w:ind w:left="0" w:right="0" w:firstLine="0"/>
                    <w:jc w:val="left"/>
                    <w:textAlignment w:val="baseline"/>
                    <w:rPr>
                      <w:rFonts w:hint="eastAsia" w:ascii="宋体" w:hAnsi="宋体" w:eastAsia="宋体" w:cs="宋体"/>
                      <w:sz w:val="21"/>
                      <w:szCs w:val="21"/>
                    </w:rPr>
                  </w:pPr>
                  <w:r>
                    <w:rPr>
                      <w:rFonts w:hint="eastAsia" w:ascii="宋体" w:hAnsi="宋体" w:eastAsia="宋体" w:cs="宋体"/>
                      <w:spacing w:val="7"/>
                      <w:sz w:val="21"/>
                      <w:szCs w:val="21"/>
                    </w:rPr>
                    <w:t>15.规范一般工业固废管理。企业需按</w:t>
                  </w:r>
                  <w:r>
                    <w:rPr>
                      <w:rFonts w:hint="eastAsia" w:ascii="宋体" w:hAnsi="宋体" w:eastAsia="宋体" w:cs="宋体"/>
                      <w:spacing w:val="3"/>
                      <w:sz w:val="21"/>
                      <w:szCs w:val="21"/>
                    </w:rPr>
                    <w:t>照《一般工业固体废物管理台账制定指</w:t>
                  </w:r>
                  <w:r>
                    <w:rPr>
                      <w:rFonts w:hint="eastAsia" w:ascii="宋体" w:hAnsi="宋体" w:eastAsia="宋体" w:cs="宋体"/>
                      <w:spacing w:val="9"/>
                      <w:sz w:val="21"/>
                      <w:szCs w:val="21"/>
                    </w:rPr>
                    <w:t>南</w:t>
                  </w:r>
                  <w:r>
                    <w:rPr>
                      <w:rFonts w:hint="eastAsia" w:ascii="宋体" w:hAnsi="宋体" w:eastAsia="宋体" w:cs="宋体"/>
                      <w:spacing w:val="9"/>
                      <w:sz w:val="21"/>
                      <w:szCs w:val="21"/>
                      <w:lang w:eastAsia="zh-CN"/>
                    </w:rPr>
                    <w:t>（</w:t>
                  </w:r>
                  <w:r>
                    <w:rPr>
                      <w:rFonts w:hint="eastAsia" w:ascii="宋体" w:hAnsi="宋体" w:eastAsia="宋体" w:cs="宋体"/>
                      <w:spacing w:val="9"/>
                      <w:sz w:val="21"/>
                      <w:szCs w:val="21"/>
                    </w:rPr>
                    <w:t>试行</w:t>
                  </w:r>
                  <w:r>
                    <w:rPr>
                      <w:rFonts w:hint="eastAsia" w:ascii="宋体" w:hAnsi="宋体" w:eastAsia="宋体" w:cs="宋体"/>
                      <w:spacing w:val="9"/>
                      <w:sz w:val="21"/>
                      <w:szCs w:val="21"/>
                      <w:lang w:eastAsia="zh-CN"/>
                    </w:rPr>
                    <w:t>）</w:t>
                  </w:r>
                  <w:r>
                    <w:rPr>
                      <w:rFonts w:hint="eastAsia" w:ascii="宋体" w:hAnsi="宋体" w:eastAsia="宋体" w:cs="宋体"/>
                      <w:spacing w:val="9"/>
                      <w:sz w:val="21"/>
                      <w:szCs w:val="21"/>
                    </w:rPr>
                    <w:t>》(生态环境部</w:t>
                  </w:r>
                  <w:r>
                    <w:rPr>
                      <w:rFonts w:hint="eastAsia" w:ascii="宋体" w:hAnsi="宋体" w:eastAsia="宋体" w:cs="宋体"/>
                      <w:spacing w:val="-28"/>
                      <w:sz w:val="21"/>
                      <w:szCs w:val="21"/>
                    </w:rPr>
                    <w:t xml:space="preserve"> </w:t>
                  </w:r>
                  <w:r>
                    <w:rPr>
                      <w:rFonts w:hint="eastAsia" w:ascii="宋体" w:hAnsi="宋体" w:eastAsia="宋体" w:cs="宋体"/>
                      <w:spacing w:val="9"/>
                      <w:sz w:val="21"/>
                      <w:szCs w:val="21"/>
                    </w:rPr>
                    <w:t>2021 年第</w:t>
                  </w:r>
                  <w:r>
                    <w:rPr>
                      <w:rFonts w:hint="eastAsia" w:ascii="宋体" w:hAnsi="宋体" w:eastAsia="宋体" w:cs="宋体"/>
                      <w:spacing w:val="-32"/>
                      <w:sz w:val="21"/>
                      <w:szCs w:val="21"/>
                    </w:rPr>
                    <w:t xml:space="preserve"> </w:t>
                  </w:r>
                  <w:r>
                    <w:rPr>
                      <w:rFonts w:hint="eastAsia" w:ascii="宋体" w:hAnsi="宋体" w:eastAsia="宋体" w:cs="宋体"/>
                      <w:spacing w:val="9"/>
                      <w:sz w:val="21"/>
                      <w:szCs w:val="21"/>
                    </w:rPr>
                    <w:t>82</w:t>
                  </w:r>
                  <w:r>
                    <w:rPr>
                      <w:rFonts w:hint="eastAsia" w:ascii="宋体" w:hAnsi="宋体" w:eastAsia="宋体" w:cs="宋体"/>
                      <w:spacing w:val="2"/>
                      <w:sz w:val="21"/>
                      <w:szCs w:val="21"/>
                    </w:rPr>
                    <w:t>号公告)要求，建立一般工业固废台账，</w:t>
                  </w:r>
                  <w:r>
                    <w:rPr>
                      <w:rFonts w:hint="eastAsia" w:ascii="宋体" w:hAnsi="宋体" w:eastAsia="宋体" w:cs="宋体"/>
                      <w:spacing w:val="3"/>
                      <w:sz w:val="21"/>
                      <w:szCs w:val="21"/>
                    </w:rPr>
                    <w:t>污泥、矿渣等同时还需在固废管理信息系统申报，电子台账已有内容，不再另</w:t>
                  </w:r>
                  <w:r>
                    <w:rPr>
                      <w:rFonts w:hint="eastAsia" w:ascii="宋体" w:hAnsi="宋体" w:eastAsia="宋体" w:cs="宋体"/>
                      <w:spacing w:val="7"/>
                      <w:sz w:val="21"/>
                      <w:szCs w:val="21"/>
                    </w:rPr>
                    <w:t>外制作纸质台账。</w:t>
                  </w:r>
                </w:p>
              </w:tc>
              <w:tc>
                <w:tcPr>
                  <w:tcW w:w="2205" w:type="dxa"/>
                  <w:tcBorders>
                    <w:top w:val="single" w:color="000000" w:sz="2" w:space="0"/>
                    <w:bottom w:val="single" w:color="000000" w:sz="2" w:space="0"/>
                    <w:right w:val="nil"/>
                  </w:tcBorders>
                  <w:noWrap w:val="0"/>
                  <w:vAlign w:val="center"/>
                </w:tcPr>
                <w:p w14:paraId="1A932B97">
                  <w:pPr>
                    <w:pStyle w:val="64"/>
                    <w:keepNext w:val="0"/>
                    <w:keepLines w:val="0"/>
                    <w:pageBreakBefore w:val="0"/>
                    <w:widowControl/>
                    <w:kinsoku w:val="0"/>
                    <w:wordWrap/>
                    <w:overflowPunct/>
                    <w:topLinePunct w:val="0"/>
                    <w:autoSpaceDE w:val="0"/>
                    <w:autoSpaceDN w:val="0"/>
                    <w:bidi w:val="0"/>
                    <w:adjustRightInd w:val="0"/>
                    <w:snapToGrid w:val="0"/>
                    <w:spacing w:line="240" w:lineRule="atLeast"/>
                    <w:ind w:left="0" w:right="0" w:firstLine="0"/>
                    <w:jc w:val="center"/>
                    <w:textAlignment w:val="baseline"/>
                    <w:rPr>
                      <w:rFonts w:hint="eastAsia" w:ascii="宋体" w:hAnsi="宋体" w:eastAsia="宋体" w:cs="宋体"/>
                      <w:sz w:val="21"/>
                      <w:szCs w:val="21"/>
                    </w:rPr>
                  </w:pPr>
                  <w:r>
                    <w:rPr>
                      <w:rFonts w:hint="eastAsia" w:ascii="宋体" w:hAnsi="宋体" w:eastAsia="宋体" w:cs="宋体"/>
                      <w:spacing w:val="-8"/>
                      <w:sz w:val="21"/>
                      <w:szCs w:val="21"/>
                    </w:rPr>
                    <w:t>相符。本项目按照《一</w:t>
                  </w:r>
                  <w:r>
                    <w:rPr>
                      <w:rFonts w:hint="eastAsia" w:ascii="宋体" w:hAnsi="宋体" w:eastAsia="宋体" w:cs="宋体"/>
                      <w:spacing w:val="9"/>
                      <w:sz w:val="21"/>
                      <w:szCs w:val="21"/>
                    </w:rPr>
                    <w:t>般工业固体废物管理</w:t>
                  </w:r>
                  <w:r>
                    <w:rPr>
                      <w:rFonts w:hint="eastAsia" w:ascii="宋体" w:hAnsi="宋体" w:eastAsia="宋体" w:cs="宋体"/>
                      <w:spacing w:val="5"/>
                      <w:sz w:val="21"/>
                      <w:szCs w:val="21"/>
                    </w:rPr>
                    <w:t>台账制定指南</w:t>
                  </w:r>
                  <w:r>
                    <w:rPr>
                      <w:rFonts w:hint="eastAsia" w:ascii="宋体" w:hAnsi="宋体" w:eastAsia="宋体" w:cs="宋体"/>
                      <w:spacing w:val="5"/>
                      <w:sz w:val="21"/>
                      <w:szCs w:val="21"/>
                      <w:lang w:eastAsia="zh-CN"/>
                    </w:rPr>
                    <w:t>（</w:t>
                  </w:r>
                  <w:r>
                    <w:rPr>
                      <w:rFonts w:hint="eastAsia" w:ascii="宋体" w:hAnsi="宋体" w:eastAsia="宋体" w:cs="宋体"/>
                      <w:spacing w:val="5"/>
                      <w:sz w:val="21"/>
                      <w:szCs w:val="21"/>
                    </w:rPr>
                    <w:t>试行</w:t>
                  </w:r>
                  <w:r>
                    <w:rPr>
                      <w:rFonts w:hint="eastAsia" w:ascii="宋体" w:hAnsi="宋体" w:eastAsia="宋体" w:cs="宋体"/>
                      <w:spacing w:val="5"/>
                      <w:sz w:val="21"/>
                      <w:szCs w:val="21"/>
                      <w:lang w:eastAsia="zh-CN"/>
                    </w:rPr>
                    <w:t>）</w:t>
                  </w:r>
                  <w:r>
                    <w:rPr>
                      <w:rFonts w:hint="eastAsia" w:ascii="宋体" w:hAnsi="宋体" w:eastAsia="宋体" w:cs="宋体"/>
                      <w:spacing w:val="5"/>
                      <w:sz w:val="21"/>
                      <w:szCs w:val="21"/>
                    </w:rPr>
                    <w:t>》</w:t>
                  </w:r>
                  <w:r>
                    <w:rPr>
                      <w:rFonts w:hint="eastAsia" w:ascii="宋体" w:hAnsi="宋体" w:eastAsia="宋体" w:cs="宋体"/>
                      <w:spacing w:val="1"/>
                      <w:sz w:val="21"/>
                      <w:szCs w:val="21"/>
                      <w:lang w:eastAsia="zh-CN"/>
                    </w:rPr>
                    <w:t>（</w:t>
                  </w:r>
                  <w:r>
                    <w:rPr>
                      <w:rFonts w:hint="eastAsia" w:ascii="宋体" w:hAnsi="宋体" w:eastAsia="宋体" w:cs="宋体"/>
                      <w:spacing w:val="7"/>
                      <w:sz w:val="21"/>
                      <w:szCs w:val="21"/>
                    </w:rPr>
                    <w:t>生态环境部</w:t>
                  </w:r>
                  <w:r>
                    <w:rPr>
                      <w:rFonts w:hint="eastAsia" w:ascii="宋体" w:hAnsi="宋体" w:eastAsia="宋体" w:cs="宋体"/>
                      <w:spacing w:val="-35"/>
                      <w:sz w:val="21"/>
                      <w:szCs w:val="21"/>
                    </w:rPr>
                    <w:t xml:space="preserve"> </w:t>
                  </w:r>
                  <w:r>
                    <w:rPr>
                      <w:rFonts w:hint="eastAsia" w:ascii="宋体" w:hAnsi="宋体" w:eastAsia="宋体" w:cs="宋体"/>
                      <w:spacing w:val="7"/>
                      <w:sz w:val="21"/>
                      <w:szCs w:val="21"/>
                    </w:rPr>
                    <w:t>2021年</w:t>
                  </w:r>
                  <w:r>
                    <w:rPr>
                      <w:rFonts w:hint="eastAsia" w:ascii="宋体" w:hAnsi="宋体" w:eastAsia="宋体" w:cs="宋体"/>
                      <w:sz w:val="21"/>
                      <w:szCs w:val="21"/>
                    </w:rPr>
                    <w:t xml:space="preserve">  </w:t>
                  </w:r>
                  <w:r>
                    <w:rPr>
                      <w:rFonts w:hint="eastAsia" w:ascii="宋体" w:hAnsi="宋体" w:eastAsia="宋体" w:cs="宋体"/>
                      <w:spacing w:val="8"/>
                      <w:sz w:val="21"/>
                      <w:szCs w:val="21"/>
                    </w:rPr>
                    <w:t>第</w:t>
                  </w:r>
                  <w:r>
                    <w:rPr>
                      <w:rFonts w:hint="eastAsia" w:ascii="宋体" w:hAnsi="宋体" w:eastAsia="宋体" w:cs="宋体"/>
                      <w:spacing w:val="-32"/>
                      <w:sz w:val="21"/>
                      <w:szCs w:val="21"/>
                    </w:rPr>
                    <w:t xml:space="preserve"> </w:t>
                  </w:r>
                  <w:r>
                    <w:rPr>
                      <w:rFonts w:hint="eastAsia" w:ascii="宋体" w:hAnsi="宋体" w:eastAsia="宋体" w:cs="宋体"/>
                      <w:spacing w:val="8"/>
                      <w:sz w:val="21"/>
                      <w:szCs w:val="21"/>
                    </w:rPr>
                    <w:t>82号公告</w:t>
                  </w:r>
                  <w:r>
                    <w:rPr>
                      <w:rFonts w:hint="eastAsia" w:ascii="宋体" w:hAnsi="宋体" w:eastAsia="宋体" w:cs="宋体"/>
                      <w:spacing w:val="1"/>
                      <w:sz w:val="21"/>
                      <w:szCs w:val="21"/>
                      <w:lang w:eastAsia="zh-CN"/>
                    </w:rPr>
                    <w:t>）</w:t>
                  </w:r>
                  <w:r>
                    <w:rPr>
                      <w:rFonts w:hint="eastAsia" w:ascii="宋体" w:hAnsi="宋体" w:eastAsia="宋体" w:cs="宋体"/>
                      <w:spacing w:val="8"/>
                      <w:sz w:val="21"/>
                      <w:szCs w:val="21"/>
                    </w:rPr>
                    <w:t>要求，</w:t>
                  </w:r>
                  <w:r>
                    <w:rPr>
                      <w:rFonts w:hint="eastAsia" w:ascii="宋体" w:hAnsi="宋体" w:eastAsia="宋体" w:cs="宋体"/>
                      <w:sz w:val="21"/>
                      <w:szCs w:val="21"/>
                    </w:rPr>
                    <w:t xml:space="preserve">  </w:t>
                  </w:r>
                  <w:r>
                    <w:rPr>
                      <w:rFonts w:hint="eastAsia" w:ascii="宋体" w:hAnsi="宋体" w:eastAsia="宋体" w:cs="宋体"/>
                      <w:spacing w:val="9"/>
                      <w:sz w:val="21"/>
                      <w:szCs w:val="21"/>
                    </w:rPr>
                    <w:t>建立一般工业固废台</w:t>
                  </w:r>
                </w:p>
                <w:p w14:paraId="47B48112">
                  <w:pPr>
                    <w:pStyle w:val="64"/>
                    <w:keepNext w:val="0"/>
                    <w:keepLines w:val="0"/>
                    <w:pageBreakBefore w:val="0"/>
                    <w:widowControl/>
                    <w:kinsoku w:val="0"/>
                    <w:wordWrap/>
                    <w:overflowPunct/>
                    <w:topLinePunct w:val="0"/>
                    <w:autoSpaceDE w:val="0"/>
                    <w:autoSpaceDN w:val="0"/>
                    <w:bidi w:val="0"/>
                    <w:adjustRightInd w:val="0"/>
                    <w:snapToGrid w:val="0"/>
                    <w:spacing w:line="240" w:lineRule="atLeast"/>
                    <w:ind w:left="0" w:right="0" w:firstLine="0"/>
                    <w:jc w:val="center"/>
                    <w:textAlignment w:val="baseline"/>
                    <w:rPr>
                      <w:rFonts w:hint="eastAsia" w:ascii="宋体" w:hAnsi="宋体" w:eastAsia="宋体" w:cs="宋体"/>
                      <w:sz w:val="21"/>
                      <w:szCs w:val="21"/>
                    </w:rPr>
                  </w:pPr>
                  <w:r>
                    <w:rPr>
                      <w:rFonts w:hint="eastAsia" w:ascii="宋体" w:hAnsi="宋体" w:eastAsia="宋体" w:cs="宋体"/>
                      <w:spacing w:val="-2"/>
                      <w:sz w:val="21"/>
                      <w:szCs w:val="21"/>
                    </w:rPr>
                    <w:t>账。</w:t>
                  </w:r>
                </w:p>
              </w:tc>
            </w:tr>
            <w:tr w14:paraId="3E0E2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6" w:hRule="atLeast"/>
                <w:jc w:val="center"/>
              </w:trPr>
              <w:tc>
                <w:tcPr>
                  <w:tcW w:w="1027" w:type="dxa"/>
                  <w:tcBorders>
                    <w:left w:val="nil"/>
                  </w:tcBorders>
                  <w:noWrap w:val="0"/>
                  <w:vAlign w:val="center"/>
                </w:tcPr>
                <w:p w14:paraId="6C27D246">
                  <w:pPr>
                    <w:pStyle w:val="64"/>
                    <w:keepNext w:val="0"/>
                    <w:keepLines w:val="0"/>
                    <w:pageBreakBefore w:val="0"/>
                    <w:widowControl/>
                    <w:kinsoku w:val="0"/>
                    <w:wordWrap/>
                    <w:overflowPunct/>
                    <w:topLinePunct w:val="0"/>
                    <w:autoSpaceDE w:val="0"/>
                    <w:autoSpaceDN w:val="0"/>
                    <w:bidi w:val="0"/>
                    <w:adjustRightInd w:val="0"/>
                    <w:snapToGrid w:val="0"/>
                    <w:spacing w:line="240" w:lineRule="atLeast"/>
                    <w:ind w:left="0" w:right="0" w:firstLine="0"/>
                    <w:jc w:val="center"/>
                    <w:textAlignment w:val="baseline"/>
                    <w:rPr>
                      <w:rFonts w:hint="eastAsia" w:ascii="宋体" w:hAnsi="宋体" w:eastAsia="宋体" w:cs="宋体"/>
                      <w:sz w:val="21"/>
                      <w:szCs w:val="21"/>
                    </w:rPr>
                  </w:pPr>
                  <w:r>
                    <w:rPr>
                      <w:rFonts w:hint="eastAsia" w:ascii="宋体" w:hAnsi="宋体" w:eastAsia="宋体" w:cs="宋体"/>
                      <w:spacing w:val="6"/>
                      <w:sz w:val="21"/>
                      <w:szCs w:val="21"/>
                    </w:rPr>
                    <w:t>《省生态</w:t>
                  </w:r>
                  <w:r>
                    <w:rPr>
                      <w:rFonts w:hint="eastAsia" w:ascii="宋体" w:hAnsi="宋体" w:eastAsia="宋体" w:cs="宋体"/>
                      <w:sz w:val="21"/>
                      <w:szCs w:val="21"/>
                    </w:rPr>
                    <w:t xml:space="preserve"> </w:t>
                  </w:r>
                  <w:r>
                    <w:rPr>
                      <w:rFonts w:hint="eastAsia" w:ascii="宋体" w:hAnsi="宋体" w:eastAsia="宋体" w:cs="宋体"/>
                      <w:spacing w:val="9"/>
                      <w:sz w:val="21"/>
                      <w:szCs w:val="21"/>
                    </w:rPr>
                    <w:t>环境厅关</w:t>
                  </w:r>
                  <w:r>
                    <w:rPr>
                      <w:rFonts w:hint="eastAsia" w:ascii="宋体" w:hAnsi="宋体" w:eastAsia="宋体" w:cs="宋体"/>
                      <w:spacing w:val="2"/>
                      <w:sz w:val="21"/>
                      <w:szCs w:val="21"/>
                    </w:rPr>
                    <w:t xml:space="preserve"> </w:t>
                  </w:r>
                  <w:r>
                    <w:rPr>
                      <w:rFonts w:hint="eastAsia" w:ascii="宋体" w:hAnsi="宋体" w:eastAsia="宋体" w:cs="宋体"/>
                      <w:spacing w:val="9"/>
                      <w:sz w:val="21"/>
                      <w:szCs w:val="21"/>
                    </w:rPr>
                    <w:t>于进一步</w:t>
                  </w:r>
                  <w:r>
                    <w:rPr>
                      <w:rFonts w:hint="eastAsia" w:ascii="宋体" w:hAnsi="宋体" w:eastAsia="宋体" w:cs="宋体"/>
                      <w:spacing w:val="2"/>
                      <w:sz w:val="21"/>
                      <w:szCs w:val="21"/>
                    </w:rPr>
                    <w:t xml:space="preserve"> </w:t>
                  </w:r>
                  <w:r>
                    <w:rPr>
                      <w:rFonts w:hint="eastAsia" w:ascii="宋体" w:hAnsi="宋体" w:eastAsia="宋体" w:cs="宋体"/>
                      <w:spacing w:val="9"/>
                      <w:sz w:val="21"/>
                      <w:szCs w:val="21"/>
                    </w:rPr>
                    <w:t>加强危险</w:t>
                  </w:r>
                  <w:r>
                    <w:rPr>
                      <w:rFonts w:hint="eastAsia" w:ascii="宋体" w:hAnsi="宋体" w:eastAsia="宋体" w:cs="宋体"/>
                      <w:spacing w:val="2"/>
                      <w:sz w:val="21"/>
                      <w:szCs w:val="21"/>
                    </w:rPr>
                    <w:t xml:space="preserve"> </w:t>
                  </w:r>
                  <w:r>
                    <w:rPr>
                      <w:rFonts w:hint="eastAsia" w:ascii="宋体" w:hAnsi="宋体" w:eastAsia="宋体" w:cs="宋体"/>
                      <w:spacing w:val="9"/>
                      <w:sz w:val="21"/>
                      <w:szCs w:val="21"/>
                    </w:rPr>
                    <w:t>废物环境</w:t>
                  </w:r>
                  <w:r>
                    <w:rPr>
                      <w:rFonts w:hint="eastAsia" w:ascii="宋体" w:hAnsi="宋体" w:eastAsia="宋体" w:cs="宋体"/>
                      <w:spacing w:val="2"/>
                      <w:sz w:val="21"/>
                      <w:szCs w:val="21"/>
                    </w:rPr>
                    <w:t xml:space="preserve"> </w:t>
                  </w:r>
                  <w:r>
                    <w:rPr>
                      <w:rFonts w:hint="eastAsia" w:ascii="宋体" w:hAnsi="宋体" w:eastAsia="宋体" w:cs="宋体"/>
                      <w:spacing w:val="9"/>
                      <w:sz w:val="21"/>
                      <w:szCs w:val="21"/>
                    </w:rPr>
                    <w:t>管理工作</w:t>
                  </w:r>
                  <w:r>
                    <w:rPr>
                      <w:rFonts w:hint="eastAsia" w:ascii="宋体" w:hAnsi="宋体" w:eastAsia="宋体" w:cs="宋体"/>
                      <w:spacing w:val="2"/>
                      <w:sz w:val="21"/>
                      <w:szCs w:val="21"/>
                    </w:rPr>
                    <w:t xml:space="preserve"> </w:t>
                  </w:r>
                  <w:r>
                    <w:rPr>
                      <w:rFonts w:hint="eastAsia" w:ascii="宋体" w:hAnsi="宋体" w:eastAsia="宋体" w:cs="宋体"/>
                      <w:spacing w:val="6"/>
                      <w:sz w:val="21"/>
                      <w:szCs w:val="21"/>
                    </w:rPr>
                    <w:t>的通知》</w:t>
                  </w:r>
                  <w:r>
                    <w:rPr>
                      <w:rFonts w:hint="eastAsia" w:ascii="宋体" w:hAnsi="宋体" w:eastAsia="宋体" w:cs="宋体"/>
                      <w:spacing w:val="2"/>
                      <w:sz w:val="21"/>
                      <w:szCs w:val="21"/>
                    </w:rPr>
                    <w:t xml:space="preserve"> </w:t>
                  </w:r>
                  <w:r>
                    <w:rPr>
                      <w:rFonts w:hint="eastAsia" w:ascii="宋体" w:hAnsi="宋体" w:eastAsia="宋体" w:cs="宋体"/>
                      <w:spacing w:val="9"/>
                      <w:sz w:val="21"/>
                      <w:szCs w:val="21"/>
                    </w:rPr>
                    <w:t>（苏环办</w:t>
                  </w:r>
                  <w:r>
                    <w:rPr>
                      <w:rFonts w:hint="eastAsia" w:ascii="宋体" w:hAnsi="宋体" w:eastAsia="宋体" w:cs="宋体"/>
                      <w:spacing w:val="2"/>
                      <w:sz w:val="21"/>
                      <w:szCs w:val="21"/>
                    </w:rPr>
                    <w:t xml:space="preserve"> 〔2021〕207</w:t>
                  </w:r>
                </w:p>
                <w:p w14:paraId="437DAF90">
                  <w:pPr>
                    <w:pStyle w:val="64"/>
                    <w:keepNext w:val="0"/>
                    <w:keepLines w:val="0"/>
                    <w:pageBreakBefore w:val="0"/>
                    <w:widowControl/>
                    <w:kinsoku w:val="0"/>
                    <w:wordWrap/>
                    <w:overflowPunct/>
                    <w:topLinePunct w:val="0"/>
                    <w:autoSpaceDE w:val="0"/>
                    <w:autoSpaceDN w:val="0"/>
                    <w:bidi w:val="0"/>
                    <w:adjustRightInd w:val="0"/>
                    <w:snapToGrid w:val="0"/>
                    <w:spacing w:line="240" w:lineRule="atLeast"/>
                    <w:ind w:left="0" w:right="0" w:firstLine="0"/>
                    <w:jc w:val="center"/>
                    <w:textAlignment w:val="baseline"/>
                    <w:rPr>
                      <w:rFonts w:hint="eastAsia" w:ascii="宋体" w:hAnsi="宋体" w:eastAsia="宋体" w:cs="宋体"/>
                      <w:sz w:val="21"/>
                      <w:szCs w:val="21"/>
                    </w:rPr>
                  </w:pPr>
                  <w:r>
                    <w:rPr>
                      <w:rFonts w:hint="eastAsia" w:ascii="宋体" w:hAnsi="宋体" w:eastAsia="宋体" w:cs="宋体"/>
                      <w:spacing w:val="-3"/>
                      <w:sz w:val="21"/>
                      <w:szCs w:val="21"/>
                    </w:rPr>
                    <w:t>号）</w:t>
                  </w:r>
                </w:p>
              </w:tc>
              <w:tc>
                <w:tcPr>
                  <w:tcW w:w="3446" w:type="dxa"/>
                  <w:noWrap w:val="0"/>
                  <w:vAlign w:val="center"/>
                </w:tcPr>
                <w:p w14:paraId="09441F71">
                  <w:pPr>
                    <w:pStyle w:val="64"/>
                    <w:keepNext w:val="0"/>
                    <w:keepLines w:val="0"/>
                    <w:pageBreakBefore w:val="0"/>
                    <w:widowControl/>
                    <w:numPr>
                      <w:ilvl w:val="0"/>
                      <w:numId w:val="2"/>
                    </w:numPr>
                    <w:kinsoku w:val="0"/>
                    <w:wordWrap/>
                    <w:overflowPunct/>
                    <w:topLinePunct w:val="0"/>
                    <w:autoSpaceDE w:val="0"/>
                    <w:autoSpaceDN w:val="0"/>
                    <w:bidi w:val="0"/>
                    <w:adjustRightInd w:val="0"/>
                    <w:snapToGrid w:val="0"/>
                    <w:spacing w:line="240" w:lineRule="atLeast"/>
                    <w:ind w:left="0" w:right="0" w:firstLine="0"/>
                    <w:jc w:val="center"/>
                    <w:textAlignment w:val="baseline"/>
                    <w:rPr>
                      <w:rFonts w:hint="eastAsia" w:ascii="宋体" w:hAnsi="宋体" w:eastAsia="宋体" w:cs="宋体"/>
                      <w:spacing w:val="3"/>
                      <w:sz w:val="21"/>
                      <w:szCs w:val="21"/>
                    </w:rPr>
                  </w:pPr>
                  <w:r>
                    <w:rPr>
                      <w:rFonts w:hint="eastAsia" w:ascii="宋体" w:hAnsi="宋体" w:eastAsia="宋体" w:cs="宋体"/>
                      <w:spacing w:val="3"/>
                      <w:sz w:val="21"/>
                      <w:szCs w:val="21"/>
                    </w:rPr>
                    <w:t>严格落实产废单位危险废物污染环境防治主体责任。建设单位必须将危险</w:t>
                  </w:r>
                  <w:r>
                    <w:rPr>
                      <w:rFonts w:hint="eastAsia" w:ascii="宋体" w:hAnsi="宋体" w:eastAsia="宋体" w:cs="宋体"/>
                      <w:spacing w:val="9"/>
                      <w:sz w:val="21"/>
                      <w:szCs w:val="21"/>
                    </w:rPr>
                    <w:t>废物提供或委托给有资质单位从事收</w:t>
                  </w:r>
                  <w:r>
                    <w:rPr>
                      <w:rFonts w:hint="eastAsia" w:ascii="宋体" w:hAnsi="宋体" w:eastAsia="宋体" w:cs="宋体"/>
                      <w:spacing w:val="3"/>
                      <w:sz w:val="21"/>
                      <w:szCs w:val="21"/>
                    </w:rPr>
                    <w:t>集、贮存、利用处置活动，并有危险废物利用处置合同、资金往来、废物交接等相关证明材料。</w:t>
                  </w:r>
                </w:p>
                <w:p w14:paraId="0BAF16FD">
                  <w:pPr>
                    <w:pStyle w:val="64"/>
                    <w:keepNext w:val="0"/>
                    <w:keepLines w:val="0"/>
                    <w:pageBreakBefore w:val="0"/>
                    <w:widowControl/>
                    <w:numPr>
                      <w:ilvl w:val="0"/>
                      <w:numId w:val="2"/>
                    </w:numPr>
                    <w:kinsoku w:val="0"/>
                    <w:wordWrap/>
                    <w:overflowPunct/>
                    <w:topLinePunct w:val="0"/>
                    <w:autoSpaceDE w:val="0"/>
                    <w:autoSpaceDN w:val="0"/>
                    <w:bidi w:val="0"/>
                    <w:adjustRightInd w:val="0"/>
                    <w:snapToGrid w:val="0"/>
                    <w:spacing w:line="240" w:lineRule="atLeast"/>
                    <w:ind w:left="0" w:leftChars="0" w:right="0" w:rightChars="0" w:firstLine="0" w:firstLineChars="0"/>
                    <w:jc w:val="both"/>
                    <w:textAlignment w:val="baseline"/>
                    <w:rPr>
                      <w:rFonts w:hint="eastAsia" w:ascii="宋体" w:hAnsi="宋体" w:eastAsia="宋体" w:cs="宋体"/>
                      <w:spacing w:val="8"/>
                      <w:sz w:val="21"/>
                      <w:szCs w:val="21"/>
                    </w:rPr>
                  </w:pPr>
                  <w:r>
                    <w:rPr>
                      <w:rFonts w:hint="eastAsia" w:ascii="宋体" w:hAnsi="宋体" w:eastAsia="宋体" w:cs="宋体"/>
                      <w:spacing w:val="3"/>
                      <w:sz w:val="21"/>
                      <w:szCs w:val="21"/>
                    </w:rPr>
                    <w:t>严格危险废物产</w:t>
                  </w:r>
                  <w:r>
                    <w:rPr>
                      <w:rFonts w:hint="eastAsia" w:ascii="宋体" w:hAnsi="宋体" w:eastAsia="宋体" w:cs="宋体"/>
                      <w:spacing w:val="8"/>
                      <w:sz w:val="21"/>
                      <w:szCs w:val="21"/>
                    </w:rPr>
                    <w:t>生贮存环境监管，通过“江苏环保脸</w:t>
                  </w:r>
                  <w:r>
                    <w:rPr>
                      <w:rFonts w:hint="eastAsia" w:ascii="宋体" w:hAnsi="宋体" w:eastAsia="宋体" w:cs="宋体"/>
                      <w:spacing w:val="7"/>
                      <w:sz w:val="21"/>
                      <w:szCs w:val="21"/>
                    </w:rPr>
                    <w:t>谱”</w:t>
                  </w:r>
                  <w:r>
                    <w:rPr>
                      <w:rFonts w:hint="eastAsia" w:ascii="宋体" w:hAnsi="宋体" w:eastAsia="宋体" w:cs="宋体"/>
                      <w:spacing w:val="-15"/>
                      <w:sz w:val="21"/>
                      <w:szCs w:val="21"/>
                      <w:lang w:eastAsia="zh-CN"/>
                    </w:rPr>
                    <w:t>，</w:t>
                  </w:r>
                  <w:r>
                    <w:rPr>
                      <w:rFonts w:hint="eastAsia" w:ascii="宋体" w:hAnsi="宋体" w:eastAsia="宋体" w:cs="宋体"/>
                      <w:spacing w:val="7"/>
                      <w:sz w:val="21"/>
                      <w:szCs w:val="21"/>
                    </w:rPr>
                    <w:t>全面推行产生和贮存现场实时申</w:t>
                  </w:r>
                  <w:r>
                    <w:rPr>
                      <w:rFonts w:hint="eastAsia" w:ascii="宋体" w:hAnsi="宋体" w:eastAsia="宋体" w:cs="宋体"/>
                      <w:spacing w:val="4"/>
                      <w:sz w:val="21"/>
                      <w:szCs w:val="21"/>
                    </w:rPr>
                    <w:t>报，自动生成二维码包装标识，实现危</w:t>
                  </w:r>
                  <w:r>
                    <w:rPr>
                      <w:rFonts w:hint="eastAsia" w:ascii="宋体" w:hAnsi="宋体" w:eastAsia="宋体" w:cs="宋体"/>
                      <w:spacing w:val="8"/>
                      <w:sz w:val="21"/>
                      <w:szCs w:val="21"/>
                    </w:rPr>
                    <w:t>险废物从产生到贮存信息化监管。</w:t>
                  </w:r>
                </w:p>
                <w:p w14:paraId="6F606ED1">
                  <w:pPr>
                    <w:pStyle w:val="64"/>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tLeast"/>
                    <w:ind w:leftChars="0" w:right="0" w:rightChars="0"/>
                    <w:jc w:val="both"/>
                    <w:textAlignment w:val="baseline"/>
                    <w:rPr>
                      <w:rFonts w:hint="eastAsia" w:ascii="宋体" w:hAnsi="宋体" w:eastAsia="宋体" w:cs="宋体"/>
                      <w:sz w:val="21"/>
                      <w:szCs w:val="21"/>
                    </w:rPr>
                  </w:pPr>
                  <w:r>
                    <w:rPr>
                      <w:rFonts w:hint="eastAsia" w:ascii="宋体" w:hAnsi="宋体" w:eastAsia="宋体" w:cs="宋体"/>
                      <w:spacing w:val="8"/>
                      <w:sz w:val="21"/>
                      <w:szCs w:val="21"/>
                    </w:rPr>
                    <w:t>三、</w:t>
                  </w:r>
                  <w:r>
                    <w:rPr>
                      <w:rFonts w:hint="eastAsia" w:ascii="宋体" w:hAnsi="宋体" w:eastAsia="宋体" w:cs="宋体"/>
                      <w:spacing w:val="3"/>
                      <w:sz w:val="21"/>
                      <w:szCs w:val="21"/>
                    </w:rPr>
                    <w:t>严格危险废物转移环境监管。全面推行</w:t>
                  </w:r>
                  <w:r>
                    <w:rPr>
                      <w:rFonts w:hint="eastAsia" w:ascii="宋体" w:hAnsi="宋体" w:eastAsia="宋体" w:cs="宋体"/>
                      <w:spacing w:val="4"/>
                      <w:sz w:val="21"/>
                      <w:szCs w:val="21"/>
                    </w:rPr>
                    <w:t>危险废物转移电子联单，</w:t>
                  </w:r>
                  <w:r>
                    <w:rPr>
                      <w:rFonts w:hint="eastAsia" w:ascii="宋体" w:hAnsi="宋体" w:eastAsia="宋体" w:cs="宋体"/>
                      <w:spacing w:val="-43"/>
                      <w:sz w:val="21"/>
                      <w:szCs w:val="21"/>
                    </w:rPr>
                    <w:t xml:space="preserve"> </w:t>
                  </w:r>
                  <w:r>
                    <w:rPr>
                      <w:rFonts w:hint="eastAsia" w:ascii="宋体" w:hAnsi="宋体" w:eastAsia="宋体" w:cs="宋体"/>
                      <w:spacing w:val="4"/>
                      <w:sz w:val="21"/>
                      <w:szCs w:val="21"/>
                    </w:rPr>
                    <w:t>自</w:t>
                  </w:r>
                  <w:r>
                    <w:rPr>
                      <w:rFonts w:hint="eastAsia" w:ascii="宋体" w:hAnsi="宋体" w:eastAsia="宋体" w:cs="宋体"/>
                      <w:spacing w:val="-41"/>
                      <w:sz w:val="21"/>
                      <w:szCs w:val="21"/>
                    </w:rPr>
                    <w:t xml:space="preserve"> </w:t>
                  </w:r>
                  <w:r>
                    <w:rPr>
                      <w:rFonts w:hint="eastAsia" w:ascii="宋体" w:hAnsi="宋体" w:eastAsia="宋体" w:cs="宋体"/>
                      <w:spacing w:val="4"/>
                      <w:sz w:val="21"/>
                      <w:szCs w:val="21"/>
                    </w:rPr>
                    <w:t>2021年</w:t>
                  </w:r>
                  <w:r>
                    <w:rPr>
                      <w:rFonts w:hint="eastAsia" w:ascii="宋体" w:hAnsi="宋体" w:eastAsia="宋体" w:cs="宋体"/>
                      <w:spacing w:val="-39"/>
                      <w:sz w:val="21"/>
                      <w:szCs w:val="21"/>
                    </w:rPr>
                    <w:t xml:space="preserve"> </w:t>
                  </w:r>
                  <w:r>
                    <w:rPr>
                      <w:rFonts w:hint="eastAsia" w:ascii="宋体" w:hAnsi="宋体" w:eastAsia="宋体" w:cs="宋体"/>
                      <w:spacing w:val="4"/>
                      <w:sz w:val="21"/>
                      <w:szCs w:val="21"/>
                    </w:rPr>
                    <w:t>7月10日起，危险废物通过全生命周期</w:t>
                  </w:r>
                  <w:r>
                    <w:rPr>
                      <w:rFonts w:hint="eastAsia" w:ascii="宋体" w:hAnsi="宋体" w:eastAsia="宋体" w:cs="宋体"/>
                      <w:spacing w:val="3"/>
                      <w:sz w:val="21"/>
                      <w:szCs w:val="21"/>
                    </w:rPr>
                    <w:t>监控系统扫描二维码转移，严禁无二维</w:t>
                  </w:r>
                  <w:r>
                    <w:rPr>
                      <w:rFonts w:hint="eastAsia" w:ascii="宋体" w:hAnsi="宋体" w:eastAsia="宋体" w:cs="宋体"/>
                      <w:spacing w:val="8"/>
                      <w:sz w:val="21"/>
                      <w:szCs w:val="21"/>
                    </w:rPr>
                    <w:t>码转移行为（槽罐车、管道等除外）。</w:t>
                  </w:r>
                </w:p>
              </w:tc>
              <w:tc>
                <w:tcPr>
                  <w:tcW w:w="2205" w:type="dxa"/>
                  <w:tcBorders>
                    <w:top w:val="single" w:color="000000" w:sz="2" w:space="0"/>
                    <w:bottom w:val="single" w:color="000000" w:sz="2" w:space="0"/>
                    <w:right w:val="nil"/>
                  </w:tcBorders>
                  <w:noWrap w:val="0"/>
                  <w:vAlign w:val="center"/>
                </w:tcPr>
                <w:p w14:paraId="7EF393E9">
                  <w:pPr>
                    <w:pStyle w:val="64"/>
                    <w:keepNext w:val="0"/>
                    <w:keepLines/>
                    <w:pageBreakBefore w:val="0"/>
                    <w:widowControl/>
                    <w:kinsoku/>
                    <w:wordWrap w:val="0"/>
                    <w:overflowPunct/>
                    <w:topLinePunct/>
                    <w:autoSpaceDE/>
                    <w:autoSpaceDN/>
                    <w:bidi w:val="0"/>
                    <w:adjustRightInd w:val="0"/>
                    <w:snapToGrid w:val="0"/>
                    <w:spacing w:line="240" w:lineRule="atLeast"/>
                    <w:ind w:left="0" w:right="0" w:firstLine="0"/>
                    <w:jc w:val="center"/>
                    <w:textAlignment w:val="baseline"/>
                    <w:rPr>
                      <w:rFonts w:hint="eastAsia" w:ascii="宋体" w:hAnsi="宋体" w:eastAsia="宋体" w:cs="宋体"/>
                      <w:sz w:val="21"/>
                      <w:szCs w:val="21"/>
                    </w:rPr>
                  </w:pPr>
                  <w:r>
                    <w:rPr>
                      <w:rFonts w:hint="eastAsia" w:ascii="宋体" w:hAnsi="宋体" w:eastAsia="宋体" w:cs="宋体"/>
                      <w:spacing w:val="8"/>
                      <w:sz w:val="21"/>
                      <w:szCs w:val="21"/>
                    </w:rPr>
                    <w:t>相符。本项目建成运</w:t>
                  </w:r>
                  <w:r>
                    <w:rPr>
                      <w:rFonts w:hint="eastAsia" w:ascii="宋体" w:hAnsi="宋体" w:eastAsia="宋体" w:cs="宋体"/>
                      <w:spacing w:val="7"/>
                      <w:sz w:val="21"/>
                      <w:szCs w:val="21"/>
                    </w:rPr>
                    <w:t xml:space="preserve"> </w:t>
                  </w:r>
                  <w:r>
                    <w:rPr>
                      <w:rFonts w:hint="eastAsia" w:ascii="宋体" w:hAnsi="宋体" w:eastAsia="宋体" w:cs="宋体"/>
                      <w:spacing w:val="9"/>
                      <w:sz w:val="21"/>
                      <w:szCs w:val="21"/>
                    </w:rPr>
                    <w:t>营后，厂内危险废物</w:t>
                  </w:r>
                  <w:r>
                    <w:rPr>
                      <w:rFonts w:hint="eastAsia" w:ascii="宋体" w:hAnsi="宋体" w:eastAsia="宋体" w:cs="宋体"/>
                      <w:sz w:val="21"/>
                      <w:szCs w:val="21"/>
                    </w:rPr>
                    <w:t xml:space="preserve"> </w:t>
                  </w:r>
                  <w:r>
                    <w:rPr>
                      <w:rFonts w:hint="eastAsia" w:ascii="宋体" w:hAnsi="宋体" w:eastAsia="宋体" w:cs="宋体"/>
                      <w:spacing w:val="9"/>
                      <w:sz w:val="21"/>
                      <w:szCs w:val="21"/>
                    </w:rPr>
                    <w:t>的贮存、处置，将严格按相关要求落实，</w:t>
                  </w:r>
                  <w:r>
                    <w:rPr>
                      <w:rFonts w:hint="eastAsia" w:ascii="宋体" w:hAnsi="宋体" w:eastAsia="宋体" w:cs="宋体"/>
                      <w:spacing w:val="14"/>
                      <w:sz w:val="21"/>
                      <w:szCs w:val="21"/>
                    </w:rPr>
                    <w:t>同时在“江苏环保脸谱”上及时申报危险</w:t>
                  </w:r>
                  <w:r>
                    <w:rPr>
                      <w:rFonts w:hint="eastAsia" w:ascii="宋体" w:hAnsi="宋体" w:eastAsia="宋体" w:cs="宋体"/>
                      <w:spacing w:val="9"/>
                      <w:sz w:val="21"/>
                      <w:szCs w:val="21"/>
                    </w:rPr>
                    <w:t>废物，并生成二维码包装标识。对于危废的转移，将积极落实危废转移电子联单制</w:t>
                  </w:r>
                  <w:r>
                    <w:rPr>
                      <w:rFonts w:hint="eastAsia" w:ascii="宋体" w:hAnsi="宋体" w:eastAsia="宋体" w:cs="宋体"/>
                      <w:sz w:val="21"/>
                      <w:szCs w:val="21"/>
                    </w:rPr>
                    <w:t>度。</w:t>
                  </w:r>
                </w:p>
              </w:tc>
            </w:tr>
            <w:tr w14:paraId="5EB4DF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0" w:hRule="atLeast"/>
                <w:jc w:val="center"/>
              </w:trPr>
              <w:tc>
                <w:tcPr>
                  <w:tcW w:w="1027" w:type="dxa"/>
                  <w:vMerge w:val="restart"/>
                  <w:tcBorders>
                    <w:left w:val="nil"/>
                    <w:bottom w:val="nil"/>
                  </w:tcBorders>
                  <w:noWrap w:val="0"/>
                  <w:vAlign w:val="center"/>
                </w:tcPr>
                <w:p w14:paraId="34DA9213">
                  <w:pPr>
                    <w:pStyle w:val="64"/>
                    <w:keepNext w:val="0"/>
                    <w:keepLines w:val="0"/>
                    <w:pageBreakBefore w:val="0"/>
                    <w:widowControl/>
                    <w:kinsoku w:val="0"/>
                    <w:wordWrap/>
                    <w:overflowPunct/>
                    <w:topLinePunct w:val="0"/>
                    <w:autoSpaceDE w:val="0"/>
                    <w:autoSpaceDN w:val="0"/>
                    <w:bidi w:val="0"/>
                    <w:adjustRightInd w:val="0"/>
                    <w:snapToGrid w:val="0"/>
                    <w:spacing w:line="240" w:lineRule="atLeast"/>
                    <w:ind w:left="0" w:right="0" w:firstLine="0"/>
                    <w:jc w:val="center"/>
                    <w:textAlignment w:val="baseline"/>
                    <w:rPr>
                      <w:rFonts w:hint="eastAsia" w:ascii="宋体" w:hAnsi="宋体" w:eastAsia="宋体" w:cs="宋体"/>
                      <w:sz w:val="21"/>
                      <w:szCs w:val="21"/>
                    </w:rPr>
                  </w:pPr>
                  <w:r>
                    <w:rPr>
                      <w:rFonts w:hint="eastAsia" w:ascii="宋体" w:hAnsi="宋体" w:eastAsia="宋体" w:cs="宋体"/>
                      <w:spacing w:val="6"/>
                      <w:sz w:val="21"/>
                      <w:szCs w:val="21"/>
                    </w:rPr>
                    <w:t>《危险废</w:t>
                  </w:r>
                  <w:r>
                    <w:rPr>
                      <w:rFonts w:hint="eastAsia" w:ascii="宋体" w:hAnsi="宋体" w:eastAsia="宋体" w:cs="宋体"/>
                      <w:sz w:val="21"/>
                      <w:szCs w:val="21"/>
                    </w:rPr>
                    <w:t xml:space="preserve">  </w:t>
                  </w:r>
                  <w:r>
                    <w:rPr>
                      <w:rFonts w:hint="eastAsia" w:ascii="宋体" w:hAnsi="宋体" w:eastAsia="宋体" w:cs="宋体"/>
                      <w:spacing w:val="23"/>
                      <w:sz w:val="21"/>
                      <w:szCs w:val="21"/>
                    </w:rPr>
                    <w:t>物管理计</w:t>
                  </w:r>
                  <w:r>
                    <w:rPr>
                      <w:rFonts w:hint="eastAsia" w:ascii="宋体" w:hAnsi="宋体" w:eastAsia="宋体" w:cs="宋体"/>
                      <w:sz w:val="21"/>
                      <w:szCs w:val="21"/>
                    </w:rPr>
                    <w:t xml:space="preserve">  </w:t>
                  </w:r>
                  <w:r>
                    <w:rPr>
                      <w:rFonts w:hint="eastAsia" w:ascii="宋体" w:hAnsi="宋体" w:eastAsia="宋体" w:cs="宋体"/>
                      <w:spacing w:val="23"/>
                      <w:sz w:val="21"/>
                      <w:szCs w:val="21"/>
                    </w:rPr>
                    <w:t>划和管理</w:t>
                  </w:r>
                  <w:r>
                    <w:rPr>
                      <w:rFonts w:hint="eastAsia" w:ascii="宋体" w:hAnsi="宋体" w:eastAsia="宋体" w:cs="宋体"/>
                      <w:sz w:val="21"/>
                      <w:szCs w:val="21"/>
                    </w:rPr>
                    <w:t xml:space="preserve">  </w:t>
                  </w:r>
                  <w:r>
                    <w:rPr>
                      <w:rFonts w:hint="eastAsia" w:ascii="宋体" w:hAnsi="宋体" w:eastAsia="宋体" w:cs="宋体"/>
                      <w:spacing w:val="23"/>
                      <w:sz w:val="21"/>
                      <w:szCs w:val="21"/>
                    </w:rPr>
                    <w:t>台账制定</w:t>
                  </w:r>
                  <w:r>
                    <w:rPr>
                      <w:rFonts w:hint="eastAsia" w:ascii="宋体" w:hAnsi="宋体" w:eastAsia="宋体" w:cs="宋体"/>
                      <w:sz w:val="21"/>
                      <w:szCs w:val="21"/>
                    </w:rPr>
                    <w:t xml:space="preserve">  </w:t>
                  </w:r>
                  <w:r>
                    <w:rPr>
                      <w:rFonts w:hint="eastAsia" w:ascii="宋体" w:hAnsi="宋体" w:eastAsia="宋体" w:cs="宋体"/>
                      <w:spacing w:val="5"/>
                      <w:sz w:val="21"/>
                      <w:szCs w:val="21"/>
                    </w:rPr>
                    <w:t>技术导则》</w:t>
                  </w:r>
                </w:p>
                <w:p w14:paraId="7F0626D7">
                  <w:pPr>
                    <w:pStyle w:val="64"/>
                    <w:keepNext w:val="0"/>
                    <w:keepLines w:val="0"/>
                    <w:pageBreakBefore w:val="0"/>
                    <w:widowControl/>
                    <w:kinsoku w:val="0"/>
                    <w:wordWrap/>
                    <w:overflowPunct/>
                    <w:topLinePunct w:val="0"/>
                    <w:autoSpaceDE w:val="0"/>
                    <w:autoSpaceDN w:val="0"/>
                    <w:bidi w:val="0"/>
                    <w:adjustRightInd w:val="0"/>
                    <w:snapToGrid w:val="0"/>
                    <w:spacing w:line="240" w:lineRule="atLeast"/>
                    <w:ind w:left="0" w:right="0" w:firstLine="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w:t>
                  </w:r>
                  <w:r>
                    <w:rPr>
                      <w:rFonts w:hint="eastAsia" w:ascii="宋体" w:hAnsi="宋体" w:eastAsia="宋体" w:cs="宋体"/>
                      <w:sz w:val="21"/>
                      <w:szCs w:val="21"/>
                    </w:rPr>
                    <w:t>HJ</w:t>
                  </w:r>
                  <w:r>
                    <w:rPr>
                      <w:rFonts w:hint="eastAsia" w:ascii="宋体" w:hAnsi="宋体" w:eastAsia="宋体" w:cs="宋体"/>
                      <w:spacing w:val="4"/>
                      <w:sz w:val="21"/>
                      <w:szCs w:val="21"/>
                    </w:rPr>
                    <w:t>1259-</w:t>
                  </w:r>
                  <w:r>
                    <w:rPr>
                      <w:rFonts w:hint="eastAsia" w:ascii="宋体" w:hAnsi="宋体" w:eastAsia="宋体" w:cs="宋体"/>
                      <w:spacing w:val="1"/>
                      <w:sz w:val="21"/>
                      <w:szCs w:val="21"/>
                    </w:rPr>
                    <w:t xml:space="preserve"> </w:t>
                  </w:r>
                  <w:r>
                    <w:rPr>
                      <w:rFonts w:hint="eastAsia" w:ascii="宋体" w:hAnsi="宋体" w:eastAsia="宋体" w:cs="宋体"/>
                      <w:spacing w:val="3"/>
                      <w:sz w:val="21"/>
                      <w:szCs w:val="21"/>
                    </w:rPr>
                    <w:t>2022）</w:t>
                  </w:r>
                </w:p>
              </w:tc>
              <w:tc>
                <w:tcPr>
                  <w:tcW w:w="3446" w:type="dxa"/>
                  <w:noWrap w:val="0"/>
                  <w:vAlign w:val="center"/>
                </w:tcPr>
                <w:p w14:paraId="626D210D">
                  <w:pPr>
                    <w:pStyle w:val="64"/>
                    <w:keepNext w:val="0"/>
                    <w:keepLines w:val="0"/>
                    <w:pageBreakBefore w:val="0"/>
                    <w:widowControl/>
                    <w:kinsoku w:val="0"/>
                    <w:wordWrap/>
                    <w:overflowPunct/>
                    <w:topLinePunct w:val="0"/>
                    <w:autoSpaceDE w:val="0"/>
                    <w:autoSpaceDN w:val="0"/>
                    <w:bidi w:val="0"/>
                    <w:adjustRightInd w:val="0"/>
                    <w:snapToGrid w:val="0"/>
                    <w:spacing w:line="240" w:lineRule="atLeast"/>
                    <w:ind w:left="0" w:right="0" w:firstLine="0"/>
                    <w:jc w:val="left"/>
                    <w:textAlignment w:val="baseline"/>
                    <w:rPr>
                      <w:rFonts w:hint="eastAsia" w:ascii="宋体" w:hAnsi="宋体" w:eastAsia="宋体" w:cs="宋体"/>
                      <w:sz w:val="21"/>
                      <w:szCs w:val="21"/>
                    </w:rPr>
                  </w:pPr>
                  <w:r>
                    <w:rPr>
                      <w:rFonts w:hint="eastAsia" w:ascii="宋体" w:hAnsi="宋体" w:eastAsia="宋体" w:cs="宋体"/>
                      <w:spacing w:val="9"/>
                      <w:sz w:val="21"/>
                      <w:szCs w:val="21"/>
                    </w:rPr>
                    <w:t>根据危险废物的产生数量和环境风险</w:t>
                  </w:r>
                  <w:r>
                    <w:rPr>
                      <w:rFonts w:hint="eastAsia" w:ascii="宋体" w:hAnsi="宋体" w:eastAsia="宋体" w:cs="宋体"/>
                      <w:spacing w:val="3"/>
                      <w:sz w:val="21"/>
                      <w:szCs w:val="21"/>
                    </w:rPr>
                    <w:t>等因素，产生危险废物的单位的管理类</w:t>
                  </w:r>
                  <w:r>
                    <w:rPr>
                      <w:rFonts w:hint="eastAsia" w:ascii="宋体" w:hAnsi="宋体" w:eastAsia="宋体" w:cs="宋体"/>
                      <w:spacing w:val="9"/>
                      <w:sz w:val="21"/>
                      <w:szCs w:val="21"/>
                    </w:rPr>
                    <w:t>别按照以下原则分为危险废物环境重</w:t>
                  </w:r>
                  <w:r>
                    <w:rPr>
                      <w:rFonts w:hint="eastAsia" w:ascii="宋体" w:hAnsi="宋体" w:eastAsia="宋体" w:cs="宋体"/>
                      <w:spacing w:val="3"/>
                      <w:sz w:val="21"/>
                      <w:szCs w:val="21"/>
                    </w:rPr>
                    <w:t>点监管单位、危险废物简化管理单位和</w:t>
                  </w:r>
                  <w:r>
                    <w:rPr>
                      <w:rFonts w:hint="eastAsia" w:ascii="宋体" w:hAnsi="宋体" w:eastAsia="宋体" w:cs="宋体"/>
                      <w:spacing w:val="7"/>
                      <w:sz w:val="21"/>
                      <w:szCs w:val="21"/>
                    </w:rPr>
                    <w:t>危险废物登记管理单位。</w:t>
                  </w:r>
                </w:p>
                <w:p w14:paraId="21E812CA">
                  <w:pPr>
                    <w:pStyle w:val="64"/>
                    <w:keepNext w:val="0"/>
                    <w:keepLines w:val="0"/>
                    <w:pageBreakBefore w:val="0"/>
                    <w:widowControl/>
                    <w:kinsoku w:val="0"/>
                    <w:wordWrap/>
                    <w:overflowPunct/>
                    <w:topLinePunct w:val="0"/>
                    <w:autoSpaceDE w:val="0"/>
                    <w:autoSpaceDN w:val="0"/>
                    <w:bidi w:val="0"/>
                    <w:adjustRightInd w:val="0"/>
                    <w:snapToGrid w:val="0"/>
                    <w:spacing w:line="240" w:lineRule="atLeast"/>
                    <w:ind w:left="0" w:right="0" w:firstLine="0"/>
                    <w:jc w:val="left"/>
                    <w:textAlignment w:val="baseline"/>
                    <w:rPr>
                      <w:rFonts w:hint="eastAsia" w:ascii="宋体" w:hAnsi="宋体" w:eastAsia="宋体" w:cs="宋体"/>
                      <w:sz w:val="21"/>
                      <w:szCs w:val="21"/>
                    </w:rPr>
                  </w:pPr>
                  <w:r>
                    <w:rPr>
                      <w:rFonts w:hint="eastAsia" w:ascii="宋体" w:hAnsi="宋体" w:eastAsia="宋体" w:cs="宋体"/>
                      <w:spacing w:val="8"/>
                      <w:sz w:val="21"/>
                      <w:szCs w:val="21"/>
                    </w:rPr>
                    <w:t>危险废物登记管理单位同一生产经营场所危险废物年产生量</w:t>
                  </w:r>
                  <w:r>
                    <w:rPr>
                      <w:rFonts w:hint="eastAsia" w:ascii="宋体" w:hAnsi="宋体" w:eastAsia="宋体" w:cs="宋体"/>
                      <w:spacing w:val="6"/>
                      <w:sz w:val="21"/>
                      <w:szCs w:val="21"/>
                    </w:rPr>
                    <w:t>10</w:t>
                  </w:r>
                  <w:r>
                    <w:rPr>
                      <w:rFonts w:hint="eastAsia" w:ascii="宋体" w:hAnsi="宋体" w:eastAsia="宋体" w:cs="宋体"/>
                      <w:spacing w:val="6"/>
                      <w:sz w:val="21"/>
                      <w:szCs w:val="21"/>
                      <w:lang w:val="en-US" w:eastAsia="zh-CN"/>
                    </w:rPr>
                    <w:t>t</w:t>
                  </w:r>
                  <w:r>
                    <w:rPr>
                      <w:rFonts w:hint="eastAsia" w:ascii="宋体" w:hAnsi="宋体" w:eastAsia="宋体" w:cs="宋体"/>
                      <w:spacing w:val="6"/>
                      <w:sz w:val="21"/>
                      <w:szCs w:val="21"/>
                    </w:rPr>
                    <w:t>以下且未纳入危险废物环境重点监管单位的单位。</w:t>
                  </w:r>
                </w:p>
              </w:tc>
              <w:tc>
                <w:tcPr>
                  <w:tcW w:w="2205" w:type="dxa"/>
                  <w:tcBorders>
                    <w:top w:val="single" w:color="000000" w:sz="2" w:space="0"/>
                    <w:bottom w:val="single" w:color="000000" w:sz="2" w:space="0"/>
                    <w:right w:val="nil"/>
                  </w:tcBorders>
                  <w:noWrap w:val="0"/>
                  <w:vAlign w:val="center"/>
                </w:tcPr>
                <w:p w14:paraId="210CB455">
                  <w:pPr>
                    <w:pStyle w:val="64"/>
                    <w:keepNext w:val="0"/>
                    <w:keepLines/>
                    <w:pageBreakBefore w:val="0"/>
                    <w:widowControl/>
                    <w:kinsoku/>
                    <w:wordWrap w:val="0"/>
                    <w:overflowPunct/>
                    <w:topLinePunct/>
                    <w:autoSpaceDE/>
                    <w:autoSpaceDN/>
                    <w:bidi w:val="0"/>
                    <w:adjustRightInd w:val="0"/>
                    <w:snapToGrid w:val="0"/>
                    <w:spacing w:line="240" w:lineRule="atLeast"/>
                    <w:ind w:left="0" w:right="0" w:firstLine="0"/>
                    <w:jc w:val="center"/>
                    <w:textAlignment w:val="baseline"/>
                    <w:rPr>
                      <w:rFonts w:hint="eastAsia" w:ascii="宋体" w:hAnsi="宋体" w:eastAsia="宋体" w:cs="宋体"/>
                      <w:sz w:val="21"/>
                      <w:szCs w:val="21"/>
                    </w:rPr>
                  </w:pPr>
                  <w:r>
                    <w:rPr>
                      <w:rFonts w:hint="eastAsia" w:ascii="宋体" w:hAnsi="宋体" w:eastAsia="宋体" w:cs="宋体"/>
                      <w:spacing w:val="8"/>
                      <w:sz w:val="21"/>
                      <w:szCs w:val="21"/>
                    </w:rPr>
                    <w:t>相符。</w:t>
                  </w:r>
                  <w:r>
                    <w:rPr>
                      <w:rFonts w:hint="eastAsia" w:ascii="宋体" w:hAnsi="宋体" w:eastAsia="宋体" w:cs="宋体"/>
                      <w:spacing w:val="11"/>
                      <w:sz w:val="21"/>
                      <w:szCs w:val="21"/>
                    </w:rPr>
                    <w:t>项目建成后，将按照相关要求建立危险废物管理台账，制定危险废物管理计划，并报送环</w:t>
                  </w:r>
                  <w:r>
                    <w:rPr>
                      <w:rFonts w:hint="eastAsia" w:ascii="宋体" w:hAnsi="宋体" w:eastAsia="宋体" w:cs="宋体"/>
                      <w:spacing w:val="6"/>
                      <w:sz w:val="21"/>
                      <w:szCs w:val="21"/>
                    </w:rPr>
                    <w:t>保部门备案。</w:t>
                  </w:r>
                </w:p>
              </w:tc>
            </w:tr>
            <w:tr w14:paraId="24EFE0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9" w:hRule="atLeast"/>
                <w:jc w:val="center"/>
              </w:trPr>
              <w:tc>
                <w:tcPr>
                  <w:tcW w:w="1027" w:type="dxa"/>
                  <w:vMerge w:val="continue"/>
                  <w:tcBorders>
                    <w:top w:val="nil"/>
                    <w:left w:val="nil"/>
                    <w:bottom w:val="single" w:color="000000" w:sz="10" w:space="0"/>
                  </w:tcBorders>
                  <w:noWrap w:val="0"/>
                  <w:vAlign w:val="center"/>
                </w:tcPr>
                <w:p w14:paraId="2CDC86E2">
                  <w:pPr>
                    <w:keepNext w:val="0"/>
                    <w:keepLines w:val="0"/>
                    <w:pageBreakBefore w:val="0"/>
                    <w:widowControl/>
                    <w:kinsoku w:val="0"/>
                    <w:wordWrap/>
                    <w:overflowPunct/>
                    <w:topLinePunct w:val="0"/>
                    <w:autoSpaceDE w:val="0"/>
                    <w:autoSpaceDN w:val="0"/>
                    <w:bidi w:val="0"/>
                    <w:adjustRightInd w:val="0"/>
                    <w:snapToGrid w:val="0"/>
                    <w:spacing w:line="240" w:lineRule="atLeast"/>
                    <w:ind w:left="0" w:right="0" w:firstLine="0"/>
                    <w:jc w:val="center"/>
                    <w:textAlignment w:val="baseline"/>
                    <w:rPr>
                      <w:rFonts w:hint="eastAsia" w:ascii="宋体" w:hAnsi="宋体" w:eastAsia="宋体" w:cs="宋体"/>
                      <w:sz w:val="21"/>
                      <w:szCs w:val="21"/>
                    </w:rPr>
                  </w:pPr>
                </w:p>
              </w:tc>
              <w:tc>
                <w:tcPr>
                  <w:tcW w:w="3446" w:type="dxa"/>
                  <w:tcBorders>
                    <w:bottom w:val="single" w:color="000000" w:sz="10" w:space="0"/>
                  </w:tcBorders>
                  <w:noWrap w:val="0"/>
                  <w:vAlign w:val="center"/>
                </w:tcPr>
                <w:p w14:paraId="47BBB4B6">
                  <w:pPr>
                    <w:pStyle w:val="64"/>
                    <w:keepNext w:val="0"/>
                    <w:keepLines w:val="0"/>
                    <w:pageBreakBefore w:val="0"/>
                    <w:widowControl/>
                    <w:kinsoku w:val="0"/>
                    <w:wordWrap/>
                    <w:overflowPunct/>
                    <w:topLinePunct w:val="0"/>
                    <w:autoSpaceDE w:val="0"/>
                    <w:autoSpaceDN w:val="0"/>
                    <w:bidi w:val="0"/>
                    <w:adjustRightInd w:val="0"/>
                    <w:snapToGrid w:val="0"/>
                    <w:spacing w:line="240" w:lineRule="atLeast"/>
                    <w:ind w:left="0" w:right="0" w:firstLine="0"/>
                    <w:jc w:val="left"/>
                    <w:textAlignment w:val="baseline"/>
                    <w:rPr>
                      <w:rFonts w:hint="eastAsia" w:ascii="宋体" w:hAnsi="宋体" w:eastAsia="宋体" w:cs="宋体"/>
                      <w:sz w:val="21"/>
                      <w:szCs w:val="21"/>
                    </w:rPr>
                  </w:pPr>
                  <w:r>
                    <w:rPr>
                      <w:rFonts w:hint="eastAsia" w:ascii="宋体" w:hAnsi="宋体" w:eastAsia="宋体" w:cs="宋体"/>
                      <w:spacing w:val="9"/>
                      <w:sz w:val="21"/>
                      <w:szCs w:val="21"/>
                    </w:rPr>
                    <w:t>产生危险废物的单位制定危险废物管</w:t>
                  </w:r>
                  <w:r>
                    <w:rPr>
                      <w:rFonts w:hint="eastAsia" w:ascii="宋体" w:hAnsi="宋体" w:eastAsia="宋体" w:cs="宋体"/>
                      <w:spacing w:val="3"/>
                      <w:sz w:val="21"/>
                      <w:szCs w:val="21"/>
                    </w:rPr>
                    <w:t>理计划和管理台账、申报危险废物有关资料的总体要求，危险废物管理计划制定要求，危险废物管理台账制定要求和危险废物申报要求。危险废物保存时间</w:t>
                  </w:r>
                  <w:r>
                    <w:rPr>
                      <w:rFonts w:hint="eastAsia" w:ascii="宋体" w:hAnsi="宋体" w:eastAsia="宋体" w:cs="宋体"/>
                      <w:spacing w:val="6"/>
                      <w:sz w:val="21"/>
                      <w:szCs w:val="21"/>
                    </w:rPr>
                    <w:t>原则上应存档</w:t>
                  </w:r>
                  <w:r>
                    <w:rPr>
                      <w:rFonts w:hint="eastAsia" w:ascii="宋体" w:hAnsi="宋体" w:eastAsia="宋体" w:cs="宋体"/>
                      <w:spacing w:val="-36"/>
                      <w:sz w:val="21"/>
                      <w:szCs w:val="21"/>
                    </w:rPr>
                    <w:t xml:space="preserve"> </w:t>
                  </w:r>
                  <w:r>
                    <w:rPr>
                      <w:rFonts w:hint="eastAsia" w:ascii="宋体" w:hAnsi="宋体" w:eastAsia="宋体" w:cs="宋体"/>
                      <w:spacing w:val="6"/>
                      <w:sz w:val="21"/>
                      <w:szCs w:val="21"/>
                    </w:rPr>
                    <w:t>5年以上。</w:t>
                  </w:r>
                </w:p>
              </w:tc>
              <w:tc>
                <w:tcPr>
                  <w:tcW w:w="2205" w:type="dxa"/>
                  <w:tcBorders>
                    <w:top w:val="single" w:color="000000" w:sz="2" w:space="0"/>
                    <w:bottom w:val="single" w:color="000000" w:sz="10" w:space="0"/>
                    <w:right w:val="nil"/>
                  </w:tcBorders>
                  <w:noWrap w:val="0"/>
                  <w:vAlign w:val="center"/>
                </w:tcPr>
                <w:p w14:paraId="65247373">
                  <w:pPr>
                    <w:pStyle w:val="64"/>
                    <w:keepNext w:val="0"/>
                    <w:keepLines w:val="0"/>
                    <w:pageBreakBefore w:val="0"/>
                    <w:widowControl/>
                    <w:kinsoku w:val="0"/>
                    <w:wordWrap/>
                    <w:overflowPunct/>
                    <w:topLinePunct w:val="0"/>
                    <w:autoSpaceDE w:val="0"/>
                    <w:autoSpaceDN w:val="0"/>
                    <w:bidi w:val="0"/>
                    <w:adjustRightInd w:val="0"/>
                    <w:snapToGrid w:val="0"/>
                    <w:spacing w:line="240" w:lineRule="atLeast"/>
                    <w:ind w:left="0" w:right="0" w:firstLine="0"/>
                    <w:jc w:val="center"/>
                    <w:textAlignment w:val="baseline"/>
                    <w:rPr>
                      <w:rFonts w:hint="eastAsia" w:ascii="宋体" w:hAnsi="宋体" w:eastAsia="宋体" w:cs="宋体"/>
                      <w:sz w:val="21"/>
                      <w:szCs w:val="21"/>
                    </w:rPr>
                  </w:pPr>
                  <w:r>
                    <w:rPr>
                      <w:rFonts w:hint="eastAsia" w:ascii="宋体" w:hAnsi="宋体" w:eastAsia="宋体" w:cs="宋体"/>
                      <w:spacing w:val="8"/>
                      <w:sz w:val="21"/>
                      <w:szCs w:val="21"/>
                    </w:rPr>
                    <w:t>本项目实施后，产生</w:t>
                  </w:r>
                  <w:r>
                    <w:rPr>
                      <w:rFonts w:hint="eastAsia" w:ascii="宋体" w:hAnsi="宋体" w:eastAsia="宋体" w:cs="宋体"/>
                      <w:spacing w:val="6"/>
                      <w:sz w:val="21"/>
                      <w:szCs w:val="21"/>
                    </w:rPr>
                    <w:t xml:space="preserve"> </w:t>
                  </w:r>
                  <w:r>
                    <w:rPr>
                      <w:rFonts w:hint="eastAsia" w:ascii="宋体" w:hAnsi="宋体" w:eastAsia="宋体" w:cs="宋体"/>
                      <w:spacing w:val="8"/>
                      <w:sz w:val="21"/>
                      <w:szCs w:val="21"/>
                    </w:rPr>
                    <w:t>的各类危险废物将分</w:t>
                  </w:r>
                  <w:r>
                    <w:rPr>
                      <w:rFonts w:hint="eastAsia" w:ascii="宋体" w:hAnsi="宋体" w:eastAsia="宋体" w:cs="宋体"/>
                      <w:spacing w:val="7"/>
                      <w:sz w:val="21"/>
                      <w:szCs w:val="21"/>
                    </w:rPr>
                    <w:t xml:space="preserve"> </w:t>
                  </w:r>
                  <w:r>
                    <w:rPr>
                      <w:rFonts w:hint="eastAsia" w:ascii="宋体" w:hAnsi="宋体" w:eastAsia="宋体" w:cs="宋体"/>
                      <w:spacing w:val="8"/>
                      <w:sz w:val="21"/>
                      <w:szCs w:val="21"/>
                    </w:rPr>
                    <w:t>类收集、分区暂存同</w:t>
                  </w:r>
                  <w:r>
                    <w:rPr>
                      <w:rFonts w:hint="eastAsia" w:ascii="宋体" w:hAnsi="宋体" w:eastAsia="宋体" w:cs="宋体"/>
                      <w:spacing w:val="7"/>
                      <w:sz w:val="21"/>
                      <w:szCs w:val="21"/>
                    </w:rPr>
                    <w:t xml:space="preserve"> </w:t>
                  </w:r>
                  <w:r>
                    <w:rPr>
                      <w:rFonts w:hint="eastAsia" w:ascii="宋体" w:hAnsi="宋体" w:eastAsia="宋体" w:cs="宋体"/>
                      <w:spacing w:val="8"/>
                      <w:sz w:val="21"/>
                      <w:szCs w:val="21"/>
                    </w:rPr>
                    <w:t>时将会设专人管理环</w:t>
                  </w:r>
                  <w:r>
                    <w:rPr>
                      <w:rFonts w:hint="eastAsia" w:ascii="宋体" w:hAnsi="宋体" w:eastAsia="宋体" w:cs="宋体"/>
                      <w:spacing w:val="7"/>
                      <w:sz w:val="21"/>
                      <w:szCs w:val="21"/>
                    </w:rPr>
                    <w:t xml:space="preserve"> </w:t>
                  </w:r>
                  <w:r>
                    <w:rPr>
                      <w:rFonts w:hint="eastAsia" w:ascii="宋体" w:hAnsi="宋体" w:eastAsia="宋体" w:cs="宋体"/>
                      <w:spacing w:val="8"/>
                      <w:sz w:val="21"/>
                      <w:szCs w:val="21"/>
                    </w:rPr>
                    <w:t>保工作，制定危险废</w:t>
                  </w:r>
                  <w:r>
                    <w:rPr>
                      <w:rFonts w:hint="eastAsia" w:ascii="宋体" w:hAnsi="宋体" w:eastAsia="宋体" w:cs="宋体"/>
                      <w:spacing w:val="7"/>
                      <w:sz w:val="21"/>
                      <w:szCs w:val="21"/>
                    </w:rPr>
                    <w:t xml:space="preserve"> </w:t>
                  </w:r>
                  <w:r>
                    <w:rPr>
                      <w:rFonts w:hint="eastAsia" w:ascii="宋体" w:hAnsi="宋体" w:eastAsia="宋体" w:cs="宋体"/>
                      <w:spacing w:val="8"/>
                      <w:sz w:val="21"/>
                      <w:szCs w:val="21"/>
                    </w:rPr>
                    <w:t>物管理计划，建立危</w:t>
                  </w:r>
                  <w:r>
                    <w:rPr>
                      <w:rFonts w:hint="eastAsia" w:ascii="宋体" w:hAnsi="宋体" w:eastAsia="宋体" w:cs="宋体"/>
                      <w:spacing w:val="7"/>
                      <w:sz w:val="21"/>
                      <w:szCs w:val="21"/>
                    </w:rPr>
                    <w:t xml:space="preserve"> </w:t>
                  </w:r>
                  <w:r>
                    <w:rPr>
                      <w:rFonts w:hint="eastAsia" w:ascii="宋体" w:hAnsi="宋体" w:eastAsia="宋体" w:cs="宋体"/>
                      <w:spacing w:val="8"/>
                      <w:sz w:val="21"/>
                      <w:szCs w:val="21"/>
                    </w:rPr>
                    <w:t>险废物管理台账，如</w:t>
                  </w:r>
                </w:p>
                <w:p w14:paraId="49A8B4B7">
                  <w:pPr>
                    <w:pStyle w:val="64"/>
                    <w:keepNext w:val="0"/>
                    <w:keepLines w:val="0"/>
                    <w:pageBreakBefore w:val="0"/>
                    <w:widowControl/>
                    <w:kinsoku w:val="0"/>
                    <w:wordWrap/>
                    <w:overflowPunct/>
                    <w:topLinePunct w:val="0"/>
                    <w:autoSpaceDE w:val="0"/>
                    <w:autoSpaceDN w:val="0"/>
                    <w:bidi w:val="0"/>
                    <w:adjustRightInd w:val="0"/>
                    <w:snapToGrid w:val="0"/>
                    <w:spacing w:line="240" w:lineRule="atLeast"/>
                    <w:ind w:left="0" w:right="0" w:firstLine="0"/>
                    <w:jc w:val="center"/>
                    <w:textAlignment w:val="baseline"/>
                    <w:rPr>
                      <w:rFonts w:hint="eastAsia" w:ascii="宋体" w:hAnsi="宋体" w:eastAsia="宋体" w:cs="宋体"/>
                      <w:sz w:val="21"/>
                      <w:szCs w:val="21"/>
                    </w:rPr>
                  </w:pPr>
                  <w:r>
                    <w:rPr>
                      <w:rFonts w:hint="eastAsia" w:ascii="宋体" w:hAnsi="宋体" w:eastAsia="宋体" w:cs="宋体"/>
                      <w:spacing w:val="8"/>
                      <w:sz w:val="21"/>
                      <w:szCs w:val="21"/>
                    </w:rPr>
                    <w:t>实记录危险废物信</w:t>
                  </w:r>
                  <w:r>
                    <w:rPr>
                      <w:rFonts w:hint="eastAsia" w:ascii="宋体" w:hAnsi="宋体" w:eastAsia="宋体" w:cs="宋体"/>
                      <w:spacing w:val="7"/>
                      <w:sz w:val="21"/>
                      <w:szCs w:val="21"/>
                    </w:rPr>
                    <w:t>息，危险废物台账保</w:t>
                  </w:r>
                  <w:r>
                    <w:rPr>
                      <w:rFonts w:hint="eastAsia" w:ascii="宋体" w:hAnsi="宋体" w:eastAsia="宋体" w:cs="宋体"/>
                      <w:spacing w:val="15"/>
                      <w:sz w:val="21"/>
                      <w:szCs w:val="21"/>
                    </w:rPr>
                    <w:t>存期限定为</w:t>
                  </w:r>
                  <w:r>
                    <w:rPr>
                      <w:rFonts w:hint="eastAsia" w:ascii="宋体" w:hAnsi="宋体" w:eastAsia="宋体" w:cs="宋体"/>
                      <w:spacing w:val="-31"/>
                      <w:sz w:val="21"/>
                      <w:szCs w:val="21"/>
                    </w:rPr>
                    <w:t xml:space="preserve"> </w:t>
                  </w:r>
                  <w:r>
                    <w:rPr>
                      <w:rFonts w:hint="eastAsia" w:ascii="宋体" w:hAnsi="宋体" w:eastAsia="宋体" w:cs="宋体"/>
                      <w:spacing w:val="15"/>
                      <w:sz w:val="21"/>
                      <w:szCs w:val="21"/>
                    </w:rPr>
                    <w:t>5年。</w:t>
                  </w:r>
                </w:p>
              </w:tc>
            </w:tr>
          </w:tbl>
          <w:p w14:paraId="48FA79DB">
            <w:pPr>
              <w:keepNext w:val="0"/>
              <w:keepLines w:val="0"/>
              <w:suppressLineNumbers w:val="0"/>
              <w:autoSpaceDE w:val="0"/>
              <w:autoSpaceDN w:val="0"/>
              <w:adjustRightInd w:val="0"/>
              <w:snapToGrid w:val="0"/>
              <w:spacing w:before="0" w:beforeAutospacing="0" w:after="0" w:afterAutospacing="0"/>
              <w:ind w:left="0" w:right="0"/>
              <w:jc w:val="left"/>
              <w:rPr>
                <w:rFonts w:hint="eastAsia" w:ascii="宋体" w:hAnsi="宋体" w:eastAsia="宋体" w:cs="宋体"/>
                <w:kern w:val="0"/>
              </w:rPr>
            </w:pPr>
            <w:r>
              <w:rPr>
                <w:rFonts w:hint="eastAsia" w:ascii="宋体" w:hAnsi="宋体" w:eastAsia="宋体" w:cs="宋体"/>
                <w:lang w:val="en-US" w:eastAsia="zh-CN"/>
              </w:rPr>
              <w:t>5</w:t>
            </w:r>
            <w:r>
              <w:rPr>
                <w:rFonts w:hint="eastAsia" w:ascii="宋体" w:hAnsi="宋体" w:eastAsia="宋体" w:cs="宋体"/>
              </w:rPr>
              <w:t>、</w:t>
            </w:r>
            <w:r>
              <w:rPr>
                <w:rFonts w:hint="eastAsia" w:ascii="宋体" w:hAnsi="宋体" w:eastAsia="宋体" w:cs="宋体"/>
                <w:kern w:val="0"/>
              </w:rPr>
              <w:t>与《挥发性有机物无组织排放控制标准》（GB37822-2019）相符性分析</w:t>
            </w:r>
          </w:p>
          <w:p w14:paraId="2BB9E6DF">
            <w:pPr>
              <w:keepNext w:val="0"/>
              <w:keepLines w:val="0"/>
              <w:suppressLineNumbers w:val="0"/>
              <w:autoSpaceDE w:val="0"/>
              <w:autoSpaceDN w:val="0"/>
              <w:adjustRightInd w:val="0"/>
              <w:snapToGrid w:val="0"/>
              <w:spacing w:before="0" w:beforeAutospacing="0" w:after="0" w:afterAutospacing="0"/>
              <w:ind w:left="0" w:right="0" w:firstLine="480" w:firstLineChars="200"/>
              <w:rPr>
                <w:rFonts w:hint="eastAsia" w:ascii="宋体" w:hAnsi="宋体" w:eastAsia="宋体" w:cs="宋体"/>
                <w:kern w:val="0"/>
              </w:rPr>
            </w:pPr>
            <w:r>
              <w:rPr>
                <w:rFonts w:hint="eastAsia" w:ascii="宋体" w:hAnsi="宋体" w:eastAsia="宋体" w:cs="宋体"/>
                <w:kern w:val="0"/>
              </w:rPr>
              <w:t>为贯彻《中华人民共和国环境保护法》《中华人民共和国大气污染防治法》，防治环境污染，改善环境质量，加强对VOCs无组织排放的控制和管理，生态环境部制定该标准。本项目与其相关要求的相符性分析如下：</w:t>
            </w:r>
          </w:p>
          <w:p w14:paraId="25449B71">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b/>
                <w:bCs/>
                <w:kern w:val="0"/>
              </w:rPr>
            </w:pPr>
          </w:p>
          <w:p w14:paraId="45EE557C">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b/>
                <w:bCs/>
                <w:kern w:val="0"/>
              </w:rPr>
            </w:pPr>
          </w:p>
          <w:p w14:paraId="01554CBC">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kern w:val="0"/>
              </w:rPr>
            </w:pPr>
            <w:r>
              <w:rPr>
                <w:rFonts w:hint="eastAsia" w:ascii="宋体" w:hAnsi="宋体" w:eastAsia="宋体" w:cs="宋体"/>
                <w:b/>
                <w:bCs/>
                <w:kern w:val="0"/>
              </w:rPr>
              <w:t>表1-</w:t>
            </w:r>
            <w:r>
              <w:rPr>
                <w:rFonts w:hint="eastAsia" w:ascii="宋体" w:hAnsi="宋体" w:eastAsia="宋体" w:cs="宋体"/>
                <w:b/>
                <w:bCs/>
                <w:kern w:val="0"/>
                <w:lang w:val="en-US" w:eastAsia="zh-CN"/>
              </w:rPr>
              <w:t>8</w:t>
            </w:r>
            <w:r>
              <w:rPr>
                <w:rFonts w:hint="eastAsia" w:ascii="宋体" w:hAnsi="宋体" w:eastAsia="宋体" w:cs="宋体"/>
                <w:b/>
                <w:bCs/>
                <w:kern w:val="0"/>
              </w:rPr>
              <w:t xml:space="preserve">  与《挥发性有机物无组织排放控制标准》相符性分析</w:t>
            </w:r>
          </w:p>
          <w:tbl>
            <w:tblPr>
              <w:tblStyle w:val="30"/>
              <w:tblW w:w="68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0" w:type="dxa"/>
                <w:bottom w:w="0" w:type="dxa"/>
                <w:right w:w="20" w:type="dxa"/>
              </w:tblCellMar>
            </w:tblPr>
            <w:tblGrid>
              <w:gridCol w:w="710"/>
              <w:gridCol w:w="3256"/>
              <w:gridCol w:w="2212"/>
              <w:gridCol w:w="680"/>
            </w:tblGrid>
            <w:tr w14:paraId="395ABA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0" w:type="dxa"/>
                  <w:bottom w:w="0" w:type="dxa"/>
                  <w:right w:w="20" w:type="dxa"/>
                </w:tblCellMar>
              </w:tblPrEx>
              <w:trPr>
                <w:trHeight w:val="302" w:hRule="atLeast"/>
                <w:jc w:val="center"/>
              </w:trPr>
              <w:tc>
                <w:tcPr>
                  <w:tcW w:w="3966" w:type="dxa"/>
                  <w:gridSpan w:val="2"/>
                  <w:noWrap w:val="0"/>
                  <w:vAlign w:val="center"/>
                </w:tcPr>
                <w:p w14:paraId="6CF19E9A">
                  <w:pPr>
                    <w:keepNext w:val="0"/>
                    <w:keepLines w:val="0"/>
                    <w:suppressLineNumbers w:val="0"/>
                    <w:autoSpaceDE w:val="0"/>
                    <w:autoSpaceDN w:val="0"/>
                    <w:adjustRightInd w:val="0"/>
                    <w:snapToGrid w:val="0"/>
                    <w:spacing w:before="0" w:beforeAutospacing="0" w:after="0" w:afterAutospacing="0" w:line="240" w:lineRule="atLeas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标准要求</w:t>
                  </w:r>
                </w:p>
              </w:tc>
              <w:tc>
                <w:tcPr>
                  <w:tcW w:w="2212" w:type="dxa"/>
                  <w:noWrap w:val="0"/>
                  <w:vAlign w:val="center"/>
                </w:tcPr>
                <w:p w14:paraId="6DAD7614">
                  <w:pPr>
                    <w:keepNext w:val="0"/>
                    <w:keepLines w:val="0"/>
                    <w:suppressLineNumbers w:val="0"/>
                    <w:autoSpaceDE w:val="0"/>
                    <w:autoSpaceDN w:val="0"/>
                    <w:adjustRightInd w:val="0"/>
                    <w:snapToGrid w:val="0"/>
                    <w:spacing w:before="0" w:beforeAutospacing="0" w:after="0" w:afterAutospacing="0" w:line="240" w:lineRule="atLeas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本项目情况</w:t>
                  </w:r>
                </w:p>
              </w:tc>
              <w:tc>
                <w:tcPr>
                  <w:tcW w:w="680" w:type="dxa"/>
                  <w:noWrap w:val="0"/>
                  <w:vAlign w:val="center"/>
                </w:tcPr>
                <w:p w14:paraId="2302E572">
                  <w:pPr>
                    <w:keepNext w:val="0"/>
                    <w:keepLines w:val="0"/>
                    <w:suppressLineNumbers w:val="0"/>
                    <w:autoSpaceDE w:val="0"/>
                    <w:autoSpaceDN w:val="0"/>
                    <w:adjustRightInd w:val="0"/>
                    <w:snapToGrid w:val="0"/>
                    <w:spacing w:before="0" w:beforeAutospacing="0" w:after="0" w:afterAutospacing="0" w:line="240" w:lineRule="atLeas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相符性</w:t>
                  </w:r>
                </w:p>
              </w:tc>
            </w:tr>
            <w:tr w14:paraId="2B80B9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0" w:type="dxa"/>
                  <w:bottom w:w="0" w:type="dxa"/>
                  <w:right w:w="20" w:type="dxa"/>
                </w:tblCellMar>
              </w:tblPrEx>
              <w:trPr>
                <w:trHeight w:val="553" w:hRule="atLeast"/>
                <w:jc w:val="center"/>
              </w:trPr>
              <w:tc>
                <w:tcPr>
                  <w:tcW w:w="710" w:type="dxa"/>
                  <w:vMerge w:val="restart"/>
                  <w:noWrap w:val="0"/>
                  <w:vAlign w:val="center"/>
                </w:tcPr>
                <w:p w14:paraId="6473A373">
                  <w:pPr>
                    <w:keepNext w:val="0"/>
                    <w:keepLines w:val="0"/>
                    <w:suppressLineNumbers w:val="0"/>
                    <w:autoSpaceDE w:val="0"/>
                    <w:autoSpaceDN w:val="0"/>
                    <w:adjustRightInd w:val="0"/>
                    <w:snapToGrid w:val="0"/>
                    <w:spacing w:before="0" w:beforeAutospacing="0" w:after="0" w:afterAutospacing="0" w:line="240" w:lineRule="atLeas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VOCs物料储存无组织排放控制要求</w:t>
                  </w:r>
                </w:p>
              </w:tc>
              <w:tc>
                <w:tcPr>
                  <w:tcW w:w="3256" w:type="dxa"/>
                  <w:noWrap w:val="0"/>
                  <w:vAlign w:val="center"/>
                </w:tcPr>
                <w:p w14:paraId="3376E489">
                  <w:pPr>
                    <w:keepNext w:val="0"/>
                    <w:keepLines w:val="0"/>
                    <w:suppressLineNumbers w:val="0"/>
                    <w:autoSpaceDE w:val="0"/>
                    <w:autoSpaceDN w:val="0"/>
                    <w:adjustRightInd w:val="0"/>
                    <w:snapToGrid w:val="0"/>
                    <w:spacing w:before="0" w:beforeAutospacing="0" w:after="0" w:afterAutospacing="0" w:line="240" w:lineRule="atLeas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VOCs物料应储存于密闭的容器、包装袋、储罐、储库、料仓中。</w:t>
                  </w:r>
                </w:p>
              </w:tc>
              <w:tc>
                <w:tcPr>
                  <w:tcW w:w="2212" w:type="dxa"/>
                  <w:noWrap w:val="0"/>
                  <w:vAlign w:val="center"/>
                </w:tcPr>
                <w:p w14:paraId="53AF9362">
                  <w:pPr>
                    <w:keepNext w:val="0"/>
                    <w:keepLines w:val="0"/>
                    <w:suppressLineNumbers w:val="0"/>
                    <w:autoSpaceDE w:val="0"/>
                    <w:autoSpaceDN w:val="0"/>
                    <w:adjustRightInd w:val="0"/>
                    <w:snapToGrid w:val="0"/>
                    <w:spacing w:before="0" w:beforeAutospacing="0" w:after="0" w:afterAutospacing="0" w:line="240" w:lineRule="atLeas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项目涉VOC物料主要为</w:t>
                  </w:r>
                  <w:r>
                    <w:rPr>
                      <w:rFonts w:hint="eastAsia" w:ascii="宋体" w:hAnsi="宋体" w:eastAsia="宋体" w:cs="宋体"/>
                      <w:kern w:val="0"/>
                      <w:sz w:val="21"/>
                      <w:szCs w:val="21"/>
                      <w:lang w:val="en-US" w:eastAsia="zh-CN"/>
                    </w:rPr>
                    <w:t>粉末</w:t>
                  </w:r>
                  <w:r>
                    <w:rPr>
                      <w:rFonts w:hint="eastAsia" w:ascii="宋体" w:hAnsi="宋体" w:eastAsia="宋体" w:cs="宋体"/>
                      <w:kern w:val="0"/>
                      <w:sz w:val="21"/>
                      <w:szCs w:val="21"/>
                    </w:rPr>
                    <w:t>涂料，均采用密闭包装</w:t>
                  </w:r>
                </w:p>
              </w:tc>
              <w:tc>
                <w:tcPr>
                  <w:tcW w:w="680" w:type="dxa"/>
                  <w:noWrap w:val="0"/>
                  <w:vAlign w:val="center"/>
                </w:tcPr>
                <w:p w14:paraId="2A5BF7D5">
                  <w:pPr>
                    <w:keepNext w:val="0"/>
                    <w:keepLines w:val="0"/>
                    <w:suppressLineNumbers w:val="0"/>
                    <w:autoSpaceDE w:val="0"/>
                    <w:autoSpaceDN w:val="0"/>
                    <w:adjustRightInd w:val="0"/>
                    <w:snapToGrid w:val="0"/>
                    <w:spacing w:before="0" w:beforeAutospacing="0" w:after="0" w:afterAutospacing="0" w:line="240" w:lineRule="atLeas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相符</w:t>
                  </w:r>
                </w:p>
              </w:tc>
            </w:tr>
            <w:tr w14:paraId="032B78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0" w:type="dxa"/>
                  <w:bottom w:w="0" w:type="dxa"/>
                  <w:right w:w="20" w:type="dxa"/>
                </w:tblCellMar>
              </w:tblPrEx>
              <w:trPr>
                <w:trHeight w:val="1368" w:hRule="atLeast"/>
                <w:jc w:val="center"/>
              </w:trPr>
              <w:tc>
                <w:tcPr>
                  <w:tcW w:w="710" w:type="dxa"/>
                  <w:vMerge w:val="continue"/>
                  <w:noWrap w:val="0"/>
                  <w:vAlign w:val="center"/>
                </w:tcPr>
                <w:p w14:paraId="7B413598">
                  <w:pPr>
                    <w:keepNext w:val="0"/>
                    <w:keepLines w:val="0"/>
                    <w:suppressLineNumbers w:val="0"/>
                    <w:autoSpaceDE w:val="0"/>
                    <w:autoSpaceDN w:val="0"/>
                    <w:adjustRightInd w:val="0"/>
                    <w:snapToGrid w:val="0"/>
                    <w:spacing w:before="0" w:beforeAutospacing="0" w:after="0" w:afterAutospacing="0" w:line="240" w:lineRule="atLeast"/>
                    <w:ind w:left="0" w:right="0"/>
                    <w:jc w:val="center"/>
                    <w:rPr>
                      <w:rFonts w:hint="eastAsia" w:ascii="宋体" w:hAnsi="宋体" w:eastAsia="宋体" w:cs="宋体"/>
                      <w:kern w:val="0"/>
                      <w:sz w:val="21"/>
                      <w:szCs w:val="21"/>
                    </w:rPr>
                  </w:pPr>
                </w:p>
              </w:tc>
              <w:tc>
                <w:tcPr>
                  <w:tcW w:w="3256" w:type="dxa"/>
                  <w:noWrap w:val="0"/>
                  <w:vAlign w:val="center"/>
                </w:tcPr>
                <w:p w14:paraId="6ABBDA8F">
                  <w:pPr>
                    <w:keepNext w:val="0"/>
                    <w:keepLines w:val="0"/>
                    <w:suppressLineNumbers w:val="0"/>
                    <w:autoSpaceDE w:val="0"/>
                    <w:autoSpaceDN w:val="0"/>
                    <w:adjustRightInd w:val="0"/>
                    <w:snapToGrid w:val="0"/>
                    <w:spacing w:before="0" w:beforeAutospacing="0" w:after="0" w:afterAutospacing="0" w:line="240" w:lineRule="atLeas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盛装VOCs物料的容器或包装袋应存放于室内，或存放于设置有雨棚、遮阳和防渗设施的专用场地。盛装VOCs物料的容器或包装袋在非取用状态时应加盖、封口，保持密闭。</w:t>
                  </w:r>
                </w:p>
              </w:tc>
              <w:tc>
                <w:tcPr>
                  <w:tcW w:w="2212" w:type="dxa"/>
                  <w:noWrap w:val="0"/>
                  <w:vAlign w:val="center"/>
                </w:tcPr>
                <w:p w14:paraId="44E442AE">
                  <w:pPr>
                    <w:keepNext w:val="0"/>
                    <w:keepLines w:val="0"/>
                    <w:suppressLineNumbers w:val="0"/>
                    <w:autoSpaceDE w:val="0"/>
                    <w:autoSpaceDN w:val="0"/>
                    <w:adjustRightInd w:val="0"/>
                    <w:snapToGrid w:val="0"/>
                    <w:spacing w:before="0" w:beforeAutospacing="0" w:after="0" w:afterAutospacing="0" w:line="240" w:lineRule="atLeas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粉末</w:t>
                  </w:r>
                  <w:r>
                    <w:rPr>
                      <w:rFonts w:hint="eastAsia" w:ascii="宋体" w:hAnsi="宋体" w:eastAsia="宋体" w:cs="宋体"/>
                      <w:kern w:val="0"/>
                      <w:sz w:val="21"/>
                      <w:szCs w:val="21"/>
                    </w:rPr>
                    <w:t>涂料存放在仓库内，包装在非取用状态时加盖、封口，保持密闭。</w:t>
                  </w:r>
                </w:p>
              </w:tc>
              <w:tc>
                <w:tcPr>
                  <w:tcW w:w="680" w:type="dxa"/>
                  <w:noWrap w:val="0"/>
                  <w:vAlign w:val="center"/>
                </w:tcPr>
                <w:p w14:paraId="03F77ED2">
                  <w:pPr>
                    <w:keepNext w:val="0"/>
                    <w:keepLines w:val="0"/>
                    <w:suppressLineNumbers w:val="0"/>
                    <w:autoSpaceDE w:val="0"/>
                    <w:autoSpaceDN w:val="0"/>
                    <w:adjustRightInd w:val="0"/>
                    <w:snapToGrid w:val="0"/>
                    <w:spacing w:before="0" w:beforeAutospacing="0" w:after="0" w:afterAutospacing="0" w:line="240" w:lineRule="atLeas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相符</w:t>
                  </w:r>
                </w:p>
              </w:tc>
            </w:tr>
            <w:tr w14:paraId="3E329A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0" w:type="dxa"/>
                  <w:bottom w:w="0" w:type="dxa"/>
                  <w:right w:w="20" w:type="dxa"/>
                </w:tblCellMar>
              </w:tblPrEx>
              <w:trPr>
                <w:trHeight w:val="553" w:hRule="atLeast"/>
                <w:jc w:val="center"/>
              </w:trPr>
              <w:tc>
                <w:tcPr>
                  <w:tcW w:w="710" w:type="dxa"/>
                  <w:vMerge w:val="continue"/>
                  <w:noWrap w:val="0"/>
                  <w:vAlign w:val="center"/>
                </w:tcPr>
                <w:p w14:paraId="7B3968C2">
                  <w:pPr>
                    <w:keepNext w:val="0"/>
                    <w:keepLines w:val="0"/>
                    <w:suppressLineNumbers w:val="0"/>
                    <w:autoSpaceDE w:val="0"/>
                    <w:autoSpaceDN w:val="0"/>
                    <w:adjustRightInd w:val="0"/>
                    <w:snapToGrid w:val="0"/>
                    <w:spacing w:before="0" w:beforeAutospacing="0" w:after="0" w:afterAutospacing="0" w:line="240" w:lineRule="atLeast"/>
                    <w:ind w:left="0" w:right="0"/>
                    <w:jc w:val="center"/>
                    <w:rPr>
                      <w:rFonts w:hint="eastAsia" w:ascii="宋体" w:hAnsi="宋体" w:eastAsia="宋体" w:cs="宋体"/>
                      <w:kern w:val="0"/>
                      <w:sz w:val="21"/>
                      <w:szCs w:val="21"/>
                    </w:rPr>
                  </w:pPr>
                </w:p>
              </w:tc>
              <w:tc>
                <w:tcPr>
                  <w:tcW w:w="3256" w:type="dxa"/>
                  <w:noWrap w:val="0"/>
                  <w:vAlign w:val="center"/>
                </w:tcPr>
                <w:p w14:paraId="151ADBBE">
                  <w:pPr>
                    <w:keepNext w:val="0"/>
                    <w:keepLines w:val="0"/>
                    <w:suppressLineNumbers w:val="0"/>
                    <w:autoSpaceDE w:val="0"/>
                    <w:autoSpaceDN w:val="0"/>
                    <w:adjustRightInd w:val="0"/>
                    <w:snapToGrid w:val="0"/>
                    <w:spacing w:before="0" w:beforeAutospacing="0" w:after="0" w:afterAutospacing="0" w:line="240" w:lineRule="atLeas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VOCs物料储库、料仓应满足3.6条对密闭空间的要求。</w:t>
                  </w:r>
                </w:p>
              </w:tc>
              <w:tc>
                <w:tcPr>
                  <w:tcW w:w="2212" w:type="dxa"/>
                  <w:noWrap w:val="0"/>
                  <w:vAlign w:val="center"/>
                </w:tcPr>
                <w:p w14:paraId="53C73036">
                  <w:pPr>
                    <w:keepNext w:val="0"/>
                    <w:keepLines w:val="0"/>
                    <w:suppressLineNumbers w:val="0"/>
                    <w:autoSpaceDE w:val="0"/>
                    <w:autoSpaceDN w:val="0"/>
                    <w:adjustRightInd w:val="0"/>
                    <w:snapToGrid w:val="0"/>
                    <w:spacing w:before="0" w:beforeAutospacing="0" w:after="0" w:afterAutospacing="0" w:line="240" w:lineRule="atLeas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涂料存放在仓库内，存放量较少</w:t>
                  </w:r>
                </w:p>
              </w:tc>
              <w:tc>
                <w:tcPr>
                  <w:tcW w:w="680" w:type="dxa"/>
                  <w:noWrap w:val="0"/>
                  <w:vAlign w:val="center"/>
                </w:tcPr>
                <w:p w14:paraId="0AAE2E2E">
                  <w:pPr>
                    <w:keepNext w:val="0"/>
                    <w:keepLines w:val="0"/>
                    <w:suppressLineNumbers w:val="0"/>
                    <w:autoSpaceDE w:val="0"/>
                    <w:autoSpaceDN w:val="0"/>
                    <w:adjustRightInd w:val="0"/>
                    <w:snapToGrid w:val="0"/>
                    <w:spacing w:before="0" w:beforeAutospacing="0" w:after="0" w:afterAutospacing="0" w:line="240" w:lineRule="atLeas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相符</w:t>
                  </w:r>
                </w:p>
              </w:tc>
            </w:tr>
            <w:tr w14:paraId="7CFEDA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0" w:type="dxa"/>
                  <w:bottom w:w="0" w:type="dxa"/>
                  <w:right w:w="20" w:type="dxa"/>
                </w:tblCellMar>
              </w:tblPrEx>
              <w:trPr>
                <w:trHeight w:val="1670" w:hRule="atLeast"/>
                <w:jc w:val="center"/>
              </w:trPr>
              <w:tc>
                <w:tcPr>
                  <w:tcW w:w="710" w:type="dxa"/>
                  <w:noWrap w:val="0"/>
                  <w:vAlign w:val="center"/>
                </w:tcPr>
                <w:p w14:paraId="0C2A8A07">
                  <w:pPr>
                    <w:keepNext w:val="0"/>
                    <w:keepLines w:val="0"/>
                    <w:suppressLineNumbers w:val="0"/>
                    <w:autoSpaceDE w:val="0"/>
                    <w:autoSpaceDN w:val="0"/>
                    <w:adjustRightInd w:val="0"/>
                    <w:snapToGrid w:val="0"/>
                    <w:spacing w:before="0" w:beforeAutospacing="0" w:after="0" w:afterAutospacing="0" w:line="240" w:lineRule="atLeas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含VOCs产品的使用过程</w:t>
                  </w:r>
                </w:p>
              </w:tc>
              <w:tc>
                <w:tcPr>
                  <w:tcW w:w="3256" w:type="dxa"/>
                  <w:noWrap w:val="0"/>
                  <w:vAlign w:val="center"/>
                </w:tcPr>
                <w:p w14:paraId="7968ABC8">
                  <w:pPr>
                    <w:keepNext w:val="0"/>
                    <w:keepLines w:val="0"/>
                    <w:suppressLineNumbers w:val="0"/>
                    <w:autoSpaceDE w:val="0"/>
                    <w:autoSpaceDN w:val="0"/>
                    <w:adjustRightInd w:val="0"/>
                    <w:snapToGrid w:val="0"/>
                    <w:spacing w:before="0" w:beforeAutospacing="0" w:after="0" w:afterAutospacing="0" w:line="240" w:lineRule="atLeas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VOCs质量占比大于等于10%的含VOCs产品，其使用过程应采用密闭设备或在密闭空间内操作，废气应排至VOCs废气收集处理系统；无法密闭的，应采取局部气体收集措施，废气应排至VOCs废气收集处理系统。</w:t>
                  </w:r>
                </w:p>
              </w:tc>
              <w:tc>
                <w:tcPr>
                  <w:tcW w:w="2212" w:type="dxa"/>
                  <w:noWrap w:val="0"/>
                  <w:vAlign w:val="center"/>
                </w:tcPr>
                <w:p w14:paraId="4F5530A4">
                  <w:pPr>
                    <w:keepNext w:val="0"/>
                    <w:keepLines w:val="0"/>
                    <w:suppressLineNumbers w:val="0"/>
                    <w:autoSpaceDE w:val="0"/>
                    <w:autoSpaceDN w:val="0"/>
                    <w:adjustRightInd w:val="0"/>
                    <w:snapToGrid w:val="0"/>
                    <w:spacing w:before="0" w:beforeAutospacing="0" w:after="0" w:afterAutospacing="0" w:line="240" w:lineRule="atLeas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涂料在密闭微负压的喷</w:t>
                  </w:r>
                  <w:r>
                    <w:rPr>
                      <w:rFonts w:hint="eastAsia" w:ascii="宋体" w:hAnsi="宋体" w:eastAsia="宋体" w:cs="宋体"/>
                      <w:kern w:val="0"/>
                      <w:sz w:val="21"/>
                      <w:szCs w:val="21"/>
                      <w:lang w:val="en-US" w:eastAsia="zh-CN"/>
                    </w:rPr>
                    <w:t>塑</w:t>
                  </w:r>
                  <w:r>
                    <w:rPr>
                      <w:rFonts w:hint="eastAsia" w:ascii="宋体" w:hAnsi="宋体" w:eastAsia="宋体" w:cs="宋体"/>
                      <w:kern w:val="0"/>
                      <w:sz w:val="21"/>
                      <w:szCs w:val="21"/>
                    </w:rPr>
                    <w:t>房使用，产生的废气采用</w:t>
                  </w:r>
                  <w:r>
                    <w:rPr>
                      <w:rFonts w:hint="eastAsia" w:ascii="宋体" w:hAnsi="宋体" w:eastAsia="宋体" w:cs="宋体"/>
                      <w:kern w:val="0"/>
                      <w:sz w:val="21"/>
                      <w:szCs w:val="21"/>
                      <w:lang w:val="en-US" w:eastAsia="zh-CN"/>
                    </w:rPr>
                    <w:t>水喷淋+</w:t>
                  </w:r>
                  <w:r>
                    <w:rPr>
                      <w:rFonts w:hint="eastAsia" w:ascii="宋体" w:hAnsi="宋体" w:eastAsia="宋体" w:cs="宋体"/>
                      <w:kern w:val="0"/>
                      <w:sz w:val="21"/>
                      <w:szCs w:val="21"/>
                    </w:rPr>
                    <w:t>二级活性炭吸附处理后，稳定达标排放</w:t>
                  </w:r>
                </w:p>
              </w:tc>
              <w:tc>
                <w:tcPr>
                  <w:tcW w:w="680" w:type="dxa"/>
                  <w:noWrap w:val="0"/>
                  <w:vAlign w:val="center"/>
                </w:tcPr>
                <w:p w14:paraId="32B5DBEE">
                  <w:pPr>
                    <w:keepNext w:val="0"/>
                    <w:keepLines w:val="0"/>
                    <w:suppressLineNumbers w:val="0"/>
                    <w:autoSpaceDE w:val="0"/>
                    <w:autoSpaceDN w:val="0"/>
                    <w:adjustRightInd w:val="0"/>
                    <w:snapToGrid w:val="0"/>
                    <w:spacing w:before="0" w:beforeAutospacing="0" w:after="0" w:afterAutospacing="0" w:line="240" w:lineRule="atLeas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相符</w:t>
                  </w:r>
                </w:p>
              </w:tc>
            </w:tr>
          </w:tbl>
          <w:p w14:paraId="4C7ACCBA">
            <w:pPr>
              <w:keepNext w:val="0"/>
              <w:keepLines w:val="0"/>
              <w:suppressLineNumbers w:val="0"/>
              <w:autoSpaceDE w:val="0"/>
              <w:autoSpaceDN w:val="0"/>
              <w:adjustRightInd w:val="0"/>
              <w:snapToGrid w:val="0"/>
              <w:spacing w:before="0" w:beforeAutospacing="0" w:after="0" w:afterAutospacing="0"/>
              <w:ind w:left="0" w:right="0" w:firstLine="480" w:firstLineChars="200"/>
              <w:rPr>
                <w:rFonts w:hint="eastAsia" w:ascii="宋体" w:hAnsi="宋体" w:eastAsia="宋体" w:cs="宋体"/>
                <w:kern w:val="0"/>
              </w:rPr>
            </w:pPr>
            <w:r>
              <w:rPr>
                <w:rFonts w:hint="eastAsia" w:ascii="宋体" w:hAnsi="宋体" w:eastAsia="宋体" w:cs="宋体"/>
                <w:kern w:val="0"/>
              </w:rPr>
              <w:t>因此，本项目的建设符合《挥发性有机物无组织排放控制标准》（GB37822-2019）的相关要求。</w:t>
            </w:r>
          </w:p>
          <w:p w14:paraId="0AC95C9D">
            <w:pPr>
              <w:pStyle w:val="81"/>
              <w:keepNext w:val="0"/>
              <w:keepLines w:val="0"/>
              <w:suppressLineNumbers w:val="0"/>
              <w:spacing w:before="0" w:beforeAutospacing="0" w:after="0" w:afterAutospacing="0"/>
              <w:ind w:left="0" w:right="0" w:firstLine="0" w:firstLineChars="0"/>
              <w:rPr>
                <w:rFonts w:hint="eastAsia" w:ascii="宋体" w:hAnsi="宋体" w:eastAsia="宋体" w:cs="宋体"/>
                <w:bCs w:val="0"/>
                <w:snapToGrid/>
                <w:kern w:val="2"/>
              </w:rPr>
            </w:pPr>
            <w:r>
              <w:rPr>
                <w:rFonts w:hint="eastAsia" w:ascii="宋体" w:hAnsi="宋体" w:eastAsia="宋体" w:cs="宋体"/>
                <w:bCs w:val="0"/>
                <w:lang w:val="en-US" w:eastAsia="zh-CN"/>
              </w:rPr>
              <w:t>6</w:t>
            </w:r>
            <w:r>
              <w:rPr>
                <w:rFonts w:hint="eastAsia" w:ascii="宋体" w:hAnsi="宋体" w:eastAsia="宋体" w:cs="宋体"/>
                <w:bCs w:val="0"/>
              </w:rPr>
              <w:t>、与《低挥发性有机化合物含量涂料产品技术要求》（GB/T38597-2020）相符性分析</w:t>
            </w:r>
          </w:p>
          <w:p w14:paraId="59A912AA">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rPr>
            </w:pPr>
            <w:r>
              <w:rPr>
                <w:rFonts w:hint="eastAsia" w:ascii="宋体" w:hAnsi="宋体" w:eastAsia="宋体" w:cs="宋体"/>
              </w:rPr>
              <w:t>对照《低挥发性有机化合物含量涂料产品技术要求》（GB/T 38597-2020）表3的含量限量要求，本项目使用的无溶剂涂料中挥发性有机化合物（VOCs）含量的限值应为≤60g/L。</w:t>
            </w:r>
          </w:p>
          <w:p w14:paraId="0A957890">
            <w:pPr>
              <w:pStyle w:val="10"/>
              <w:keepNext w:val="0"/>
              <w:keepLines w:val="0"/>
              <w:suppressLineNumbers w:val="0"/>
              <w:spacing w:before="0" w:beforeAutospacing="0" w:after="0" w:afterAutospacing="0"/>
              <w:ind w:left="0" w:right="0" w:firstLine="480" w:firstLineChars="200"/>
              <w:rPr>
                <w:rFonts w:hint="eastAsia" w:ascii="宋体" w:hAnsi="宋体" w:eastAsia="宋体" w:cs="宋体"/>
              </w:rPr>
            </w:pPr>
            <w:r>
              <w:rPr>
                <w:rFonts w:hint="eastAsia" w:ascii="宋体" w:hAnsi="宋体" w:eastAsia="宋体" w:cs="宋体"/>
              </w:rPr>
              <w:t>本项目年用树脂粉末涂料</w:t>
            </w:r>
            <w:r>
              <w:rPr>
                <w:rFonts w:hint="eastAsia" w:ascii="宋体" w:hAnsi="宋体" w:eastAsia="宋体" w:cs="宋体"/>
                <w:lang w:val="en-US" w:eastAsia="zh-CN"/>
              </w:rPr>
              <w:t>20</w:t>
            </w:r>
            <w:r>
              <w:rPr>
                <w:rFonts w:hint="eastAsia" w:ascii="宋体" w:hAnsi="宋体" w:eastAsia="宋体" w:cs="宋体"/>
              </w:rPr>
              <w:t>t，密度为1.2g/cm</w:t>
            </w:r>
            <w:r>
              <w:rPr>
                <w:rFonts w:hint="eastAsia" w:ascii="宋体" w:hAnsi="宋体" w:eastAsia="宋体" w:cs="宋体"/>
                <w:vertAlign w:val="superscript"/>
              </w:rPr>
              <w:t>3</w:t>
            </w:r>
            <w:r>
              <w:rPr>
                <w:rFonts w:hint="eastAsia" w:ascii="宋体" w:hAnsi="宋体" w:eastAsia="宋体" w:cs="宋体"/>
              </w:rPr>
              <w:t>，计算其体积为</w:t>
            </w:r>
            <w:r>
              <w:rPr>
                <w:rFonts w:hint="eastAsia" w:ascii="宋体" w:hAnsi="宋体" w:eastAsia="宋体" w:cs="宋体"/>
                <w:lang w:val="en-US" w:eastAsia="zh-CN"/>
              </w:rPr>
              <w:t>16666</w:t>
            </w:r>
            <w:r>
              <w:rPr>
                <w:rFonts w:hint="eastAsia" w:ascii="宋体" w:hAnsi="宋体" w:eastAsia="宋体" w:cs="宋体"/>
              </w:rPr>
              <w:t>L。其中挥发性有机物主要为助剂（2.8%），则挥发性有机物含量为</w:t>
            </w:r>
            <w:r>
              <w:rPr>
                <w:rFonts w:hint="eastAsia" w:ascii="宋体" w:hAnsi="宋体" w:eastAsia="宋体" w:cs="宋体"/>
                <w:lang w:val="en-US" w:eastAsia="zh-CN"/>
              </w:rPr>
              <w:t>0.56</w:t>
            </w:r>
            <w:r>
              <w:rPr>
                <w:rFonts w:hint="eastAsia" w:ascii="宋体" w:hAnsi="宋体" w:eastAsia="宋体" w:cs="宋体"/>
              </w:rPr>
              <w:t>t，经计算，项目使用的树脂粉末涂料中挥发性有机化合物（VOCs）含量值为33.6g/L，低于60g/L的含量限值要求，与《低挥发性有机化合物含量涂料产品技术要求》（GB/T 38597-2020）要求相符。</w:t>
            </w:r>
          </w:p>
          <w:p w14:paraId="44DEA6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宋体" w:hAnsi="宋体" w:eastAsia="宋体" w:cs="宋体"/>
                <w:b/>
                <w:bCs w:val="0"/>
                <w:color w:val="auto"/>
                <w:sz w:val="24"/>
                <w:szCs w:val="24"/>
              </w:rPr>
            </w:pPr>
            <w:r>
              <w:rPr>
                <w:rFonts w:hint="eastAsia" w:ascii="宋体" w:hAnsi="宋体" w:eastAsia="宋体" w:cs="宋体"/>
                <w:b w:val="0"/>
                <w:bCs w:val="0"/>
                <w:lang w:val="en-US" w:eastAsia="zh-CN"/>
              </w:rPr>
              <w:t>7、</w:t>
            </w:r>
            <w:r>
              <w:rPr>
                <w:rFonts w:hint="eastAsia" w:ascii="宋体" w:hAnsi="宋体" w:eastAsia="宋体" w:cs="宋体"/>
                <w:b w:val="0"/>
                <w:bCs w:val="0"/>
                <w:color w:val="auto"/>
                <w:sz w:val="24"/>
                <w:szCs w:val="24"/>
                <w:lang w:val="en-US" w:eastAsia="zh-CN"/>
              </w:rPr>
              <w:t>与《江苏省太湖水污染防治条例》（2021年修订）相符性</w:t>
            </w:r>
          </w:p>
          <w:p w14:paraId="63611A22">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bCs w:val="0"/>
                <w:color w:val="auto"/>
                <w:sz w:val="24"/>
                <w:szCs w:val="24"/>
              </w:rPr>
            </w:pPr>
          </w:p>
          <w:p w14:paraId="64A0C5CC">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bCs w:val="0"/>
                <w:color w:val="auto"/>
                <w:sz w:val="24"/>
                <w:szCs w:val="24"/>
              </w:rPr>
            </w:pPr>
          </w:p>
          <w:p w14:paraId="4779EEAD">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bCs w:val="0"/>
                <w:color w:val="auto"/>
                <w:sz w:val="24"/>
                <w:szCs w:val="24"/>
              </w:rPr>
            </w:pPr>
          </w:p>
          <w:p w14:paraId="7B9ADC2B">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bCs/>
                <w:color w:val="auto"/>
                <w:sz w:val="24"/>
                <w:szCs w:val="24"/>
              </w:rPr>
            </w:pPr>
            <w:r>
              <w:rPr>
                <w:rFonts w:hint="eastAsia" w:ascii="宋体" w:hAnsi="宋体" w:eastAsia="宋体" w:cs="宋体"/>
                <w:b/>
                <w:bCs w:val="0"/>
                <w:color w:val="auto"/>
                <w:sz w:val="24"/>
                <w:szCs w:val="24"/>
              </w:rPr>
              <w:t>表1-</w:t>
            </w:r>
            <w:r>
              <w:rPr>
                <w:rFonts w:hint="eastAsia" w:ascii="宋体" w:hAnsi="宋体" w:eastAsia="宋体" w:cs="宋体"/>
                <w:b/>
                <w:bCs w:val="0"/>
                <w:color w:val="auto"/>
                <w:sz w:val="24"/>
                <w:szCs w:val="24"/>
                <w:lang w:val="en-US" w:eastAsia="zh-CN"/>
              </w:rPr>
              <w:t>10</w:t>
            </w:r>
            <w:r>
              <w:rPr>
                <w:rFonts w:hint="eastAsia" w:ascii="宋体" w:hAnsi="宋体" w:eastAsia="宋体" w:cs="宋体"/>
                <w:b/>
                <w:bCs w:val="0"/>
                <w:color w:val="auto"/>
                <w:sz w:val="24"/>
                <w:szCs w:val="24"/>
              </w:rPr>
              <w:t xml:space="preserve"> 与《江苏省太湖水污染防治条例》相符性</w:t>
            </w:r>
          </w:p>
          <w:tbl>
            <w:tblPr>
              <w:tblStyle w:val="30"/>
              <w:tblW w:w="683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4"/>
              <w:gridCol w:w="378"/>
              <w:gridCol w:w="4701"/>
              <w:gridCol w:w="1416"/>
            </w:tblGrid>
            <w:tr w14:paraId="76E004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447" w:hRule="atLeast"/>
              </w:trPr>
              <w:tc>
                <w:tcPr>
                  <w:tcW w:w="5423" w:type="dxa"/>
                  <w:gridSpan w:val="3"/>
                  <w:noWrap w:val="0"/>
                  <w:vAlign w:val="center"/>
                </w:tcPr>
                <w:p w14:paraId="50684D8D">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exact"/>
                    <w:ind w:left="0" w:right="0"/>
                    <w:jc w:val="center"/>
                    <w:rPr>
                      <w:rFonts w:hint="eastAsia" w:ascii="宋体" w:hAnsi="宋体" w:eastAsia="宋体" w:cs="宋体"/>
                      <w:b/>
                      <w:snapToGrid w:val="0"/>
                      <w:color w:val="auto"/>
                      <w:kern w:val="0"/>
                      <w:sz w:val="21"/>
                      <w:szCs w:val="21"/>
                    </w:rPr>
                  </w:pPr>
                  <w:r>
                    <w:rPr>
                      <w:rFonts w:hint="eastAsia" w:ascii="宋体" w:hAnsi="宋体" w:eastAsia="宋体" w:cs="宋体"/>
                      <w:b/>
                      <w:snapToGrid w:val="0"/>
                      <w:color w:val="auto"/>
                      <w:kern w:val="0"/>
                      <w:sz w:val="21"/>
                      <w:szCs w:val="21"/>
                    </w:rPr>
                    <w:t>《江苏省太湖水污染防治条例》相关要求</w:t>
                  </w:r>
                </w:p>
              </w:tc>
              <w:tc>
                <w:tcPr>
                  <w:tcW w:w="1416" w:type="dxa"/>
                  <w:noWrap w:val="0"/>
                  <w:vAlign w:val="center"/>
                </w:tcPr>
                <w:p w14:paraId="45A9E74C">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exact"/>
                    <w:ind w:left="0" w:right="0"/>
                    <w:jc w:val="center"/>
                    <w:rPr>
                      <w:rFonts w:hint="eastAsia" w:ascii="宋体" w:hAnsi="宋体" w:eastAsia="宋体" w:cs="宋体"/>
                      <w:b/>
                      <w:snapToGrid w:val="0"/>
                      <w:color w:val="auto"/>
                      <w:kern w:val="0"/>
                      <w:sz w:val="21"/>
                      <w:szCs w:val="21"/>
                    </w:rPr>
                  </w:pPr>
                  <w:r>
                    <w:rPr>
                      <w:rFonts w:hint="eastAsia" w:ascii="宋体" w:hAnsi="宋体" w:eastAsia="宋体" w:cs="宋体"/>
                      <w:b/>
                      <w:snapToGrid w:val="0"/>
                      <w:color w:val="auto"/>
                      <w:kern w:val="0"/>
                      <w:sz w:val="21"/>
                      <w:szCs w:val="21"/>
                    </w:rPr>
                    <w:t>相符性分析</w:t>
                  </w:r>
                </w:p>
              </w:tc>
            </w:tr>
            <w:tr w14:paraId="0A6CA9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69" w:hRule="atLeast"/>
              </w:trPr>
              <w:tc>
                <w:tcPr>
                  <w:tcW w:w="344" w:type="dxa"/>
                  <w:vMerge w:val="restart"/>
                  <w:noWrap w:val="0"/>
                  <w:vAlign w:val="center"/>
                </w:tcPr>
                <w:p w14:paraId="730DEDBF">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right="0"/>
                    <w:jc w:val="center"/>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第二章监督管理</w:t>
                  </w:r>
                </w:p>
              </w:tc>
              <w:tc>
                <w:tcPr>
                  <w:tcW w:w="378" w:type="dxa"/>
                  <w:noWrap w:val="0"/>
                  <w:vAlign w:val="center"/>
                </w:tcPr>
                <w:p w14:paraId="30B3F57B">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leftChars="0" w:right="0" w:rightChars="0"/>
                    <w:jc w:val="center"/>
                    <w:rPr>
                      <w:rFonts w:hint="eastAsia" w:ascii="宋体" w:hAnsi="宋体" w:eastAsia="宋体" w:cs="宋体"/>
                      <w:snapToGrid w:val="0"/>
                      <w:color w:val="auto"/>
                      <w:kern w:val="0"/>
                      <w:sz w:val="21"/>
                      <w:szCs w:val="21"/>
                      <w:lang w:val="zh-CN" w:eastAsia="zh-CN" w:bidi="zh-CN"/>
                    </w:rPr>
                  </w:pPr>
                  <w:r>
                    <w:rPr>
                      <w:rFonts w:hint="eastAsia" w:ascii="宋体" w:hAnsi="宋体" w:eastAsia="宋体" w:cs="宋体"/>
                      <w:snapToGrid w:val="0"/>
                      <w:color w:val="auto"/>
                      <w:kern w:val="0"/>
                      <w:sz w:val="21"/>
                      <w:szCs w:val="21"/>
                    </w:rPr>
                    <w:t>第</w:t>
                  </w:r>
                  <w:r>
                    <w:rPr>
                      <w:rFonts w:hint="eastAsia" w:ascii="宋体" w:hAnsi="宋体" w:eastAsia="宋体" w:cs="宋体"/>
                      <w:snapToGrid w:val="0"/>
                      <w:color w:val="auto"/>
                      <w:kern w:val="0"/>
                      <w:sz w:val="21"/>
                      <w:szCs w:val="21"/>
                      <w:lang w:val="en-US" w:eastAsia="zh-CN"/>
                    </w:rPr>
                    <w:t>十二</w:t>
                  </w:r>
                  <w:r>
                    <w:rPr>
                      <w:rFonts w:hint="eastAsia" w:ascii="宋体" w:hAnsi="宋体" w:eastAsia="宋体" w:cs="宋体"/>
                      <w:snapToGrid w:val="0"/>
                      <w:color w:val="auto"/>
                      <w:kern w:val="0"/>
                      <w:sz w:val="21"/>
                      <w:szCs w:val="21"/>
                    </w:rPr>
                    <w:t>条</w:t>
                  </w:r>
                </w:p>
              </w:tc>
              <w:tc>
                <w:tcPr>
                  <w:tcW w:w="4701" w:type="dxa"/>
                  <w:noWrap w:val="0"/>
                  <w:vAlign w:val="center"/>
                </w:tcPr>
                <w:p w14:paraId="31CACB30">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leftChars="0" w:right="0" w:rightChars="0"/>
                    <w:rPr>
                      <w:rFonts w:hint="eastAsia" w:ascii="宋体" w:hAnsi="宋体" w:eastAsia="宋体" w:cs="宋体"/>
                      <w:snapToGrid w:val="0"/>
                      <w:color w:val="auto"/>
                      <w:kern w:val="0"/>
                      <w:sz w:val="21"/>
                      <w:szCs w:val="21"/>
                      <w:lang w:val="zh-CN" w:eastAsia="zh-CN" w:bidi="zh-CN"/>
                    </w:rPr>
                  </w:pPr>
                  <w:r>
                    <w:rPr>
                      <w:rFonts w:hint="eastAsia" w:ascii="宋体" w:hAnsi="宋体" w:eastAsia="宋体" w:cs="宋体"/>
                      <w:snapToGrid w:val="0"/>
                      <w:color w:val="auto"/>
                      <w:kern w:val="0"/>
                      <w:sz w:val="21"/>
                      <w:szCs w:val="21"/>
                    </w:rPr>
                    <w:t xml:space="preserve">   太湖流域应当按照国家规定限期淘汰严重污染水环境的落后工艺和设备。</w:t>
                  </w:r>
                </w:p>
              </w:tc>
              <w:tc>
                <w:tcPr>
                  <w:tcW w:w="1416" w:type="dxa"/>
                  <w:noWrap w:val="0"/>
                  <w:vAlign w:val="center"/>
                </w:tcPr>
                <w:p w14:paraId="55AAE747">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leftChars="0" w:right="0" w:rightChars="0"/>
                    <w:jc w:val="center"/>
                    <w:rPr>
                      <w:rFonts w:hint="eastAsia" w:ascii="宋体" w:hAnsi="宋体" w:eastAsia="宋体" w:cs="宋体"/>
                      <w:snapToGrid w:val="0"/>
                      <w:color w:val="auto"/>
                      <w:kern w:val="0"/>
                      <w:sz w:val="21"/>
                      <w:szCs w:val="21"/>
                      <w:lang w:val="en-US" w:eastAsia="zh-CN"/>
                    </w:rPr>
                  </w:pPr>
                  <w:r>
                    <w:rPr>
                      <w:rFonts w:hint="eastAsia" w:ascii="宋体" w:hAnsi="宋体" w:eastAsia="宋体" w:cs="宋体"/>
                      <w:snapToGrid w:val="0"/>
                      <w:color w:val="auto"/>
                      <w:kern w:val="0"/>
                      <w:sz w:val="21"/>
                      <w:szCs w:val="21"/>
                    </w:rPr>
                    <w:t>本项目</w:t>
                  </w:r>
                  <w:r>
                    <w:rPr>
                      <w:rFonts w:hint="eastAsia" w:ascii="宋体" w:hAnsi="宋体" w:eastAsia="宋体" w:cs="宋体"/>
                      <w:snapToGrid w:val="0"/>
                      <w:color w:val="auto"/>
                      <w:kern w:val="0"/>
                      <w:sz w:val="21"/>
                      <w:szCs w:val="21"/>
                      <w:lang w:val="en-US" w:eastAsia="zh-CN"/>
                    </w:rPr>
                    <w:t>不属于</w:t>
                  </w:r>
                  <w:r>
                    <w:rPr>
                      <w:rFonts w:hint="eastAsia" w:ascii="宋体" w:hAnsi="宋体" w:eastAsia="宋体" w:cs="宋体"/>
                      <w:snapToGrid w:val="0"/>
                      <w:color w:val="auto"/>
                      <w:kern w:val="0"/>
                      <w:sz w:val="21"/>
                      <w:szCs w:val="21"/>
                    </w:rPr>
                    <w:t>严重污染水环境</w:t>
                  </w:r>
                  <w:r>
                    <w:rPr>
                      <w:rFonts w:hint="eastAsia" w:ascii="宋体" w:hAnsi="宋体" w:eastAsia="宋体" w:cs="宋体"/>
                      <w:snapToGrid w:val="0"/>
                      <w:color w:val="auto"/>
                      <w:kern w:val="0"/>
                      <w:sz w:val="21"/>
                      <w:szCs w:val="21"/>
                      <w:lang w:val="en-US" w:eastAsia="zh-CN"/>
                    </w:rPr>
                    <w:t>项目</w:t>
                  </w:r>
                </w:p>
              </w:tc>
            </w:tr>
            <w:tr w14:paraId="19C776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86" w:hRule="atLeast"/>
              </w:trPr>
              <w:tc>
                <w:tcPr>
                  <w:tcW w:w="344" w:type="dxa"/>
                  <w:vMerge w:val="continue"/>
                  <w:noWrap w:val="0"/>
                  <w:vAlign w:val="center"/>
                </w:tcPr>
                <w:p w14:paraId="4798B032">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leftChars="0" w:right="0" w:rightChars="0"/>
                    <w:jc w:val="center"/>
                    <w:rPr>
                      <w:rFonts w:hint="default"/>
                      <w:color w:val="auto"/>
                    </w:rPr>
                  </w:pPr>
                </w:p>
              </w:tc>
              <w:tc>
                <w:tcPr>
                  <w:tcW w:w="378" w:type="dxa"/>
                  <w:noWrap w:val="0"/>
                  <w:vAlign w:val="center"/>
                </w:tcPr>
                <w:p w14:paraId="1DBCEAE4">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leftChars="0" w:right="0" w:rightChars="0"/>
                    <w:jc w:val="center"/>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第</w:t>
                  </w:r>
                  <w:r>
                    <w:rPr>
                      <w:rFonts w:hint="eastAsia" w:ascii="宋体" w:hAnsi="宋体" w:eastAsia="宋体" w:cs="宋体"/>
                      <w:snapToGrid w:val="0"/>
                      <w:color w:val="auto"/>
                      <w:kern w:val="0"/>
                      <w:sz w:val="21"/>
                      <w:szCs w:val="21"/>
                      <w:lang w:val="en-US" w:eastAsia="zh-CN"/>
                    </w:rPr>
                    <w:t>十六</w:t>
                  </w:r>
                  <w:r>
                    <w:rPr>
                      <w:rFonts w:hint="eastAsia" w:ascii="宋体" w:hAnsi="宋体" w:eastAsia="宋体" w:cs="宋体"/>
                      <w:snapToGrid w:val="0"/>
                      <w:color w:val="auto"/>
                      <w:kern w:val="0"/>
                      <w:sz w:val="21"/>
                      <w:szCs w:val="21"/>
                    </w:rPr>
                    <w:t>条</w:t>
                  </w:r>
                </w:p>
              </w:tc>
              <w:tc>
                <w:tcPr>
                  <w:tcW w:w="4701" w:type="dxa"/>
                  <w:noWrap w:val="0"/>
                  <w:vAlign w:val="center"/>
                </w:tcPr>
                <w:p w14:paraId="675D6A8F">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leftChars="0" w:right="0" w:rightChars="0" w:firstLine="420" w:firstLineChars="200"/>
                    <w:jc w:val="both"/>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在太湖流域新建、改建、扩建可能产生水污染的建设项目，应当依法进行环境影响评价。建设项目的环境影响报告书、报告表未经有审批权的环境保护主管部门审查或者审查后未予批准的，建设单位不得开工建设。环境影响登记表实行备案管理。</w:t>
                  </w:r>
                </w:p>
                <w:p w14:paraId="73F4349B">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leftChars="0" w:right="0" w:rightChars="0" w:firstLine="420" w:firstLineChars="200"/>
                    <w:jc w:val="both"/>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在太湖流域江河、湖泊新建、改建或者扩建排污口，应当依法取得水行政主管部门或者流域管理机构同意；涉及通航、渔业水域的，环境保护主管部门在审批环境影响评价文件时，应当征求交通、渔业部门的意见。对未达到水质目标的水功能区，除污水集中处理设施排污口外，应当严格控制新设、改设或者扩大排污口。</w:t>
                  </w:r>
                </w:p>
              </w:tc>
              <w:tc>
                <w:tcPr>
                  <w:tcW w:w="1416" w:type="dxa"/>
                  <w:noWrap w:val="0"/>
                  <w:vAlign w:val="center"/>
                </w:tcPr>
                <w:p w14:paraId="323A288C">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leftChars="0" w:right="0" w:rightChars="0"/>
                    <w:jc w:val="center"/>
                    <w:rPr>
                      <w:rFonts w:hint="default" w:ascii="宋体" w:hAnsi="宋体" w:eastAsia="宋体" w:cs="宋体"/>
                      <w:snapToGrid w:val="0"/>
                      <w:color w:val="auto"/>
                      <w:kern w:val="0"/>
                      <w:sz w:val="21"/>
                      <w:szCs w:val="21"/>
                      <w:lang w:val="en-US" w:eastAsia="zh-CN"/>
                    </w:rPr>
                  </w:pPr>
                  <w:r>
                    <w:rPr>
                      <w:rFonts w:hint="eastAsia" w:ascii="宋体" w:hAnsi="宋体" w:eastAsia="宋体" w:cs="宋体"/>
                      <w:snapToGrid w:val="0"/>
                      <w:color w:val="auto"/>
                      <w:kern w:val="0"/>
                      <w:sz w:val="21"/>
                      <w:szCs w:val="21"/>
                      <w:lang w:val="en-US" w:eastAsia="zh-CN"/>
                    </w:rPr>
                    <w:t>本项目正在办理环评审批，不涉及通航、渔业，产生的生活污水经化粪池处理后排入边城镇污水处理厂处理。</w:t>
                  </w:r>
                </w:p>
              </w:tc>
            </w:tr>
            <w:tr w14:paraId="37CD49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448" w:hRule="atLeast"/>
              </w:trPr>
              <w:tc>
                <w:tcPr>
                  <w:tcW w:w="344" w:type="dxa"/>
                  <w:vMerge w:val="continue"/>
                  <w:noWrap w:val="0"/>
                  <w:vAlign w:val="center"/>
                </w:tcPr>
                <w:p w14:paraId="260A1261">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leftChars="0" w:right="0" w:rightChars="0"/>
                    <w:jc w:val="center"/>
                    <w:rPr>
                      <w:rFonts w:hint="default"/>
                      <w:color w:val="auto"/>
                    </w:rPr>
                  </w:pPr>
                </w:p>
              </w:tc>
              <w:tc>
                <w:tcPr>
                  <w:tcW w:w="378" w:type="dxa"/>
                  <w:noWrap w:val="0"/>
                  <w:vAlign w:val="center"/>
                </w:tcPr>
                <w:p w14:paraId="2B2735AA">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leftChars="0" w:right="0" w:rightChars="0"/>
                    <w:jc w:val="center"/>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第</w:t>
                  </w:r>
                  <w:r>
                    <w:rPr>
                      <w:rFonts w:hint="eastAsia" w:ascii="宋体" w:hAnsi="宋体" w:eastAsia="宋体" w:cs="宋体"/>
                      <w:snapToGrid w:val="0"/>
                      <w:color w:val="auto"/>
                      <w:kern w:val="0"/>
                      <w:sz w:val="21"/>
                      <w:szCs w:val="21"/>
                      <w:lang w:val="en-US" w:eastAsia="zh-CN"/>
                    </w:rPr>
                    <w:t>十七</w:t>
                  </w:r>
                  <w:r>
                    <w:rPr>
                      <w:rFonts w:hint="eastAsia" w:ascii="宋体" w:hAnsi="宋体" w:eastAsia="宋体" w:cs="宋体"/>
                      <w:snapToGrid w:val="0"/>
                      <w:color w:val="auto"/>
                      <w:kern w:val="0"/>
                      <w:sz w:val="21"/>
                      <w:szCs w:val="21"/>
                    </w:rPr>
                    <w:t>条</w:t>
                  </w:r>
                </w:p>
              </w:tc>
              <w:tc>
                <w:tcPr>
                  <w:tcW w:w="4701" w:type="dxa"/>
                  <w:noWrap w:val="0"/>
                  <w:vAlign w:val="center"/>
                </w:tcPr>
                <w:p w14:paraId="7FB9B901">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leftChars="0" w:right="0" w:rightChars="0" w:firstLine="420" w:firstLineChars="200"/>
                    <w:jc w:val="both"/>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建设项目的水污染防治设施，应当与主体工程同时设计、同时施工、同时投入使用。</w:t>
                  </w:r>
                </w:p>
                <w:p w14:paraId="16E96F8D">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leftChars="0" w:right="0" w:rightChars="0" w:firstLine="420" w:firstLineChars="200"/>
                    <w:jc w:val="both"/>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编制环境影响报告书、环境影响报告表的建设项目，其水污染防治设施经验收合格，方可投入生产或者使用；未经验收或者验收不合格的，不得投入生产或者使用。</w:t>
                  </w:r>
                </w:p>
              </w:tc>
              <w:tc>
                <w:tcPr>
                  <w:tcW w:w="1416" w:type="dxa"/>
                  <w:noWrap w:val="0"/>
                  <w:vAlign w:val="center"/>
                </w:tcPr>
                <w:p w14:paraId="332F691D">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leftChars="0" w:right="0" w:rightChars="0"/>
                    <w:jc w:val="both"/>
                    <w:rPr>
                      <w:rFonts w:hint="eastAsia" w:ascii="宋体" w:hAnsi="宋体" w:eastAsia="宋体" w:cs="宋体"/>
                      <w:snapToGrid w:val="0"/>
                      <w:color w:val="auto"/>
                      <w:kern w:val="0"/>
                      <w:sz w:val="21"/>
                      <w:szCs w:val="21"/>
                      <w:lang w:val="en-US" w:eastAsia="zh-CN"/>
                    </w:rPr>
                  </w:pPr>
                  <w:r>
                    <w:rPr>
                      <w:rFonts w:hint="eastAsia" w:ascii="宋体" w:hAnsi="宋体" w:eastAsia="宋体" w:cs="宋体"/>
                      <w:snapToGrid w:val="0"/>
                      <w:color w:val="auto"/>
                      <w:kern w:val="0"/>
                      <w:sz w:val="21"/>
                      <w:szCs w:val="21"/>
                      <w:lang w:val="en-US" w:eastAsia="zh-CN"/>
                    </w:rPr>
                    <w:t>本项目化粪池与主体工程</w:t>
                  </w:r>
                  <w:r>
                    <w:rPr>
                      <w:rFonts w:hint="eastAsia" w:ascii="宋体" w:hAnsi="宋体" w:eastAsia="宋体" w:cs="宋体"/>
                      <w:snapToGrid w:val="0"/>
                      <w:color w:val="auto"/>
                      <w:kern w:val="0"/>
                      <w:sz w:val="21"/>
                      <w:szCs w:val="21"/>
                    </w:rPr>
                    <w:t>同时设计、同时施工、同时投入使用</w:t>
                  </w:r>
                  <w:r>
                    <w:rPr>
                      <w:rFonts w:hint="eastAsia" w:ascii="宋体" w:hAnsi="宋体" w:eastAsia="宋体" w:cs="宋体"/>
                      <w:snapToGrid w:val="0"/>
                      <w:color w:val="auto"/>
                      <w:kern w:val="0"/>
                      <w:sz w:val="21"/>
                      <w:szCs w:val="21"/>
                      <w:lang w:eastAsia="zh-CN"/>
                    </w:rPr>
                    <w:t>。</w:t>
                  </w:r>
                </w:p>
              </w:tc>
            </w:tr>
            <w:tr w14:paraId="36D2FE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85" w:hRule="atLeast"/>
              </w:trPr>
              <w:tc>
                <w:tcPr>
                  <w:tcW w:w="344" w:type="dxa"/>
                  <w:vMerge w:val="continue"/>
                  <w:noWrap w:val="0"/>
                  <w:vAlign w:val="center"/>
                </w:tcPr>
                <w:p w14:paraId="03889978">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leftChars="0" w:right="0" w:rightChars="0"/>
                    <w:jc w:val="center"/>
                    <w:rPr>
                      <w:rFonts w:hint="default"/>
                      <w:color w:val="auto"/>
                    </w:rPr>
                  </w:pPr>
                </w:p>
              </w:tc>
              <w:tc>
                <w:tcPr>
                  <w:tcW w:w="378" w:type="dxa"/>
                  <w:noWrap w:val="0"/>
                  <w:vAlign w:val="center"/>
                </w:tcPr>
                <w:p w14:paraId="20225DC2">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leftChars="0" w:right="0" w:rightChars="0"/>
                    <w:jc w:val="center"/>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第</w:t>
                  </w:r>
                  <w:r>
                    <w:rPr>
                      <w:rFonts w:hint="eastAsia" w:ascii="宋体" w:hAnsi="宋体" w:eastAsia="宋体" w:cs="宋体"/>
                      <w:snapToGrid w:val="0"/>
                      <w:color w:val="auto"/>
                      <w:kern w:val="0"/>
                      <w:sz w:val="21"/>
                      <w:szCs w:val="21"/>
                      <w:lang w:val="en-US" w:eastAsia="zh-CN"/>
                    </w:rPr>
                    <w:t>十九</w:t>
                  </w:r>
                  <w:r>
                    <w:rPr>
                      <w:rFonts w:hint="eastAsia" w:ascii="宋体" w:hAnsi="宋体" w:eastAsia="宋体" w:cs="宋体"/>
                      <w:snapToGrid w:val="0"/>
                      <w:color w:val="auto"/>
                      <w:kern w:val="0"/>
                      <w:sz w:val="21"/>
                      <w:szCs w:val="21"/>
                    </w:rPr>
                    <w:t>条</w:t>
                  </w:r>
                </w:p>
              </w:tc>
              <w:tc>
                <w:tcPr>
                  <w:tcW w:w="4701" w:type="dxa"/>
                  <w:noWrap w:val="0"/>
                  <w:vAlign w:val="center"/>
                </w:tcPr>
                <w:p w14:paraId="7FBC857E">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leftChars="0" w:right="0" w:rightChars="0" w:firstLine="420" w:firstLineChars="200"/>
                    <w:jc w:val="both"/>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除污染治理项目外，对太湖流域下列区域范围内新建、改建、扩建可能产生污染的建设项目的环境影响评价文件，有审批权的环境保护主管部门暂停受理，已经受理的暂停作出审批决定：</w:t>
                  </w:r>
                </w:p>
                <w:p w14:paraId="45B7ABC2">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leftChars="0" w:right="0" w:rightChars="0" w:firstLine="420" w:firstLineChars="200"/>
                    <w:jc w:val="both"/>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（一）水功能区水质未达到规定标准的；</w:t>
                  </w:r>
                </w:p>
                <w:p w14:paraId="74796D74">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leftChars="0" w:right="0" w:rightChars="0" w:firstLine="420" w:firstLineChars="200"/>
                    <w:jc w:val="both"/>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（二）跨行政区域河流交界断面水质未达到控制目标的；</w:t>
                  </w:r>
                </w:p>
                <w:p w14:paraId="751B73A2">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leftChars="0" w:right="0" w:rightChars="0" w:firstLine="420" w:firstLineChars="200"/>
                    <w:jc w:val="both"/>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（三）排污总量超过控制指标的；</w:t>
                  </w:r>
                </w:p>
                <w:p w14:paraId="68A71B0E">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leftChars="0" w:right="0" w:rightChars="0" w:firstLine="420" w:firstLineChars="200"/>
                    <w:jc w:val="both"/>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（四）未按时完成淘汰落后产能任务的；</w:t>
                  </w:r>
                </w:p>
                <w:p w14:paraId="29EB7A84">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leftChars="0" w:right="0" w:rightChars="0" w:firstLine="420" w:firstLineChars="200"/>
                    <w:jc w:val="both"/>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（五）未按计划完成主要污染物减排任务的；</w:t>
                  </w:r>
                </w:p>
                <w:p w14:paraId="37A46EEC">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leftChars="0" w:right="0" w:rightChars="0" w:firstLine="420" w:firstLineChars="200"/>
                    <w:jc w:val="both"/>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（六）城市污水处理设施建设和运行不符合国家和省有关节能减排要求的；</w:t>
                  </w:r>
                </w:p>
                <w:p w14:paraId="2CC86809">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leftChars="0" w:right="0" w:rightChars="0" w:firstLine="420" w:firstLineChars="200"/>
                    <w:jc w:val="both"/>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（七）违法违规审批造成严重后果的；</w:t>
                  </w:r>
                </w:p>
                <w:p w14:paraId="76633DC5">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leftChars="0" w:right="0" w:rightChars="0" w:firstLine="420" w:firstLineChars="200"/>
                    <w:jc w:val="both"/>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（八）存在其他严重环境违法行为的。</w:t>
                  </w:r>
                </w:p>
              </w:tc>
              <w:tc>
                <w:tcPr>
                  <w:tcW w:w="1416" w:type="dxa"/>
                  <w:noWrap w:val="0"/>
                  <w:vAlign w:val="center"/>
                </w:tcPr>
                <w:p w14:paraId="7656512B">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leftChars="0" w:right="0" w:rightChars="0"/>
                    <w:jc w:val="center"/>
                    <w:rPr>
                      <w:rFonts w:hint="default" w:ascii="宋体" w:hAnsi="宋体" w:eastAsia="宋体" w:cs="宋体"/>
                      <w:snapToGrid w:val="0"/>
                      <w:color w:val="auto"/>
                      <w:kern w:val="0"/>
                      <w:sz w:val="21"/>
                      <w:szCs w:val="21"/>
                      <w:lang w:val="en-US" w:eastAsia="zh-CN"/>
                    </w:rPr>
                  </w:pPr>
                  <w:r>
                    <w:rPr>
                      <w:rFonts w:hint="eastAsia" w:ascii="宋体" w:hAnsi="宋体" w:eastAsia="宋体" w:cs="宋体"/>
                      <w:snapToGrid w:val="0"/>
                      <w:color w:val="auto"/>
                      <w:kern w:val="0"/>
                      <w:sz w:val="21"/>
                      <w:szCs w:val="21"/>
                      <w:lang w:val="en-US" w:eastAsia="zh-CN"/>
                    </w:rPr>
                    <w:t>本项目所在区域地表水环境质量能够达到《地表水环境质量标准》（GB3838-2002）相应标准；本项目排放的生活污水经化粪池处理后排入边城镇污水处理厂处理，对地表水环境影响较小。</w:t>
                  </w:r>
                </w:p>
              </w:tc>
            </w:tr>
            <w:tr w14:paraId="752ECA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448" w:hRule="atLeast"/>
              </w:trPr>
              <w:tc>
                <w:tcPr>
                  <w:tcW w:w="344" w:type="dxa"/>
                  <w:vMerge w:val="continue"/>
                  <w:noWrap w:val="0"/>
                  <w:vAlign w:val="center"/>
                </w:tcPr>
                <w:p w14:paraId="73DC36F7">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leftChars="0" w:right="0" w:rightChars="0"/>
                    <w:jc w:val="center"/>
                    <w:rPr>
                      <w:rFonts w:hint="default"/>
                      <w:color w:val="auto"/>
                    </w:rPr>
                  </w:pPr>
                </w:p>
              </w:tc>
              <w:tc>
                <w:tcPr>
                  <w:tcW w:w="378" w:type="dxa"/>
                  <w:noWrap w:val="0"/>
                  <w:vAlign w:val="center"/>
                </w:tcPr>
                <w:p w14:paraId="362D0DD0">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leftChars="0" w:right="0" w:rightChars="0"/>
                    <w:jc w:val="center"/>
                    <w:rPr>
                      <w:rFonts w:hint="eastAsia" w:ascii="宋体" w:hAnsi="宋体" w:eastAsia="宋体" w:cs="宋体"/>
                      <w:snapToGrid w:val="0"/>
                      <w:color w:val="auto"/>
                      <w:kern w:val="0"/>
                      <w:sz w:val="21"/>
                      <w:szCs w:val="21"/>
                      <w:lang w:val="en-US" w:eastAsia="zh-CN"/>
                    </w:rPr>
                  </w:pPr>
                  <w:r>
                    <w:rPr>
                      <w:rFonts w:hint="eastAsia" w:ascii="宋体" w:hAnsi="宋体" w:eastAsia="宋体" w:cs="宋体"/>
                      <w:snapToGrid w:val="0"/>
                      <w:color w:val="auto"/>
                      <w:kern w:val="0"/>
                      <w:sz w:val="21"/>
                      <w:szCs w:val="21"/>
                      <w:lang w:val="en-US" w:eastAsia="zh-CN"/>
                    </w:rPr>
                    <w:t>第二十二条</w:t>
                  </w:r>
                </w:p>
              </w:tc>
              <w:tc>
                <w:tcPr>
                  <w:tcW w:w="4701" w:type="dxa"/>
                  <w:noWrap w:val="0"/>
                  <w:vAlign w:val="center"/>
                </w:tcPr>
                <w:p w14:paraId="7E8984C3">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leftChars="0" w:right="0" w:rightChars="0" w:firstLine="420" w:firstLineChars="200"/>
                    <w:jc w:val="both"/>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太湖流域实行排污许可管理制度。</w:t>
                  </w:r>
                </w:p>
                <w:p w14:paraId="42376B89">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leftChars="0" w:right="0" w:rightChars="0" w:firstLine="420" w:firstLineChars="200"/>
                    <w:jc w:val="both"/>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实行排污许可管理的企业事业单位和其他生产经营者应当按照排污许可证的要求排放污染物；未取得排污许可证的，不得排放污染物。</w:t>
                  </w:r>
                </w:p>
              </w:tc>
              <w:tc>
                <w:tcPr>
                  <w:tcW w:w="1416" w:type="dxa"/>
                  <w:noWrap w:val="0"/>
                  <w:vAlign w:val="center"/>
                </w:tcPr>
                <w:p w14:paraId="05FDB8CC">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leftChars="0" w:right="0" w:rightChars="0"/>
                    <w:jc w:val="center"/>
                    <w:rPr>
                      <w:rFonts w:hint="default" w:ascii="宋体" w:hAnsi="宋体" w:eastAsia="宋体" w:cs="宋体"/>
                      <w:snapToGrid w:val="0"/>
                      <w:color w:val="auto"/>
                      <w:kern w:val="0"/>
                      <w:sz w:val="21"/>
                      <w:szCs w:val="21"/>
                      <w:lang w:val="en-US" w:eastAsia="zh-CN"/>
                    </w:rPr>
                  </w:pPr>
                  <w:r>
                    <w:rPr>
                      <w:rFonts w:hint="eastAsia" w:ascii="宋体" w:hAnsi="宋体" w:eastAsia="宋体" w:cs="宋体"/>
                      <w:snapToGrid w:val="0"/>
                      <w:color w:val="auto"/>
                      <w:kern w:val="0"/>
                      <w:sz w:val="21"/>
                      <w:szCs w:val="21"/>
                      <w:lang w:val="en-US" w:eastAsia="zh-CN"/>
                    </w:rPr>
                    <w:t>本项目建成后将办理排污许可，严格按照排污许可证的要求排放污染物</w:t>
                  </w:r>
                </w:p>
              </w:tc>
            </w:tr>
            <w:tr w14:paraId="04BA17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282" w:hRule="atLeast"/>
              </w:trPr>
              <w:tc>
                <w:tcPr>
                  <w:tcW w:w="344" w:type="dxa"/>
                  <w:vMerge w:val="continue"/>
                  <w:noWrap w:val="0"/>
                  <w:vAlign w:val="center"/>
                </w:tcPr>
                <w:p w14:paraId="22DB007A">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leftChars="0" w:right="0" w:rightChars="0"/>
                    <w:jc w:val="center"/>
                    <w:rPr>
                      <w:rFonts w:hint="default"/>
                      <w:color w:val="auto"/>
                    </w:rPr>
                  </w:pPr>
                </w:p>
              </w:tc>
              <w:tc>
                <w:tcPr>
                  <w:tcW w:w="378" w:type="dxa"/>
                  <w:noWrap w:val="0"/>
                  <w:vAlign w:val="center"/>
                </w:tcPr>
                <w:p w14:paraId="4E14B2F3">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leftChars="0" w:right="0" w:rightChars="0"/>
                    <w:jc w:val="center"/>
                    <w:rPr>
                      <w:rFonts w:hint="default" w:ascii="宋体" w:hAnsi="宋体" w:eastAsia="宋体" w:cs="宋体"/>
                      <w:snapToGrid w:val="0"/>
                      <w:color w:val="auto"/>
                      <w:kern w:val="0"/>
                      <w:sz w:val="21"/>
                      <w:szCs w:val="21"/>
                      <w:lang w:val="en-US" w:eastAsia="zh-CN"/>
                    </w:rPr>
                  </w:pPr>
                  <w:r>
                    <w:rPr>
                      <w:rFonts w:hint="eastAsia" w:ascii="宋体" w:hAnsi="宋体" w:eastAsia="宋体" w:cs="宋体"/>
                      <w:snapToGrid w:val="0"/>
                      <w:color w:val="auto"/>
                      <w:kern w:val="0"/>
                      <w:sz w:val="21"/>
                      <w:szCs w:val="21"/>
                      <w:lang w:val="en-US" w:eastAsia="zh-CN"/>
                    </w:rPr>
                    <w:t>第二十三条</w:t>
                  </w:r>
                </w:p>
              </w:tc>
              <w:tc>
                <w:tcPr>
                  <w:tcW w:w="4701" w:type="dxa"/>
                  <w:noWrap w:val="0"/>
                  <w:vAlign w:val="center"/>
                </w:tcPr>
                <w:p w14:paraId="30D80F24">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leftChars="0" w:right="0" w:rightChars="0" w:firstLine="420" w:firstLineChars="200"/>
                    <w:jc w:val="both"/>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直接或者间接向水体排放污染物，不得超过国家和地方规定的水污染物排放标准，不得超过总量控制指标。</w:t>
                  </w:r>
                </w:p>
              </w:tc>
              <w:tc>
                <w:tcPr>
                  <w:tcW w:w="1416" w:type="dxa"/>
                  <w:noWrap w:val="0"/>
                  <w:vAlign w:val="center"/>
                </w:tcPr>
                <w:p w14:paraId="69994EB4">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leftChars="0" w:right="0" w:rightChars="0"/>
                    <w:jc w:val="center"/>
                    <w:rPr>
                      <w:rFonts w:hint="default" w:ascii="宋体" w:hAnsi="宋体" w:eastAsia="宋体" w:cs="宋体"/>
                      <w:snapToGrid w:val="0"/>
                      <w:color w:val="auto"/>
                      <w:kern w:val="0"/>
                      <w:sz w:val="21"/>
                      <w:szCs w:val="21"/>
                      <w:lang w:val="en-US" w:eastAsia="zh-CN"/>
                    </w:rPr>
                  </w:pPr>
                  <w:r>
                    <w:rPr>
                      <w:rFonts w:hint="eastAsia" w:ascii="宋体" w:hAnsi="宋体" w:eastAsia="宋体" w:cs="宋体"/>
                      <w:snapToGrid w:val="0"/>
                      <w:color w:val="auto"/>
                      <w:kern w:val="0"/>
                      <w:sz w:val="21"/>
                      <w:szCs w:val="21"/>
                      <w:lang w:val="en-US" w:eastAsia="zh-CN"/>
                    </w:rPr>
                    <w:t>本项目生活污水经化粪池处理后排入边城镇污水处理厂处理，总量指标在污水处理厂内平衡</w:t>
                  </w:r>
                </w:p>
              </w:tc>
            </w:tr>
            <w:tr w14:paraId="1D7961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07" w:hRule="atLeast"/>
              </w:trPr>
              <w:tc>
                <w:tcPr>
                  <w:tcW w:w="344" w:type="dxa"/>
                  <w:vMerge w:val="continue"/>
                  <w:noWrap w:val="0"/>
                  <w:vAlign w:val="center"/>
                </w:tcPr>
                <w:p w14:paraId="0D80A3E9">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leftChars="0" w:right="0" w:rightChars="0"/>
                    <w:jc w:val="center"/>
                    <w:rPr>
                      <w:rFonts w:hint="default"/>
                      <w:color w:val="auto"/>
                    </w:rPr>
                  </w:pPr>
                </w:p>
              </w:tc>
              <w:tc>
                <w:tcPr>
                  <w:tcW w:w="378" w:type="dxa"/>
                  <w:noWrap w:val="0"/>
                  <w:vAlign w:val="center"/>
                </w:tcPr>
                <w:p w14:paraId="3FB93CC8">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leftChars="0" w:right="0" w:rightChars="0"/>
                    <w:jc w:val="center"/>
                    <w:rPr>
                      <w:rFonts w:hint="default" w:ascii="宋体" w:hAnsi="宋体" w:eastAsia="宋体" w:cs="宋体"/>
                      <w:snapToGrid w:val="0"/>
                      <w:color w:val="auto"/>
                      <w:kern w:val="0"/>
                      <w:sz w:val="21"/>
                      <w:szCs w:val="21"/>
                      <w:lang w:val="en-US" w:eastAsia="zh-CN"/>
                    </w:rPr>
                  </w:pPr>
                  <w:r>
                    <w:rPr>
                      <w:rFonts w:hint="eastAsia" w:ascii="宋体" w:hAnsi="宋体" w:eastAsia="宋体" w:cs="宋体"/>
                      <w:snapToGrid w:val="0"/>
                      <w:color w:val="auto"/>
                      <w:kern w:val="0"/>
                      <w:sz w:val="21"/>
                      <w:szCs w:val="21"/>
                      <w:lang w:val="en-US" w:eastAsia="zh-CN"/>
                    </w:rPr>
                    <w:t>第二十四条</w:t>
                  </w:r>
                </w:p>
              </w:tc>
              <w:tc>
                <w:tcPr>
                  <w:tcW w:w="4701" w:type="dxa"/>
                  <w:noWrap w:val="0"/>
                  <w:vAlign w:val="center"/>
                </w:tcPr>
                <w:p w14:paraId="24DA7607">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leftChars="0" w:right="0" w:rightChars="0" w:firstLine="420" w:firstLineChars="200"/>
                    <w:jc w:val="both"/>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直接或者间接向水体排放污染物的企业事业单位和其他生产经营者，应当按照国家和省有关规定设置排污口。禁止私设排污口。</w:t>
                  </w:r>
                </w:p>
                <w:p w14:paraId="6B9F661F">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leftChars="0" w:right="0" w:rightChars="0" w:firstLine="420" w:firstLineChars="200"/>
                    <w:jc w:val="both"/>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排污单位应当在厂界内和厂界外分别设置便于检查、采样的规范化排污口，并悬挂标注单位名称和排放污染物的种类、浓度及数量要求等内容的标志牌。排入城镇污水集中处理设施的，应当在厂界接管处设置采样口。以间歇性排放方式排放水污染物的，应当设置水污染物暂存设施，排放时间应当向当地生态环境主管部门申报，并按照申报时间排放。</w:t>
                  </w:r>
                </w:p>
              </w:tc>
              <w:tc>
                <w:tcPr>
                  <w:tcW w:w="1416" w:type="dxa"/>
                  <w:noWrap w:val="0"/>
                  <w:vAlign w:val="center"/>
                </w:tcPr>
                <w:p w14:paraId="046B5DEA">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leftChars="0" w:right="0" w:rightChars="0"/>
                    <w:jc w:val="center"/>
                    <w:rPr>
                      <w:rFonts w:hint="default" w:ascii="宋体" w:hAnsi="宋体" w:eastAsia="宋体" w:cs="宋体"/>
                      <w:snapToGrid w:val="0"/>
                      <w:color w:val="auto"/>
                      <w:kern w:val="0"/>
                      <w:sz w:val="21"/>
                      <w:szCs w:val="21"/>
                      <w:lang w:val="en-US" w:eastAsia="zh-CN"/>
                    </w:rPr>
                  </w:pPr>
                  <w:r>
                    <w:rPr>
                      <w:rFonts w:hint="eastAsia" w:ascii="宋体" w:hAnsi="宋体" w:eastAsia="宋体" w:cs="宋体"/>
                      <w:snapToGrid w:val="0"/>
                      <w:color w:val="auto"/>
                      <w:kern w:val="0"/>
                      <w:sz w:val="21"/>
                      <w:szCs w:val="21"/>
                      <w:lang w:val="en-US" w:eastAsia="zh-CN"/>
                    </w:rPr>
                    <w:t>本项目生活污水接入市政污水管网排入边城镇污水处理厂，企业污水排口将按规范设置并张贴环保标识牌</w:t>
                  </w:r>
                </w:p>
              </w:tc>
            </w:tr>
            <w:tr w14:paraId="381661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114" w:hRule="atLeast"/>
              </w:trPr>
              <w:tc>
                <w:tcPr>
                  <w:tcW w:w="344" w:type="dxa"/>
                  <w:noWrap w:val="0"/>
                  <w:vAlign w:val="center"/>
                </w:tcPr>
                <w:p w14:paraId="6734F1C5">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right="0"/>
                    <w:jc w:val="center"/>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第三章污染防治</w:t>
                  </w:r>
                </w:p>
              </w:tc>
              <w:tc>
                <w:tcPr>
                  <w:tcW w:w="378" w:type="dxa"/>
                  <w:noWrap w:val="0"/>
                  <w:vAlign w:val="center"/>
                </w:tcPr>
                <w:p w14:paraId="2CE2F5AC">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right="0"/>
                    <w:jc w:val="center"/>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第四十三条</w:t>
                  </w:r>
                </w:p>
              </w:tc>
              <w:tc>
                <w:tcPr>
                  <w:tcW w:w="4701" w:type="dxa"/>
                  <w:noWrap w:val="0"/>
                  <w:vAlign w:val="center"/>
                </w:tcPr>
                <w:p w14:paraId="0975FA34">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right="0"/>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 xml:space="preserve">    太湖流域一、二、三级保护区禁止下列行为：</w:t>
                  </w:r>
                </w:p>
                <w:p w14:paraId="36E6EDCA">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right="0"/>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　　（一）新建、改建、扩建化学制浆造纸、制革、酿造、染料、印染、电镀以及其他排放含磷、氮等污染物的企业和项目，城镇污水集中处理等环境基础设施项目和第四十六条规定的情形除外；</w:t>
                  </w:r>
                </w:p>
                <w:p w14:paraId="4B9A3474">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right="0"/>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　　（二）销售、使用含磷洗涤用品；</w:t>
                  </w:r>
                </w:p>
                <w:p w14:paraId="61E87622">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right="0"/>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　　（三）向水体排放或者倾倒油类、酸液、碱液、剧毒废渣废液、含放射性废渣废液、含病原体污水、工业废渣以及其他废弃物；</w:t>
                  </w:r>
                </w:p>
                <w:p w14:paraId="6011D752">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right="0"/>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　　（四）在水体清洗装贮过油类或者有毒有害污染物的车辆、船舶和容器等；</w:t>
                  </w:r>
                </w:p>
                <w:p w14:paraId="2B50D3BC">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right="0"/>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　　（五）使用农药等有毒物毒杀水生生物；</w:t>
                  </w:r>
                </w:p>
                <w:p w14:paraId="64C15D75">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right="0"/>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　　（六）向水体直接排放人畜粪便、倾倒垃圾；</w:t>
                  </w:r>
                </w:p>
                <w:p w14:paraId="4A62261B">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right="0"/>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　　（七）围湖造地；</w:t>
                  </w:r>
                </w:p>
                <w:p w14:paraId="3DB9734A">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right="0"/>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　　（八）违法开山采石，或者进行破坏林木、植被、水生生物的活动；</w:t>
                  </w:r>
                </w:p>
                <w:p w14:paraId="1D392B99">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right="0"/>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　　（九）法律、法规禁止的其他行为。</w:t>
                  </w:r>
                </w:p>
              </w:tc>
              <w:tc>
                <w:tcPr>
                  <w:tcW w:w="1416" w:type="dxa"/>
                  <w:noWrap w:val="0"/>
                  <w:vAlign w:val="center"/>
                </w:tcPr>
                <w:p w14:paraId="4DA968E7">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right="0"/>
                    <w:jc w:val="center"/>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本项目不属于太湖流域禁止的行业类别，不使用含氮磷洗涤用品。项目运营过程中生活垃圾均有合理处置方式，做到零排放，不会向水体中直接排放粪便、垃圾等</w:t>
                  </w:r>
                </w:p>
              </w:tc>
            </w:tr>
          </w:tbl>
          <w:p w14:paraId="1FAB2DD4">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lang w:val="en-US" w:eastAsia="zh-CN"/>
              </w:rPr>
              <w:t>8、</w:t>
            </w:r>
            <w:r>
              <w:rPr>
                <w:rFonts w:hint="eastAsia" w:ascii="宋体" w:hAnsi="宋体" w:eastAsia="宋体" w:cs="宋体"/>
                <w:b w:val="0"/>
                <w:bCs w:val="0"/>
                <w:color w:val="auto"/>
                <w:sz w:val="24"/>
                <w:szCs w:val="24"/>
                <w:lang w:val="en-US" w:eastAsia="zh-CN"/>
              </w:rPr>
              <w:t>与《太湖流域管理条例》相符性分析</w:t>
            </w:r>
          </w:p>
          <w:p w14:paraId="2DE1E38B">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color w:val="auto"/>
                <w:sz w:val="24"/>
                <w:szCs w:val="24"/>
              </w:rPr>
            </w:pPr>
            <w:r>
              <w:rPr>
                <w:rFonts w:hint="eastAsia" w:ascii="宋体" w:hAnsi="宋体" w:eastAsia="宋体" w:cs="宋体"/>
                <w:b/>
                <w:bCs/>
                <w:color w:val="auto"/>
                <w:sz w:val="24"/>
                <w:szCs w:val="24"/>
              </w:rPr>
              <w:t>表1-</w:t>
            </w:r>
            <w:r>
              <w:rPr>
                <w:rFonts w:hint="eastAsia" w:ascii="宋体" w:hAnsi="宋体" w:eastAsia="宋体" w:cs="宋体"/>
                <w:b/>
                <w:bCs/>
                <w:color w:val="auto"/>
                <w:sz w:val="24"/>
                <w:szCs w:val="24"/>
                <w:lang w:val="en-US" w:eastAsia="zh-CN"/>
              </w:rPr>
              <w:t>11</w:t>
            </w:r>
            <w:r>
              <w:rPr>
                <w:rFonts w:hint="eastAsia" w:ascii="宋体" w:hAnsi="宋体" w:eastAsia="宋体" w:cs="宋体"/>
                <w:b/>
                <w:bCs/>
                <w:color w:val="auto"/>
                <w:sz w:val="24"/>
                <w:szCs w:val="24"/>
              </w:rPr>
              <w:t xml:space="preserve">  与《太湖流域管理条例》相符性分析</w:t>
            </w:r>
          </w:p>
          <w:tbl>
            <w:tblPr>
              <w:tblStyle w:val="30"/>
              <w:tblW w:w="695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4"/>
              <w:gridCol w:w="354"/>
              <w:gridCol w:w="4734"/>
              <w:gridCol w:w="1487"/>
            </w:tblGrid>
            <w:tr w14:paraId="41EDFC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5472" w:type="dxa"/>
                  <w:gridSpan w:val="3"/>
                  <w:noWrap w:val="0"/>
                  <w:vAlign w:val="center"/>
                </w:tcPr>
                <w:p w14:paraId="6667390F">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exact"/>
                    <w:ind w:left="0" w:right="0"/>
                    <w:jc w:val="center"/>
                    <w:rPr>
                      <w:rFonts w:hint="eastAsia" w:ascii="宋体" w:hAnsi="宋体" w:eastAsia="宋体" w:cs="宋体"/>
                      <w:b/>
                      <w:snapToGrid w:val="0"/>
                      <w:color w:val="auto"/>
                      <w:kern w:val="0"/>
                      <w:sz w:val="21"/>
                      <w:szCs w:val="21"/>
                    </w:rPr>
                  </w:pPr>
                  <w:r>
                    <w:rPr>
                      <w:rFonts w:hint="eastAsia" w:ascii="宋体" w:hAnsi="宋体" w:eastAsia="宋体" w:cs="宋体"/>
                      <w:b/>
                      <w:snapToGrid w:val="0"/>
                      <w:color w:val="auto"/>
                      <w:kern w:val="0"/>
                      <w:sz w:val="21"/>
                      <w:szCs w:val="21"/>
                    </w:rPr>
                    <w:t>《太湖流域管理条例》相关要求</w:t>
                  </w:r>
                </w:p>
              </w:tc>
              <w:tc>
                <w:tcPr>
                  <w:tcW w:w="1487" w:type="dxa"/>
                  <w:noWrap w:val="0"/>
                  <w:vAlign w:val="center"/>
                </w:tcPr>
                <w:p w14:paraId="0DE8276C">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exact"/>
                    <w:ind w:left="0" w:right="0"/>
                    <w:jc w:val="center"/>
                    <w:rPr>
                      <w:rFonts w:hint="eastAsia" w:ascii="宋体" w:hAnsi="宋体" w:eastAsia="宋体" w:cs="宋体"/>
                      <w:b/>
                      <w:snapToGrid w:val="0"/>
                      <w:color w:val="auto"/>
                      <w:kern w:val="0"/>
                      <w:sz w:val="21"/>
                      <w:szCs w:val="21"/>
                    </w:rPr>
                  </w:pPr>
                  <w:r>
                    <w:rPr>
                      <w:rFonts w:hint="eastAsia" w:ascii="宋体" w:hAnsi="宋体" w:eastAsia="宋体" w:cs="宋体"/>
                      <w:b/>
                      <w:snapToGrid w:val="0"/>
                      <w:color w:val="auto"/>
                      <w:kern w:val="0"/>
                      <w:sz w:val="21"/>
                      <w:szCs w:val="21"/>
                    </w:rPr>
                    <w:t>相符性分析</w:t>
                  </w:r>
                </w:p>
              </w:tc>
            </w:tr>
            <w:tr w14:paraId="066CAB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3" w:hRule="atLeast"/>
                <w:jc w:val="center"/>
              </w:trPr>
              <w:tc>
                <w:tcPr>
                  <w:tcW w:w="384" w:type="dxa"/>
                  <w:vMerge w:val="restart"/>
                  <w:noWrap w:val="0"/>
                  <w:vAlign w:val="center"/>
                </w:tcPr>
                <w:p w14:paraId="27D04FD3">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right="0"/>
                    <w:jc w:val="center"/>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第四章　</w:t>
                  </w:r>
                </w:p>
                <w:p w14:paraId="11475B12">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right="0"/>
                    <w:jc w:val="center"/>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水污染防治</w:t>
                  </w:r>
                </w:p>
              </w:tc>
              <w:tc>
                <w:tcPr>
                  <w:tcW w:w="354" w:type="dxa"/>
                  <w:noWrap w:val="0"/>
                  <w:vAlign w:val="center"/>
                </w:tcPr>
                <w:p w14:paraId="1DAF1630">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right="0"/>
                    <w:jc w:val="center"/>
                    <w:rPr>
                      <w:rFonts w:hint="eastAsia" w:ascii="宋体" w:hAnsi="宋体" w:eastAsia="宋体" w:cs="宋体"/>
                      <w:snapToGrid w:val="0"/>
                      <w:color w:val="auto"/>
                      <w:kern w:val="0"/>
                      <w:sz w:val="21"/>
                      <w:szCs w:val="21"/>
                    </w:rPr>
                  </w:pPr>
                  <w:r>
                    <w:rPr>
                      <w:rFonts w:hint="eastAsia" w:ascii="宋体" w:hAnsi="宋体" w:eastAsia="宋体" w:cs="宋体"/>
                      <w:bCs/>
                      <w:snapToGrid w:val="0"/>
                      <w:color w:val="auto"/>
                      <w:kern w:val="0"/>
                      <w:sz w:val="21"/>
                      <w:szCs w:val="21"/>
                    </w:rPr>
                    <w:t>第二十八条</w:t>
                  </w:r>
                </w:p>
              </w:tc>
              <w:tc>
                <w:tcPr>
                  <w:tcW w:w="4734" w:type="dxa"/>
                  <w:noWrap w:val="0"/>
                  <w:vAlign w:val="center"/>
                </w:tcPr>
                <w:p w14:paraId="64FA73DE">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right="0"/>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 xml:space="preserve">    排污单位排放水污染物，不得超过经核定的水污染物排放总量，并应当按照规定设置便于检查、采样的规范化排污口，悬挂标志牌；不得私设暗管或者采取其他规避监管的方式排放水污染物。</w:t>
                  </w:r>
                </w:p>
                <w:p w14:paraId="4564F3C4">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right="0"/>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禁止在太湖流域设置不符合国家产业政策和水环境综合治理要求的造纸、制革、酒精、淀粉、冶金、酿造、印染、电镀等排放水污染物的生产项目，现有的生产项目不能实现达标排放的，应当依法关闭。</w:t>
                  </w:r>
                </w:p>
                <w:p w14:paraId="65FCB136">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right="0"/>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在太湖流域新设企业应当符合国家规定的清洁生产要求，现有的企业尚未达到清洁生产要求的，应当按照清洁生产规划要求进行技术改造，两省一市人民政府应当加强监督检查。</w:t>
                  </w:r>
                </w:p>
              </w:tc>
              <w:tc>
                <w:tcPr>
                  <w:tcW w:w="1487" w:type="dxa"/>
                  <w:noWrap w:val="0"/>
                  <w:vAlign w:val="center"/>
                </w:tcPr>
                <w:p w14:paraId="376DB1D8">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right="0"/>
                    <w:jc w:val="center"/>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本项目不属于太湖流域禁止类项目；</w:t>
                  </w:r>
                  <w:r>
                    <w:rPr>
                      <w:rFonts w:hint="eastAsia" w:ascii="宋体" w:hAnsi="宋体" w:eastAsia="宋体" w:cs="宋体"/>
                      <w:snapToGrid w:val="0"/>
                      <w:color w:val="auto"/>
                      <w:kern w:val="0"/>
                      <w:sz w:val="21"/>
                      <w:szCs w:val="21"/>
                      <w:lang w:val="en-US" w:eastAsia="zh-CN"/>
                    </w:rPr>
                    <w:t>本项目涉及表面处理工艺，但没有电镀、钝化工艺，</w:t>
                  </w:r>
                  <w:r>
                    <w:rPr>
                      <w:rFonts w:hint="eastAsia" w:ascii="宋体" w:hAnsi="宋体" w:eastAsia="宋体" w:cs="宋体"/>
                      <w:snapToGrid w:val="0"/>
                      <w:color w:val="auto"/>
                      <w:kern w:val="0"/>
                      <w:sz w:val="21"/>
                      <w:szCs w:val="21"/>
                    </w:rPr>
                    <w:t>采用</w:t>
                  </w:r>
                  <w:r>
                    <w:rPr>
                      <w:rFonts w:hint="eastAsia" w:ascii="宋体" w:hAnsi="宋体" w:eastAsia="宋体" w:cs="宋体"/>
                      <w:snapToGrid w:val="0"/>
                      <w:color w:val="auto"/>
                      <w:kern w:val="0"/>
                      <w:sz w:val="21"/>
                      <w:szCs w:val="21"/>
                      <w:lang w:eastAsia="zh-CN"/>
                    </w:rPr>
                    <w:t>了</w:t>
                  </w:r>
                  <w:r>
                    <w:rPr>
                      <w:rFonts w:hint="eastAsia" w:ascii="宋体" w:hAnsi="宋体" w:eastAsia="宋体" w:cs="宋体"/>
                      <w:snapToGrid w:val="0"/>
                      <w:color w:val="auto"/>
                      <w:kern w:val="0"/>
                      <w:sz w:val="21"/>
                      <w:szCs w:val="21"/>
                    </w:rPr>
                    <w:t>先进生产工艺及设备，符合清洁生产要求</w:t>
                  </w:r>
                </w:p>
              </w:tc>
            </w:tr>
            <w:tr w14:paraId="18ABF3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680" w:hRule="atLeast"/>
                <w:jc w:val="center"/>
              </w:trPr>
              <w:tc>
                <w:tcPr>
                  <w:tcW w:w="384" w:type="dxa"/>
                  <w:vMerge w:val="continue"/>
                  <w:noWrap w:val="0"/>
                  <w:vAlign w:val="center"/>
                </w:tcPr>
                <w:p w14:paraId="1F54D6E8">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exact"/>
                    <w:ind w:left="0" w:right="0"/>
                    <w:jc w:val="center"/>
                    <w:rPr>
                      <w:rFonts w:hint="eastAsia" w:ascii="宋体" w:hAnsi="宋体" w:eastAsia="宋体" w:cs="宋体"/>
                      <w:snapToGrid w:val="0"/>
                      <w:color w:val="auto"/>
                      <w:kern w:val="0"/>
                      <w:sz w:val="21"/>
                      <w:szCs w:val="21"/>
                    </w:rPr>
                  </w:pPr>
                </w:p>
              </w:tc>
              <w:tc>
                <w:tcPr>
                  <w:tcW w:w="354" w:type="dxa"/>
                  <w:noWrap w:val="0"/>
                  <w:vAlign w:val="center"/>
                </w:tcPr>
                <w:p w14:paraId="06A00136">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right="0"/>
                    <w:jc w:val="center"/>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第二十九条</w:t>
                  </w:r>
                </w:p>
              </w:tc>
              <w:tc>
                <w:tcPr>
                  <w:tcW w:w="4734" w:type="dxa"/>
                  <w:noWrap w:val="0"/>
                  <w:vAlign w:val="center"/>
                </w:tcPr>
                <w:p w14:paraId="413C11F2">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right="0"/>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新孟河、望虞河以外的其他主要入太湖河道，自河口1万米上溯至5万米河道岸线内及其岸线两侧各1000米范围内，禁止下列行为：</w:t>
                  </w:r>
                </w:p>
                <w:p w14:paraId="7644141C">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right="0"/>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（一）新建、扩建化工、医药生产项目；</w:t>
                  </w:r>
                </w:p>
                <w:p w14:paraId="3BB0CA84">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right="0"/>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（二）新建、扩建污水集中处理设施排污口以外的排污口；</w:t>
                  </w:r>
                </w:p>
                <w:p w14:paraId="47C7D026">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right="0"/>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（三）扩大水产养殖规模。</w:t>
                  </w:r>
                </w:p>
              </w:tc>
              <w:tc>
                <w:tcPr>
                  <w:tcW w:w="1487" w:type="dxa"/>
                  <w:noWrap w:val="0"/>
                  <w:vAlign w:val="center"/>
                </w:tcPr>
                <w:p w14:paraId="4041EECD">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right="0"/>
                    <w:jc w:val="center"/>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本项目</w:t>
                  </w:r>
                  <w:r>
                    <w:rPr>
                      <w:rFonts w:hint="eastAsia" w:ascii="宋体" w:hAnsi="宋体" w:eastAsia="宋体" w:cs="宋体"/>
                      <w:snapToGrid w:val="0"/>
                      <w:color w:val="auto"/>
                      <w:kern w:val="0"/>
                      <w:sz w:val="21"/>
                      <w:szCs w:val="21"/>
                      <w:lang w:val="en-US" w:eastAsia="zh-CN"/>
                    </w:rPr>
                    <w:t>不属于</w:t>
                  </w:r>
                  <w:r>
                    <w:rPr>
                      <w:rFonts w:hint="eastAsia" w:ascii="宋体" w:hAnsi="宋体" w:eastAsia="宋体" w:cs="宋体"/>
                      <w:snapToGrid w:val="0"/>
                      <w:color w:val="auto"/>
                      <w:kern w:val="0"/>
                      <w:sz w:val="21"/>
                      <w:szCs w:val="21"/>
                    </w:rPr>
                    <w:t>化工、医药生产项目</w:t>
                  </w:r>
                  <w:r>
                    <w:rPr>
                      <w:rFonts w:hint="eastAsia" w:ascii="宋体" w:hAnsi="宋体" w:eastAsia="宋体" w:cs="宋体"/>
                      <w:snapToGrid w:val="0"/>
                      <w:color w:val="auto"/>
                      <w:kern w:val="0"/>
                      <w:sz w:val="21"/>
                      <w:szCs w:val="21"/>
                      <w:lang w:val="en-US" w:eastAsia="zh-CN"/>
                    </w:rPr>
                    <w:t>和水产养殖项目</w:t>
                  </w:r>
                  <w:r>
                    <w:rPr>
                      <w:rFonts w:hint="eastAsia" w:ascii="宋体" w:hAnsi="宋体" w:eastAsia="宋体" w:cs="宋体"/>
                      <w:snapToGrid w:val="0"/>
                      <w:color w:val="auto"/>
                      <w:kern w:val="0"/>
                      <w:sz w:val="21"/>
                      <w:szCs w:val="21"/>
                      <w:lang w:eastAsia="zh-CN"/>
                    </w:rPr>
                    <w:t>，</w:t>
                  </w:r>
                  <w:r>
                    <w:rPr>
                      <w:rFonts w:hint="eastAsia" w:ascii="宋体" w:hAnsi="宋体" w:eastAsia="宋体" w:cs="宋体"/>
                      <w:snapToGrid w:val="0"/>
                      <w:color w:val="auto"/>
                      <w:kern w:val="0"/>
                      <w:sz w:val="21"/>
                      <w:szCs w:val="21"/>
                      <w:lang w:val="en-US" w:eastAsia="zh-CN"/>
                    </w:rPr>
                    <w:t>不新建废水排污口。</w:t>
                  </w:r>
                </w:p>
              </w:tc>
            </w:tr>
            <w:tr w14:paraId="500B00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99" w:hRule="atLeast"/>
                <w:jc w:val="center"/>
              </w:trPr>
              <w:tc>
                <w:tcPr>
                  <w:tcW w:w="384" w:type="dxa"/>
                  <w:vMerge w:val="continue"/>
                  <w:noWrap w:val="0"/>
                  <w:vAlign w:val="center"/>
                </w:tcPr>
                <w:p w14:paraId="7E0AF4CC">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right="0"/>
                    <w:jc w:val="center"/>
                    <w:rPr>
                      <w:rFonts w:hint="eastAsia" w:ascii="宋体" w:hAnsi="宋体" w:eastAsia="宋体" w:cs="宋体"/>
                      <w:snapToGrid w:val="0"/>
                      <w:color w:val="auto"/>
                      <w:kern w:val="0"/>
                      <w:sz w:val="21"/>
                      <w:szCs w:val="21"/>
                    </w:rPr>
                  </w:pPr>
                </w:p>
              </w:tc>
              <w:tc>
                <w:tcPr>
                  <w:tcW w:w="354" w:type="dxa"/>
                  <w:noWrap w:val="0"/>
                  <w:vAlign w:val="center"/>
                </w:tcPr>
                <w:p w14:paraId="7C0BE7AC">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right="0"/>
                    <w:jc w:val="center"/>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第三十条</w:t>
                  </w:r>
                </w:p>
              </w:tc>
              <w:tc>
                <w:tcPr>
                  <w:tcW w:w="4734" w:type="dxa"/>
                  <w:noWrap w:val="0"/>
                  <w:vAlign w:val="center"/>
                </w:tcPr>
                <w:p w14:paraId="625E5A3C">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right="0"/>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w:t>
                  </w:r>
                </w:p>
                <w:p w14:paraId="6726D90E">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right="0"/>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（一）设置剧毒物质、危险化学品的贮存、输送设施和废物回收场、垃圾场；</w:t>
                  </w:r>
                </w:p>
                <w:p w14:paraId="59E8EF9A">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right="0"/>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（二）设置水上餐饮经营设施；</w:t>
                  </w:r>
                </w:p>
                <w:p w14:paraId="501C0F48">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right="0"/>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（三）新建、扩建高尔夫球场；</w:t>
                  </w:r>
                </w:p>
                <w:p w14:paraId="6C380B00">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right="0"/>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（四）新建、扩建畜禽养殖场；</w:t>
                  </w:r>
                </w:p>
                <w:p w14:paraId="7F10A248">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right="0"/>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（五）新建、扩建向水体排放污染物的建设项目；</w:t>
                  </w:r>
                </w:p>
                <w:p w14:paraId="0AEB8F22">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right="0"/>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（六）本条例第二十九条规定的行为。</w:t>
                  </w:r>
                </w:p>
                <w:p w14:paraId="4E8AC35F">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right="0"/>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已经设置前款第一项、第二项规定设施的，当地县级人民政府应当责令拆除或者关闭。</w:t>
                  </w:r>
                </w:p>
              </w:tc>
              <w:tc>
                <w:tcPr>
                  <w:tcW w:w="1487" w:type="dxa"/>
                  <w:noWrap w:val="0"/>
                  <w:vAlign w:val="center"/>
                </w:tcPr>
                <w:p w14:paraId="190E73C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exact"/>
                    <w:ind w:left="0" w:right="0"/>
                    <w:jc w:val="center"/>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本项目不涉及所列禁止条款</w:t>
                  </w:r>
                </w:p>
              </w:tc>
            </w:tr>
          </w:tbl>
          <w:p w14:paraId="7220EDD9">
            <w:pPr>
              <w:pStyle w:val="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baseline"/>
              <w:rPr>
                <w:rFonts w:hint="default" w:ascii="宋体" w:hAnsi="宋体" w:eastAsia="宋体" w:cs="宋体"/>
                <w:color w:val="auto"/>
                <w:lang w:val="en-US" w:eastAsia="zh-CN"/>
              </w:rPr>
            </w:pPr>
            <w:r>
              <w:rPr>
                <w:rFonts w:hint="eastAsia" w:ascii="宋体" w:hAnsi="宋体" w:eastAsia="宋体" w:cs="宋体"/>
                <w:color w:val="auto"/>
                <w:lang w:val="en-US" w:eastAsia="zh-CN"/>
              </w:rPr>
              <w:t>9、</w:t>
            </w:r>
            <w:r>
              <w:rPr>
                <w:rFonts w:hint="eastAsia" w:ascii="宋体" w:hAnsi="宋体" w:eastAsia="宋体" w:cs="宋体"/>
                <w:b w:val="0"/>
                <w:bCs w:val="0"/>
                <w:color w:val="auto"/>
                <w:sz w:val="24"/>
                <w:szCs w:val="24"/>
              </w:rPr>
              <w:t>与《省生态环境厅关于深入开展涉VOCs治理重点工作核查的通知》（苏环</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2022</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218号）</w:t>
            </w:r>
            <w:r>
              <w:rPr>
                <w:rFonts w:hint="eastAsia" w:ascii="宋体" w:hAnsi="宋体" w:eastAsia="宋体" w:cs="宋体"/>
                <w:b w:val="0"/>
                <w:bCs w:val="0"/>
                <w:color w:val="auto"/>
                <w:sz w:val="24"/>
                <w:szCs w:val="24"/>
                <w:lang w:val="en-US" w:eastAsia="zh-CN"/>
              </w:rPr>
              <w:t>相符性分析</w:t>
            </w:r>
          </w:p>
          <w:p w14:paraId="2BAABD7B">
            <w:pPr>
              <w:pStyle w:val="52"/>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color w:val="auto"/>
                <w:sz w:val="24"/>
                <w:szCs w:val="24"/>
              </w:rPr>
            </w:pPr>
            <w:r>
              <w:rPr>
                <w:rFonts w:hint="eastAsia" w:ascii="宋体" w:hAnsi="宋体" w:eastAsia="宋体" w:cs="宋体"/>
                <w:b/>
                <w:bCs/>
                <w:color w:val="auto"/>
                <w:sz w:val="24"/>
                <w:szCs w:val="24"/>
              </w:rPr>
              <w:t>表1-1</w:t>
            </w:r>
            <w:r>
              <w:rPr>
                <w:rFonts w:hint="eastAsia" w:ascii="宋体" w:hAnsi="宋体" w:eastAsia="宋体" w:cs="宋体"/>
                <w:b/>
                <w:bCs/>
                <w:color w:val="auto"/>
                <w:sz w:val="24"/>
                <w:szCs w:val="24"/>
                <w:lang w:val="en-US" w:eastAsia="zh-CN"/>
              </w:rPr>
              <w:t xml:space="preserve">2 </w:t>
            </w:r>
            <w:r>
              <w:rPr>
                <w:rFonts w:hint="eastAsia" w:ascii="宋体" w:hAnsi="宋体" w:eastAsia="宋体" w:cs="宋体"/>
                <w:b/>
                <w:bCs/>
                <w:color w:val="auto"/>
                <w:sz w:val="24"/>
                <w:szCs w:val="24"/>
              </w:rPr>
              <w:t xml:space="preserve"> 与苏环</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rPr>
              <w:t>2022</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rPr>
              <w:t>218号文件相符性分析</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3"/>
              <w:gridCol w:w="4103"/>
              <w:gridCol w:w="1587"/>
              <w:gridCol w:w="719"/>
            </w:tblGrid>
            <w:tr w14:paraId="0412B4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5" w:type="dxa"/>
                  <w:tcBorders>
                    <w:tl2br w:val="nil"/>
                    <w:tr2bl w:val="nil"/>
                  </w:tcBorders>
                  <w:noWrap w:val="0"/>
                  <w:vAlign w:val="center"/>
                </w:tcPr>
                <w:p w14:paraId="364F5FCE">
                  <w:pPr>
                    <w:pStyle w:val="71"/>
                    <w:keepNext w:val="0"/>
                    <w:keepLines w:val="0"/>
                    <w:suppressLineNumbers w:val="0"/>
                    <w:adjustRightInd w:val="0"/>
                    <w:snapToGrid w:val="0"/>
                    <w:spacing w:before="0" w:beforeAutospacing="0" w:after="0" w:afterAutospacing="0" w:line="240" w:lineRule="atLeast"/>
                    <w:ind w:left="0" w:right="0"/>
                    <w:rPr>
                      <w:rFonts w:hint="default"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4018" w:type="dxa"/>
                  <w:tcBorders>
                    <w:tl2br w:val="nil"/>
                    <w:tr2bl w:val="nil"/>
                  </w:tcBorders>
                  <w:noWrap w:val="0"/>
                  <w:vAlign w:val="center"/>
                </w:tcPr>
                <w:p w14:paraId="161E0BD7">
                  <w:pPr>
                    <w:pStyle w:val="71"/>
                    <w:keepNext w:val="0"/>
                    <w:keepLines w:val="0"/>
                    <w:suppressLineNumbers w:val="0"/>
                    <w:adjustRightInd w:val="0"/>
                    <w:snapToGrid w:val="0"/>
                    <w:spacing w:before="0" w:beforeAutospacing="0" w:after="0" w:afterAutospacing="0" w:line="240" w:lineRule="atLeast"/>
                    <w:ind w:left="0" w:right="0"/>
                    <w:rPr>
                      <w:rFonts w:hint="default" w:ascii="宋体" w:hAnsi="宋体" w:eastAsia="宋体" w:cs="宋体"/>
                      <w:b/>
                      <w:bCs/>
                      <w:color w:val="auto"/>
                      <w:sz w:val="21"/>
                      <w:szCs w:val="21"/>
                    </w:rPr>
                  </w:pPr>
                  <w:r>
                    <w:rPr>
                      <w:rFonts w:hint="eastAsia" w:ascii="宋体" w:hAnsi="宋体" w:eastAsia="宋体" w:cs="宋体"/>
                      <w:b/>
                      <w:bCs/>
                      <w:color w:val="auto"/>
                      <w:sz w:val="21"/>
                      <w:szCs w:val="21"/>
                    </w:rPr>
                    <w:t>通知要求（摘录与项目相关内容）</w:t>
                  </w:r>
                </w:p>
              </w:tc>
              <w:tc>
                <w:tcPr>
                  <w:tcW w:w="1554" w:type="dxa"/>
                  <w:tcBorders>
                    <w:tl2br w:val="nil"/>
                    <w:tr2bl w:val="nil"/>
                  </w:tcBorders>
                  <w:noWrap w:val="0"/>
                  <w:vAlign w:val="center"/>
                </w:tcPr>
                <w:p w14:paraId="61DBBDA7">
                  <w:pPr>
                    <w:pStyle w:val="71"/>
                    <w:keepNext w:val="0"/>
                    <w:keepLines w:val="0"/>
                    <w:suppressLineNumbers w:val="0"/>
                    <w:adjustRightInd w:val="0"/>
                    <w:snapToGrid w:val="0"/>
                    <w:spacing w:before="0" w:beforeAutospacing="0" w:after="0" w:afterAutospacing="0" w:line="240" w:lineRule="atLeast"/>
                    <w:ind w:left="0" w:right="0"/>
                    <w:rPr>
                      <w:rFonts w:hint="default" w:ascii="宋体" w:hAnsi="宋体" w:eastAsia="宋体" w:cs="宋体"/>
                      <w:b/>
                      <w:bCs/>
                      <w:color w:val="auto"/>
                      <w:sz w:val="21"/>
                      <w:szCs w:val="21"/>
                    </w:rPr>
                  </w:pPr>
                  <w:r>
                    <w:rPr>
                      <w:rFonts w:hint="eastAsia" w:ascii="宋体" w:hAnsi="宋体" w:eastAsia="宋体" w:cs="宋体"/>
                      <w:b/>
                      <w:bCs/>
                      <w:color w:val="auto"/>
                      <w:sz w:val="21"/>
                      <w:szCs w:val="21"/>
                    </w:rPr>
                    <w:t>项目情况</w:t>
                  </w:r>
                </w:p>
              </w:tc>
              <w:tc>
                <w:tcPr>
                  <w:tcW w:w="704" w:type="dxa"/>
                  <w:tcBorders>
                    <w:tl2br w:val="nil"/>
                    <w:tr2bl w:val="nil"/>
                  </w:tcBorders>
                  <w:noWrap w:val="0"/>
                  <w:vAlign w:val="center"/>
                </w:tcPr>
                <w:p w14:paraId="35C3CE98">
                  <w:pPr>
                    <w:pStyle w:val="71"/>
                    <w:keepNext w:val="0"/>
                    <w:keepLines w:val="0"/>
                    <w:suppressLineNumbers w:val="0"/>
                    <w:adjustRightInd w:val="0"/>
                    <w:snapToGrid w:val="0"/>
                    <w:spacing w:before="0" w:beforeAutospacing="0" w:after="0" w:afterAutospacing="0" w:line="240" w:lineRule="atLeast"/>
                    <w:ind w:left="0" w:right="0"/>
                    <w:rPr>
                      <w:rFonts w:hint="default" w:ascii="宋体" w:hAnsi="宋体" w:eastAsia="宋体" w:cs="宋体"/>
                      <w:b/>
                      <w:bCs/>
                      <w:color w:val="auto"/>
                      <w:sz w:val="21"/>
                      <w:szCs w:val="21"/>
                    </w:rPr>
                  </w:pPr>
                  <w:r>
                    <w:rPr>
                      <w:rFonts w:hint="eastAsia" w:ascii="宋体" w:hAnsi="宋体" w:eastAsia="宋体" w:cs="宋体"/>
                      <w:b/>
                      <w:bCs/>
                      <w:color w:val="auto"/>
                      <w:sz w:val="21"/>
                      <w:szCs w:val="21"/>
                    </w:rPr>
                    <w:t>相符性</w:t>
                  </w:r>
                </w:p>
              </w:tc>
            </w:tr>
            <w:tr w14:paraId="4C4EAB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5" w:type="dxa"/>
                  <w:tcBorders>
                    <w:tl2br w:val="nil"/>
                    <w:tr2bl w:val="nil"/>
                  </w:tcBorders>
                  <w:noWrap w:val="0"/>
                  <w:vAlign w:val="center"/>
                </w:tcPr>
                <w:p w14:paraId="43F4B201">
                  <w:pPr>
                    <w:pStyle w:val="71"/>
                    <w:keepNext w:val="0"/>
                    <w:keepLines w:val="0"/>
                    <w:suppressLineNumbers w:val="0"/>
                    <w:adjustRightInd w:val="0"/>
                    <w:snapToGrid w:val="0"/>
                    <w:spacing w:before="0" w:beforeAutospacing="0" w:after="0" w:afterAutospacing="0" w:line="240" w:lineRule="atLeast"/>
                    <w:ind w:left="0" w:right="0"/>
                    <w:rPr>
                      <w:rFonts w:hint="default" w:ascii="宋体" w:hAnsi="宋体" w:eastAsia="宋体" w:cs="宋体"/>
                      <w:color w:val="auto"/>
                      <w:sz w:val="21"/>
                      <w:szCs w:val="21"/>
                    </w:rPr>
                  </w:pPr>
                  <w:r>
                    <w:rPr>
                      <w:rFonts w:hint="eastAsia" w:ascii="宋体" w:hAnsi="宋体" w:eastAsia="宋体" w:cs="宋体"/>
                      <w:color w:val="auto"/>
                      <w:sz w:val="21"/>
                      <w:szCs w:val="21"/>
                    </w:rPr>
                    <w:t>1</w:t>
                  </w:r>
                </w:p>
              </w:tc>
              <w:tc>
                <w:tcPr>
                  <w:tcW w:w="4018" w:type="dxa"/>
                  <w:tcBorders>
                    <w:tl2br w:val="nil"/>
                    <w:tr2bl w:val="nil"/>
                  </w:tcBorders>
                  <w:noWrap w:val="0"/>
                  <w:vAlign w:val="top"/>
                </w:tcPr>
                <w:p w14:paraId="31BDD46D">
                  <w:pPr>
                    <w:pStyle w:val="71"/>
                    <w:keepNext w:val="0"/>
                    <w:keepLines w:val="0"/>
                    <w:suppressLineNumbers w:val="0"/>
                    <w:adjustRightInd w:val="0"/>
                    <w:snapToGrid w:val="0"/>
                    <w:spacing w:before="0" w:beforeAutospacing="0" w:after="0" w:afterAutospacing="0" w:line="240" w:lineRule="atLeast"/>
                    <w:ind w:left="0" w:right="0"/>
                    <w:rPr>
                      <w:rFonts w:hint="default" w:ascii="宋体" w:hAnsi="宋体" w:eastAsia="宋体" w:cs="宋体"/>
                      <w:color w:val="auto"/>
                      <w:sz w:val="21"/>
                      <w:szCs w:val="21"/>
                    </w:rPr>
                  </w:pPr>
                  <w:r>
                    <w:rPr>
                      <w:rFonts w:hint="eastAsia" w:ascii="宋体" w:hAnsi="宋体" w:eastAsia="宋体" w:cs="宋体"/>
                      <w:color w:val="auto"/>
                      <w:sz w:val="21"/>
                      <w:szCs w:val="21"/>
                    </w:rPr>
                    <w:t>一、设计风量</w:t>
                  </w:r>
                </w:p>
                <w:p w14:paraId="63367BAC">
                  <w:pPr>
                    <w:pStyle w:val="71"/>
                    <w:keepNext w:val="0"/>
                    <w:keepLines w:val="0"/>
                    <w:suppressLineNumbers w:val="0"/>
                    <w:adjustRightInd w:val="0"/>
                    <w:snapToGrid w:val="0"/>
                    <w:spacing w:before="0" w:beforeAutospacing="0" w:after="0" w:afterAutospacing="0" w:line="240" w:lineRule="atLeast"/>
                    <w:ind w:left="0" w:right="0"/>
                    <w:rPr>
                      <w:rFonts w:hint="default" w:ascii="宋体" w:hAnsi="宋体" w:eastAsia="宋体" w:cs="宋体"/>
                      <w:color w:val="auto"/>
                      <w:sz w:val="21"/>
                      <w:szCs w:val="21"/>
                    </w:rPr>
                  </w:pPr>
                  <w:r>
                    <w:rPr>
                      <w:rFonts w:hint="eastAsia" w:ascii="宋体" w:hAnsi="宋体" w:eastAsia="宋体" w:cs="宋体"/>
                      <w:color w:val="auto"/>
                      <w:sz w:val="21"/>
                      <w:szCs w:val="21"/>
                    </w:rPr>
                    <w:t>涉VOCs排放工序应在密闭空间中操作或采用全密闭集气罩收集，无法密闭采用局部集气罩的，应根据废气排放特点合理选择收集点位，按《排风罩的分类和技术条件》（GB/T 16758）规定，设置能有效收集废气的集气罩，距集气罩开口面最远处的VOCs无组织排放位置，控制风速不低于0.3米/秒。活性炭吸附装置风机应满足依据车间集气罩形状、大小数量及控制风速等测算的风量所需，达不到要求的通过更换大功率风机、增设烟道风机、增加垂帘等方式进行改造。</w:t>
                  </w:r>
                </w:p>
              </w:tc>
              <w:tc>
                <w:tcPr>
                  <w:tcW w:w="1554" w:type="dxa"/>
                  <w:tcBorders>
                    <w:tl2br w:val="nil"/>
                    <w:tr2bl w:val="nil"/>
                  </w:tcBorders>
                  <w:noWrap w:val="0"/>
                  <w:vAlign w:val="center"/>
                </w:tcPr>
                <w:p w14:paraId="31E02576">
                  <w:pPr>
                    <w:pStyle w:val="71"/>
                    <w:keepNext w:val="0"/>
                    <w:keepLines w:val="0"/>
                    <w:suppressLineNumbers w:val="0"/>
                    <w:adjustRightInd w:val="0"/>
                    <w:snapToGrid w:val="0"/>
                    <w:spacing w:before="0" w:beforeAutospacing="0" w:after="0" w:afterAutospacing="0" w:line="240" w:lineRule="atLeast"/>
                    <w:ind w:left="0" w:right="0"/>
                    <w:rPr>
                      <w:rFonts w:hint="default" w:ascii="宋体" w:hAnsi="宋体" w:eastAsia="宋体" w:cs="宋体"/>
                      <w:color w:val="auto"/>
                      <w:sz w:val="21"/>
                      <w:szCs w:val="21"/>
                    </w:rPr>
                  </w:pPr>
                  <w:r>
                    <w:rPr>
                      <w:rFonts w:hint="eastAsia" w:ascii="宋体" w:hAnsi="宋体" w:eastAsia="宋体" w:cs="宋体"/>
                      <w:color w:val="auto"/>
                      <w:sz w:val="21"/>
                      <w:szCs w:val="21"/>
                    </w:rPr>
                    <w:t>项目</w:t>
                  </w:r>
                  <w:r>
                    <w:rPr>
                      <w:rFonts w:hint="eastAsia" w:ascii="宋体" w:hAnsi="宋体" w:eastAsia="宋体" w:cs="宋体"/>
                      <w:color w:val="auto"/>
                      <w:sz w:val="21"/>
                      <w:szCs w:val="21"/>
                      <w:lang w:val="en-US" w:eastAsia="zh-CN"/>
                    </w:rPr>
                    <w:t>固化</w:t>
                  </w:r>
                  <w:r>
                    <w:rPr>
                      <w:rFonts w:hint="eastAsia" w:ascii="宋体" w:hAnsi="宋体" w:eastAsia="宋体" w:cs="宋体"/>
                      <w:color w:val="auto"/>
                      <w:sz w:val="21"/>
                      <w:szCs w:val="21"/>
                    </w:rPr>
                    <w:t>位于密闭</w:t>
                  </w:r>
                  <w:r>
                    <w:rPr>
                      <w:rFonts w:hint="eastAsia" w:ascii="宋体" w:hAnsi="宋体" w:eastAsia="宋体" w:cs="宋体"/>
                      <w:color w:val="auto"/>
                      <w:sz w:val="21"/>
                      <w:szCs w:val="21"/>
                      <w:lang w:val="en-US" w:eastAsia="zh-CN"/>
                    </w:rPr>
                    <w:t>区域</w:t>
                  </w:r>
                  <w:r>
                    <w:rPr>
                      <w:rFonts w:hint="eastAsia" w:ascii="宋体" w:hAnsi="宋体" w:eastAsia="宋体" w:cs="宋体"/>
                      <w:color w:val="auto"/>
                      <w:sz w:val="21"/>
                      <w:szCs w:val="21"/>
                    </w:rPr>
                    <w:t>内保证废气有效收集。</w:t>
                  </w:r>
                </w:p>
              </w:tc>
              <w:tc>
                <w:tcPr>
                  <w:tcW w:w="704" w:type="dxa"/>
                  <w:tcBorders>
                    <w:tl2br w:val="nil"/>
                    <w:tr2bl w:val="nil"/>
                  </w:tcBorders>
                  <w:noWrap w:val="0"/>
                  <w:vAlign w:val="center"/>
                </w:tcPr>
                <w:p w14:paraId="32CB509C">
                  <w:pPr>
                    <w:pStyle w:val="71"/>
                    <w:keepNext w:val="0"/>
                    <w:keepLines w:val="0"/>
                    <w:suppressLineNumbers w:val="0"/>
                    <w:adjustRightInd w:val="0"/>
                    <w:snapToGrid w:val="0"/>
                    <w:spacing w:before="0" w:beforeAutospacing="0" w:after="0" w:afterAutospacing="0" w:line="240" w:lineRule="atLeast"/>
                    <w:ind w:left="0" w:right="0"/>
                    <w:rPr>
                      <w:rFonts w:hint="default" w:ascii="宋体" w:hAnsi="宋体" w:eastAsia="宋体" w:cs="宋体"/>
                      <w:color w:val="auto"/>
                      <w:sz w:val="21"/>
                      <w:szCs w:val="21"/>
                    </w:rPr>
                  </w:pPr>
                  <w:r>
                    <w:rPr>
                      <w:rFonts w:hint="eastAsia" w:ascii="宋体" w:hAnsi="宋体" w:eastAsia="宋体" w:cs="宋体"/>
                      <w:color w:val="auto"/>
                      <w:sz w:val="21"/>
                      <w:szCs w:val="21"/>
                    </w:rPr>
                    <w:t>相符</w:t>
                  </w:r>
                </w:p>
              </w:tc>
            </w:tr>
            <w:tr w14:paraId="4A1D89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5" w:type="dxa"/>
                  <w:tcBorders>
                    <w:tl2br w:val="nil"/>
                    <w:tr2bl w:val="nil"/>
                  </w:tcBorders>
                  <w:noWrap w:val="0"/>
                  <w:vAlign w:val="center"/>
                </w:tcPr>
                <w:p w14:paraId="170A4B49">
                  <w:pPr>
                    <w:pStyle w:val="71"/>
                    <w:keepNext w:val="0"/>
                    <w:keepLines w:val="0"/>
                    <w:suppressLineNumbers w:val="0"/>
                    <w:adjustRightInd w:val="0"/>
                    <w:snapToGrid w:val="0"/>
                    <w:spacing w:before="0" w:beforeAutospacing="0" w:after="0" w:afterAutospacing="0" w:line="240" w:lineRule="atLeast"/>
                    <w:ind w:left="0" w:right="0"/>
                    <w:rPr>
                      <w:rFonts w:hint="default" w:ascii="宋体" w:hAnsi="宋体" w:eastAsia="宋体" w:cs="宋体"/>
                      <w:color w:val="auto"/>
                      <w:sz w:val="21"/>
                      <w:szCs w:val="21"/>
                    </w:rPr>
                  </w:pPr>
                  <w:r>
                    <w:rPr>
                      <w:rFonts w:hint="eastAsia" w:ascii="宋体" w:hAnsi="宋体" w:eastAsia="宋体" w:cs="宋体"/>
                      <w:color w:val="auto"/>
                      <w:sz w:val="21"/>
                      <w:szCs w:val="21"/>
                    </w:rPr>
                    <w:t>2</w:t>
                  </w:r>
                </w:p>
              </w:tc>
              <w:tc>
                <w:tcPr>
                  <w:tcW w:w="4018" w:type="dxa"/>
                  <w:tcBorders>
                    <w:tl2br w:val="nil"/>
                    <w:tr2bl w:val="nil"/>
                  </w:tcBorders>
                  <w:noWrap w:val="0"/>
                  <w:vAlign w:val="top"/>
                </w:tcPr>
                <w:p w14:paraId="6F53E859">
                  <w:pPr>
                    <w:pStyle w:val="71"/>
                    <w:keepNext w:val="0"/>
                    <w:keepLines w:val="0"/>
                    <w:suppressLineNumbers w:val="0"/>
                    <w:adjustRightInd w:val="0"/>
                    <w:snapToGrid w:val="0"/>
                    <w:spacing w:before="0" w:beforeAutospacing="0" w:after="0" w:afterAutospacing="0" w:line="240" w:lineRule="atLeast"/>
                    <w:ind w:left="0" w:right="0"/>
                    <w:rPr>
                      <w:rFonts w:hint="default" w:ascii="宋体" w:hAnsi="宋体" w:eastAsia="宋体" w:cs="宋体"/>
                      <w:color w:val="auto"/>
                      <w:sz w:val="21"/>
                      <w:szCs w:val="21"/>
                    </w:rPr>
                  </w:pPr>
                  <w:r>
                    <w:rPr>
                      <w:rFonts w:hint="eastAsia" w:ascii="宋体" w:hAnsi="宋体" w:eastAsia="宋体" w:cs="宋体"/>
                      <w:color w:val="auto"/>
                      <w:sz w:val="21"/>
                      <w:szCs w:val="21"/>
                    </w:rPr>
                    <w:t>二、设备质量</w:t>
                  </w:r>
                </w:p>
                <w:p w14:paraId="4C4D20B1">
                  <w:pPr>
                    <w:pStyle w:val="71"/>
                    <w:keepNext w:val="0"/>
                    <w:keepLines w:val="0"/>
                    <w:suppressLineNumbers w:val="0"/>
                    <w:adjustRightInd w:val="0"/>
                    <w:snapToGrid w:val="0"/>
                    <w:spacing w:before="0" w:beforeAutospacing="0" w:after="0" w:afterAutospacing="0" w:line="240" w:lineRule="atLeast"/>
                    <w:ind w:left="0" w:right="0"/>
                    <w:rPr>
                      <w:rFonts w:hint="default" w:ascii="宋体" w:hAnsi="宋体" w:eastAsia="宋体" w:cs="宋体"/>
                      <w:color w:val="auto"/>
                      <w:sz w:val="21"/>
                      <w:szCs w:val="21"/>
                    </w:rPr>
                  </w:pPr>
                  <w:r>
                    <w:rPr>
                      <w:rFonts w:hint="eastAsia" w:ascii="宋体" w:hAnsi="宋体" w:eastAsia="宋体" w:cs="宋体"/>
                      <w:color w:val="auto"/>
                      <w:sz w:val="21"/>
                      <w:szCs w:val="21"/>
                    </w:rPr>
                    <w:t>无论是卧式活性炭罐还是箱式活性炭罐内部结构应设计合理（参见附件1），气体流通顺畅、无短路、无死角。活性炭吸附装置的门、焊缝、管道连接处等均应严密，不得漏气，所有螺栓、螺母均应经过表面处理，连接牢固。金属材质装置外壳应采用不锈钢或防腐处理，表面光洁不得有锈蚀、毛刺、凹凸不平等缺陷。排放风机宜安装在吸附装置后端，使装置形成负压，尽量保证无污染气体泄漏到设备箱罐体体外。应在活性炭吸附装置进气和出气管道上设置采样口，采样口设置应符合《环境保护产品技术要求工业废气吸附净化装置HJ T 386 2007》的要求，便于日常监测活性炭吸附效率。根据活性炭更换周期及时更换活性炭，更换下来的活性炭按危险废物处理。采用活性炭吸附装置的企业应配备VOCs快速监测设备。</w:t>
                  </w:r>
                </w:p>
              </w:tc>
              <w:tc>
                <w:tcPr>
                  <w:tcW w:w="1554" w:type="dxa"/>
                  <w:tcBorders>
                    <w:tl2br w:val="nil"/>
                    <w:tr2bl w:val="nil"/>
                  </w:tcBorders>
                  <w:noWrap w:val="0"/>
                  <w:vAlign w:val="center"/>
                </w:tcPr>
                <w:p w14:paraId="29BB52E2">
                  <w:pPr>
                    <w:pStyle w:val="71"/>
                    <w:keepNext w:val="0"/>
                    <w:keepLines w:val="0"/>
                    <w:suppressLineNumbers w:val="0"/>
                    <w:adjustRightInd w:val="0"/>
                    <w:snapToGrid w:val="0"/>
                    <w:spacing w:before="0" w:beforeAutospacing="0" w:after="0" w:afterAutospacing="0" w:line="240" w:lineRule="atLeast"/>
                    <w:ind w:left="0" w:right="0"/>
                    <w:rPr>
                      <w:rFonts w:hint="default" w:ascii="宋体" w:hAnsi="宋体" w:eastAsia="宋体" w:cs="宋体"/>
                      <w:color w:val="auto"/>
                      <w:sz w:val="21"/>
                      <w:szCs w:val="21"/>
                    </w:rPr>
                  </w:pPr>
                  <w:r>
                    <w:rPr>
                      <w:rFonts w:hint="eastAsia" w:ascii="宋体" w:hAnsi="宋体" w:eastAsia="宋体" w:cs="宋体"/>
                      <w:color w:val="auto"/>
                      <w:sz w:val="21"/>
                      <w:szCs w:val="21"/>
                    </w:rPr>
                    <w:t>项目按照文件要求执行，保证设备质量符合要求，设置规定数量的采样孔便于采样监测。</w:t>
                  </w:r>
                </w:p>
              </w:tc>
              <w:tc>
                <w:tcPr>
                  <w:tcW w:w="704" w:type="dxa"/>
                  <w:tcBorders>
                    <w:tl2br w:val="nil"/>
                    <w:tr2bl w:val="nil"/>
                  </w:tcBorders>
                  <w:noWrap w:val="0"/>
                  <w:vAlign w:val="center"/>
                </w:tcPr>
                <w:p w14:paraId="488F14CC">
                  <w:pPr>
                    <w:pStyle w:val="71"/>
                    <w:keepNext w:val="0"/>
                    <w:keepLines w:val="0"/>
                    <w:suppressLineNumbers w:val="0"/>
                    <w:adjustRightInd w:val="0"/>
                    <w:snapToGrid w:val="0"/>
                    <w:spacing w:before="0" w:beforeAutospacing="0" w:after="0" w:afterAutospacing="0" w:line="240" w:lineRule="atLeast"/>
                    <w:ind w:left="0" w:right="0"/>
                    <w:rPr>
                      <w:rFonts w:hint="default" w:ascii="宋体" w:hAnsi="宋体" w:eastAsia="宋体" w:cs="宋体"/>
                      <w:color w:val="auto"/>
                      <w:sz w:val="21"/>
                      <w:szCs w:val="21"/>
                    </w:rPr>
                  </w:pPr>
                  <w:r>
                    <w:rPr>
                      <w:rFonts w:hint="eastAsia" w:ascii="宋体" w:hAnsi="宋体" w:eastAsia="宋体" w:cs="宋体"/>
                      <w:color w:val="auto"/>
                      <w:sz w:val="21"/>
                      <w:szCs w:val="21"/>
                    </w:rPr>
                    <w:t>相符</w:t>
                  </w:r>
                </w:p>
              </w:tc>
            </w:tr>
            <w:tr w14:paraId="2ED366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5" w:type="dxa"/>
                  <w:tcBorders>
                    <w:tl2br w:val="nil"/>
                    <w:tr2bl w:val="nil"/>
                  </w:tcBorders>
                  <w:noWrap w:val="0"/>
                  <w:vAlign w:val="center"/>
                </w:tcPr>
                <w:p w14:paraId="4CC8E47B">
                  <w:pPr>
                    <w:pStyle w:val="71"/>
                    <w:keepNext w:val="0"/>
                    <w:keepLines w:val="0"/>
                    <w:suppressLineNumbers w:val="0"/>
                    <w:adjustRightInd w:val="0"/>
                    <w:snapToGrid w:val="0"/>
                    <w:spacing w:before="0" w:beforeAutospacing="0" w:after="0" w:afterAutospacing="0" w:line="240" w:lineRule="atLeast"/>
                    <w:ind w:left="0" w:right="0"/>
                    <w:rPr>
                      <w:rFonts w:hint="default" w:ascii="宋体" w:hAnsi="宋体" w:eastAsia="宋体" w:cs="宋体"/>
                      <w:color w:val="auto"/>
                      <w:sz w:val="21"/>
                      <w:szCs w:val="21"/>
                    </w:rPr>
                  </w:pPr>
                  <w:r>
                    <w:rPr>
                      <w:rFonts w:hint="eastAsia" w:ascii="宋体" w:hAnsi="宋体" w:eastAsia="宋体" w:cs="宋体"/>
                      <w:color w:val="auto"/>
                      <w:sz w:val="21"/>
                      <w:szCs w:val="21"/>
                    </w:rPr>
                    <w:t>3</w:t>
                  </w:r>
                </w:p>
              </w:tc>
              <w:tc>
                <w:tcPr>
                  <w:tcW w:w="4018" w:type="dxa"/>
                  <w:tcBorders>
                    <w:tl2br w:val="nil"/>
                    <w:tr2bl w:val="nil"/>
                  </w:tcBorders>
                  <w:noWrap w:val="0"/>
                  <w:vAlign w:val="top"/>
                </w:tcPr>
                <w:p w14:paraId="31F74AAE">
                  <w:pPr>
                    <w:pStyle w:val="71"/>
                    <w:keepNext w:val="0"/>
                    <w:keepLines w:val="0"/>
                    <w:suppressLineNumbers w:val="0"/>
                    <w:adjustRightInd w:val="0"/>
                    <w:snapToGrid w:val="0"/>
                    <w:spacing w:before="0" w:beforeAutospacing="0" w:after="0" w:afterAutospacing="0" w:line="240" w:lineRule="atLeast"/>
                    <w:ind w:left="0" w:right="0"/>
                    <w:rPr>
                      <w:rFonts w:hint="default" w:ascii="宋体" w:hAnsi="宋体" w:eastAsia="宋体" w:cs="宋体"/>
                      <w:color w:val="auto"/>
                      <w:sz w:val="21"/>
                      <w:szCs w:val="21"/>
                    </w:rPr>
                  </w:pPr>
                  <w:r>
                    <w:rPr>
                      <w:rFonts w:hint="eastAsia" w:ascii="宋体" w:hAnsi="宋体" w:eastAsia="宋体" w:cs="宋体"/>
                      <w:color w:val="auto"/>
                      <w:sz w:val="21"/>
                      <w:szCs w:val="21"/>
                    </w:rPr>
                    <w:t>三、气体流速</w:t>
                  </w:r>
                </w:p>
                <w:p w14:paraId="36434C38">
                  <w:pPr>
                    <w:pStyle w:val="71"/>
                    <w:keepNext w:val="0"/>
                    <w:keepLines w:val="0"/>
                    <w:suppressLineNumbers w:val="0"/>
                    <w:adjustRightInd w:val="0"/>
                    <w:snapToGrid w:val="0"/>
                    <w:spacing w:before="0" w:beforeAutospacing="0" w:after="0" w:afterAutospacing="0" w:line="240" w:lineRule="atLeast"/>
                    <w:ind w:left="0" w:right="0"/>
                    <w:rPr>
                      <w:rFonts w:hint="default" w:ascii="宋体" w:hAnsi="宋体" w:eastAsia="宋体" w:cs="宋体"/>
                      <w:color w:val="auto"/>
                      <w:sz w:val="21"/>
                      <w:szCs w:val="21"/>
                    </w:rPr>
                  </w:pPr>
                  <w:r>
                    <w:rPr>
                      <w:rFonts w:hint="eastAsia" w:ascii="宋体" w:hAnsi="宋体" w:eastAsia="宋体" w:cs="宋体"/>
                      <w:color w:val="auto"/>
                      <w:sz w:val="21"/>
                      <w:szCs w:val="21"/>
                    </w:rPr>
                    <w:t>吸附装置吸附层的气体流速应根据吸附剂的形态确定。采用颗粒活性炭时，气体流速宜低于0.60m/s，装填厚度不得低于0.4m。活性炭应装填齐整，避免气流短路；采用活性炭纤维时，气体流速宜低于0.15m/s；采用蜂窝活性炭时，气体流速宜低于1.20m/s。</w:t>
                  </w:r>
                </w:p>
              </w:tc>
              <w:tc>
                <w:tcPr>
                  <w:tcW w:w="1554" w:type="dxa"/>
                  <w:tcBorders>
                    <w:tl2br w:val="nil"/>
                    <w:tr2bl w:val="nil"/>
                  </w:tcBorders>
                  <w:noWrap w:val="0"/>
                  <w:vAlign w:val="center"/>
                </w:tcPr>
                <w:p w14:paraId="0FCD7C71">
                  <w:pPr>
                    <w:pStyle w:val="71"/>
                    <w:keepNext w:val="0"/>
                    <w:keepLines w:val="0"/>
                    <w:suppressLineNumbers w:val="0"/>
                    <w:adjustRightInd w:val="0"/>
                    <w:snapToGrid w:val="0"/>
                    <w:spacing w:before="0" w:beforeAutospacing="0" w:after="0" w:afterAutospacing="0" w:line="240" w:lineRule="atLeast"/>
                    <w:ind w:left="0" w:right="0"/>
                    <w:rPr>
                      <w:rFonts w:hint="default" w:ascii="宋体" w:hAnsi="宋体" w:eastAsia="宋体" w:cs="宋体"/>
                      <w:color w:val="auto"/>
                      <w:sz w:val="21"/>
                      <w:szCs w:val="21"/>
                    </w:rPr>
                  </w:pPr>
                  <w:r>
                    <w:rPr>
                      <w:rFonts w:hint="eastAsia" w:ascii="宋体" w:hAnsi="宋体" w:eastAsia="宋体" w:cs="宋体"/>
                      <w:color w:val="auto"/>
                      <w:sz w:val="21"/>
                      <w:szCs w:val="21"/>
                    </w:rPr>
                    <w:t>项目按照要求设计采购活性炭吸附设备，保证吸附去除效率，避免短路、流速过高等不利影响。</w:t>
                  </w:r>
                </w:p>
              </w:tc>
              <w:tc>
                <w:tcPr>
                  <w:tcW w:w="704" w:type="dxa"/>
                  <w:tcBorders>
                    <w:tl2br w:val="nil"/>
                    <w:tr2bl w:val="nil"/>
                  </w:tcBorders>
                  <w:noWrap w:val="0"/>
                  <w:vAlign w:val="center"/>
                </w:tcPr>
                <w:p w14:paraId="37CC32F3">
                  <w:pPr>
                    <w:pStyle w:val="71"/>
                    <w:keepNext w:val="0"/>
                    <w:keepLines w:val="0"/>
                    <w:suppressLineNumbers w:val="0"/>
                    <w:adjustRightInd w:val="0"/>
                    <w:snapToGrid w:val="0"/>
                    <w:spacing w:before="0" w:beforeAutospacing="0" w:after="0" w:afterAutospacing="0" w:line="240" w:lineRule="atLeast"/>
                    <w:ind w:left="0" w:right="0"/>
                    <w:rPr>
                      <w:rFonts w:hint="default" w:ascii="宋体" w:hAnsi="宋体" w:eastAsia="宋体" w:cs="宋体"/>
                      <w:color w:val="auto"/>
                      <w:sz w:val="21"/>
                      <w:szCs w:val="21"/>
                    </w:rPr>
                  </w:pPr>
                  <w:r>
                    <w:rPr>
                      <w:rFonts w:hint="eastAsia" w:ascii="宋体" w:hAnsi="宋体" w:eastAsia="宋体" w:cs="宋体"/>
                      <w:color w:val="auto"/>
                      <w:sz w:val="21"/>
                      <w:szCs w:val="21"/>
                    </w:rPr>
                    <w:t>相符</w:t>
                  </w:r>
                </w:p>
              </w:tc>
            </w:tr>
            <w:tr w14:paraId="6D9895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5" w:type="dxa"/>
                  <w:tcBorders>
                    <w:tl2br w:val="nil"/>
                    <w:tr2bl w:val="nil"/>
                  </w:tcBorders>
                  <w:noWrap w:val="0"/>
                  <w:vAlign w:val="center"/>
                </w:tcPr>
                <w:p w14:paraId="5E07B6F6">
                  <w:pPr>
                    <w:pStyle w:val="71"/>
                    <w:keepNext w:val="0"/>
                    <w:keepLines w:val="0"/>
                    <w:suppressLineNumbers w:val="0"/>
                    <w:adjustRightInd w:val="0"/>
                    <w:snapToGrid w:val="0"/>
                    <w:spacing w:before="0" w:beforeAutospacing="0" w:after="0" w:afterAutospacing="0" w:line="240" w:lineRule="atLeast"/>
                    <w:ind w:left="0" w:right="0"/>
                    <w:rPr>
                      <w:rFonts w:hint="default" w:ascii="宋体" w:hAnsi="宋体" w:eastAsia="宋体" w:cs="宋体"/>
                      <w:color w:val="auto"/>
                      <w:sz w:val="21"/>
                      <w:szCs w:val="21"/>
                    </w:rPr>
                  </w:pPr>
                  <w:r>
                    <w:rPr>
                      <w:rFonts w:hint="eastAsia" w:ascii="宋体" w:hAnsi="宋体" w:eastAsia="宋体" w:cs="宋体"/>
                      <w:color w:val="auto"/>
                      <w:sz w:val="21"/>
                      <w:szCs w:val="21"/>
                    </w:rPr>
                    <w:t>4</w:t>
                  </w:r>
                </w:p>
              </w:tc>
              <w:tc>
                <w:tcPr>
                  <w:tcW w:w="4018" w:type="dxa"/>
                  <w:tcBorders>
                    <w:tl2br w:val="nil"/>
                    <w:tr2bl w:val="nil"/>
                  </w:tcBorders>
                  <w:noWrap w:val="0"/>
                  <w:vAlign w:val="top"/>
                </w:tcPr>
                <w:p w14:paraId="3FE9C188">
                  <w:pPr>
                    <w:pStyle w:val="71"/>
                    <w:keepNext w:val="0"/>
                    <w:keepLines w:val="0"/>
                    <w:suppressLineNumbers w:val="0"/>
                    <w:adjustRightInd w:val="0"/>
                    <w:snapToGrid w:val="0"/>
                    <w:spacing w:before="0" w:beforeAutospacing="0" w:after="0" w:afterAutospacing="0" w:line="240" w:lineRule="atLeast"/>
                    <w:ind w:left="0" w:right="0"/>
                    <w:rPr>
                      <w:rFonts w:hint="default" w:ascii="宋体" w:hAnsi="宋体" w:eastAsia="宋体" w:cs="宋体"/>
                      <w:color w:val="auto"/>
                      <w:sz w:val="21"/>
                      <w:szCs w:val="21"/>
                    </w:rPr>
                  </w:pPr>
                  <w:r>
                    <w:rPr>
                      <w:rFonts w:hint="eastAsia" w:ascii="宋体" w:hAnsi="宋体" w:eastAsia="宋体" w:cs="宋体"/>
                      <w:color w:val="auto"/>
                      <w:sz w:val="21"/>
                      <w:szCs w:val="21"/>
                    </w:rPr>
                    <w:t>四、废气预处理</w:t>
                  </w:r>
                </w:p>
                <w:p w14:paraId="4539F5AA">
                  <w:pPr>
                    <w:pStyle w:val="71"/>
                    <w:keepNext w:val="0"/>
                    <w:keepLines w:val="0"/>
                    <w:suppressLineNumbers w:val="0"/>
                    <w:adjustRightInd w:val="0"/>
                    <w:snapToGrid w:val="0"/>
                    <w:spacing w:before="0" w:beforeAutospacing="0" w:after="0" w:afterAutospacing="0" w:line="240" w:lineRule="atLeast"/>
                    <w:ind w:left="0" w:right="0"/>
                    <w:rPr>
                      <w:rFonts w:hint="default" w:ascii="宋体" w:hAnsi="宋体" w:eastAsia="宋体" w:cs="宋体"/>
                      <w:color w:val="auto"/>
                      <w:sz w:val="21"/>
                      <w:szCs w:val="21"/>
                    </w:rPr>
                  </w:pPr>
                  <w:r>
                    <w:rPr>
                      <w:rFonts w:hint="eastAsia" w:ascii="宋体" w:hAnsi="宋体" w:eastAsia="宋体" w:cs="宋体"/>
                      <w:color w:val="auto"/>
                      <w:sz w:val="21"/>
                      <w:szCs w:val="21"/>
                    </w:rPr>
                    <w:t>进入吸附设备的废气颗粒物含量和温度应分别低于1mg/m³和40℃，若颗粒物含量超过1mg/m³时，应先采用过滤或洗涤等方式进行预处理。活性炭对酸性废气吸附效果较差，且酸性气体易对设备本体造成腐蚀，应先采用洗涤进行预处理。</w:t>
                  </w:r>
                </w:p>
                <w:p w14:paraId="17BD09BC">
                  <w:pPr>
                    <w:pStyle w:val="71"/>
                    <w:keepNext w:val="0"/>
                    <w:keepLines w:val="0"/>
                    <w:suppressLineNumbers w:val="0"/>
                    <w:adjustRightInd w:val="0"/>
                    <w:snapToGrid w:val="0"/>
                    <w:spacing w:before="0" w:beforeAutospacing="0" w:after="0" w:afterAutospacing="0" w:line="240" w:lineRule="atLeast"/>
                    <w:ind w:left="0" w:right="0"/>
                    <w:rPr>
                      <w:rFonts w:hint="default" w:ascii="宋体" w:hAnsi="宋体" w:eastAsia="宋体" w:cs="宋体"/>
                      <w:color w:val="auto"/>
                      <w:sz w:val="21"/>
                      <w:szCs w:val="21"/>
                    </w:rPr>
                  </w:pPr>
                  <w:r>
                    <w:rPr>
                      <w:rFonts w:hint="eastAsia" w:ascii="宋体" w:hAnsi="宋体" w:eastAsia="宋体" w:cs="宋体"/>
                      <w:color w:val="auto"/>
                      <w:sz w:val="21"/>
                      <w:szCs w:val="21"/>
                    </w:rPr>
                    <w:t>企业应制订定期更换过滤材料的设备运行维护规程，保障活性炭在低颗粒物、低含水率条件下使用。</w:t>
                  </w:r>
                </w:p>
              </w:tc>
              <w:tc>
                <w:tcPr>
                  <w:tcW w:w="1554" w:type="dxa"/>
                  <w:tcBorders>
                    <w:tl2br w:val="nil"/>
                    <w:tr2bl w:val="nil"/>
                  </w:tcBorders>
                  <w:noWrap w:val="0"/>
                  <w:vAlign w:val="center"/>
                </w:tcPr>
                <w:p w14:paraId="1A8A97B5">
                  <w:pPr>
                    <w:pStyle w:val="71"/>
                    <w:keepNext w:val="0"/>
                    <w:keepLines w:val="0"/>
                    <w:suppressLineNumbers w:val="0"/>
                    <w:adjustRightInd w:val="0"/>
                    <w:snapToGrid w:val="0"/>
                    <w:spacing w:before="0" w:beforeAutospacing="0" w:after="0" w:afterAutospacing="0" w:line="240" w:lineRule="atLeast"/>
                    <w:ind w:left="0" w:right="0"/>
                    <w:rPr>
                      <w:rFonts w:hint="default" w:ascii="宋体" w:hAnsi="宋体" w:eastAsia="宋体" w:cs="宋体"/>
                      <w:color w:val="auto"/>
                      <w:sz w:val="21"/>
                      <w:szCs w:val="21"/>
                    </w:rPr>
                  </w:pPr>
                  <w:r>
                    <w:rPr>
                      <w:rFonts w:hint="eastAsia" w:ascii="宋体" w:hAnsi="宋体" w:eastAsia="宋体" w:cs="宋体"/>
                      <w:color w:val="auto"/>
                      <w:sz w:val="21"/>
                      <w:szCs w:val="21"/>
                    </w:rPr>
                    <w:t>项目</w:t>
                  </w:r>
                  <w:r>
                    <w:rPr>
                      <w:rFonts w:hint="eastAsia" w:ascii="宋体" w:hAnsi="宋体" w:eastAsia="宋体" w:cs="宋体"/>
                      <w:color w:val="auto"/>
                      <w:sz w:val="21"/>
                      <w:szCs w:val="21"/>
                      <w:lang w:val="en-US" w:eastAsia="zh-CN"/>
                    </w:rPr>
                    <w:t>固化</w:t>
                  </w:r>
                  <w:r>
                    <w:rPr>
                      <w:rFonts w:hint="eastAsia" w:ascii="宋体" w:hAnsi="宋体" w:eastAsia="宋体" w:cs="宋体"/>
                      <w:color w:val="auto"/>
                      <w:sz w:val="21"/>
                      <w:szCs w:val="21"/>
                    </w:rPr>
                    <w:t>过程不产生含酸性的腐蚀性气体。</w:t>
                  </w:r>
                </w:p>
              </w:tc>
              <w:tc>
                <w:tcPr>
                  <w:tcW w:w="704" w:type="dxa"/>
                  <w:tcBorders>
                    <w:tl2br w:val="nil"/>
                    <w:tr2bl w:val="nil"/>
                  </w:tcBorders>
                  <w:noWrap w:val="0"/>
                  <w:vAlign w:val="center"/>
                </w:tcPr>
                <w:p w14:paraId="2D8E101E">
                  <w:pPr>
                    <w:pStyle w:val="71"/>
                    <w:keepNext w:val="0"/>
                    <w:keepLines w:val="0"/>
                    <w:suppressLineNumbers w:val="0"/>
                    <w:adjustRightInd w:val="0"/>
                    <w:snapToGrid w:val="0"/>
                    <w:spacing w:before="0" w:beforeAutospacing="0" w:after="0" w:afterAutospacing="0" w:line="240" w:lineRule="atLeast"/>
                    <w:ind w:left="0" w:right="0"/>
                    <w:rPr>
                      <w:rFonts w:hint="default" w:ascii="宋体" w:hAnsi="宋体" w:eastAsia="宋体" w:cs="宋体"/>
                      <w:color w:val="auto"/>
                      <w:sz w:val="21"/>
                      <w:szCs w:val="21"/>
                    </w:rPr>
                  </w:pPr>
                  <w:r>
                    <w:rPr>
                      <w:rFonts w:hint="eastAsia" w:ascii="宋体" w:hAnsi="宋体" w:eastAsia="宋体" w:cs="宋体"/>
                      <w:color w:val="auto"/>
                      <w:sz w:val="21"/>
                      <w:szCs w:val="21"/>
                    </w:rPr>
                    <w:t>相符</w:t>
                  </w:r>
                </w:p>
              </w:tc>
            </w:tr>
            <w:tr w14:paraId="0D1A9D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5" w:type="dxa"/>
                  <w:tcBorders>
                    <w:tl2br w:val="nil"/>
                    <w:tr2bl w:val="nil"/>
                  </w:tcBorders>
                  <w:noWrap w:val="0"/>
                  <w:vAlign w:val="center"/>
                </w:tcPr>
                <w:p w14:paraId="3033EC16">
                  <w:pPr>
                    <w:pStyle w:val="71"/>
                    <w:keepNext w:val="0"/>
                    <w:keepLines w:val="0"/>
                    <w:suppressLineNumbers w:val="0"/>
                    <w:adjustRightInd w:val="0"/>
                    <w:snapToGrid w:val="0"/>
                    <w:spacing w:before="0" w:beforeAutospacing="0" w:after="0" w:afterAutospacing="0" w:line="240" w:lineRule="atLeast"/>
                    <w:ind w:left="0" w:right="0"/>
                    <w:rPr>
                      <w:rFonts w:hint="default" w:ascii="宋体" w:hAnsi="宋体" w:eastAsia="宋体" w:cs="宋体"/>
                      <w:color w:val="auto"/>
                      <w:sz w:val="21"/>
                      <w:szCs w:val="21"/>
                    </w:rPr>
                  </w:pPr>
                  <w:r>
                    <w:rPr>
                      <w:rFonts w:hint="eastAsia" w:ascii="宋体" w:hAnsi="宋体" w:eastAsia="宋体" w:cs="宋体"/>
                      <w:color w:val="auto"/>
                      <w:sz w:val="21"/>
                      <w:szCs w:val="21"/>
                    </w:rPr>
                    <w:t>5</w:t>
                  </w:r>
                </w:p>
              </w:tc>
              <w:tc>
                <w:tcPr>
                  <w:tcW w:w="4018" w:type="dxa"/>
                  <w:tcBorders>
                    <w:tl2br w:val="nil"/>
                    <w:tr2bl w:val="nil"/>
                  </w:tcBorders>
                  <w:noWrap w:val="0"/>
                  <w:vAlign w:val="top"/>
                </w:tcPr>
                <w:p w14:paraId="32F9B79E">
                  <w:pPr>
                    <w:pStyle w:val="71"/>
                    <w:keepNext w:val="0"/>
                    <w:keepLines w:val="0"/>
                    <w:suppressLineNumbers w:val="0"/>
                    <w:adjustRightInd w:val="0"/>
                    <w:snapToGrid w:val="0"/>
                    <w:spacing w:before="0" w:beforeAutospacing="0" w:after="0" w:afterAutospacing="0" w:line="240" w:lineRule="atLeast"/>
                    <w:ind w:left="0" w:right="0"/>
                    <w:rPr>
                      <w:rFonts w:hint="default" w:ascii="宋体" w:hAnsi="宋体" w:eastAsia="宋体" w:cs="宋体"/>
                      <w:color w:val="auto"/>
                      <w:sz w:val="21"/>
                      <w:szCs w:val="21"/>
                    </w:rPr>
                  </w:pPr>
                  <w:r>
                    <w:rPr>
                      <w:rFonts w:hint="eastAsia" w:ascii="宋体" w:hAnsi="宋体" w:eastAsia="宋体" w:cs="宋体"/>
                      <w:color w:val="auto"/>
                      <w:sz w:val="21"/>
                      <w:szCs w:val="21"/>
                    </w:rPr>
                    <w:t>五、活性炭质量</w:t>
                  </w:r>
                </w:p>
                <w:p w14:paraId="2536F718">
                  <w:pPr>
                    <w:pStyle w:val="71"/>
                    <w:keepNext w:val="0"/>
                    <w:keepLines w:val="0"/>
                    <w:suppressLineNumbers w:val="0"/>
                    <w:adjustRightInd w:val="0"/>
                    <w:snapToGrid w:val="0"/>
                    <w:spacing w:before="0" w:beforeAutospacing="0" w:after="0" w:afterAutospacing="0" w:line="240" w:lineRule="atLeast"/>
                    <w:ind w:left="0" w:right="0"/>
                    <w:rPr>
                      <w:rFonts w:hint="default" w:ascii="宋体" w:hAnsi="宋体" w:eastAsia="宋体" w:cs="宋体"/>
                      <w:color w:val="auto"/>
                      <w:sz w:val="21"/>
                      <w:szCs w:val="21"/>
                    </w:rPr>
                  </w:pPr>
                  <w:r>
                    <w:rPr>
                      <w:rFonts w:hint="eastAsia" w:ascii="宋体" w:hAnsi="宋体" w:eastAsia="宋体" w:cs="宋体"/>
                      <w:color w:val="auto"/>
                      <w:sz w:val="21"/>
                      <w:szCs w:val="21"/>
                    </w:rPr>
                    <w:t>颗粒活性炭碘吸附值≥800mg/g，比表面积≥850m2/g；蜂窝活性炭横向抗压强度应不低于0.9MPa，纵向强度应不低于0.4MPa，碘吸附值≥650mg/g，比表面积≥750m</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/g。工业有机废气治理用活性炭常规及推荐技术指标详见附件2。</w:t>
                  </w:r>
                </w:p>
                <w:p w14:paraId="0424A9F1">
                  <w:pPr>
                    <w:pStyle w:val="71"/>
                    <w:keepNext w:val="0"/>
                    <w:keepLines w:val="0"/>
                    <w:suppressLineNumbers w:val="0"/>
                    <w:adjustRightInd w:val="0"/>
                    <w:snapToGrid w:val="0"/>
                    <w:spacing w:before="0" w:beforeAutospacing="0" w:after="0" w:afterAutospacing="0" w:line="240" w:lineRule="atLeast"/>
                    <w:ind w:left="0" w:right="0"/>
                    <w:rPr>
                      <w:rFonts w:hint="default" w:ascii="宋体" w:hAnsi="宋体" w:eastAsia="宋体" w:cs="宋体"/>
                      <w:color w:val="auto"/>
                      <w:sz w:val="21"/>
                      <w:szCs w:val="21"/>
                    </w:rPr>
                  </w:pPr>
                  <w:r>
                    <w:rPr>
                      <w:rFonts w:hint="eastAsia" w:ascii="宋体" w:hAnsi="宋体" w:eastAsia="宋体" w:cs="宋体"/>
                      <w:color w:val="auto"/>
                      <w:sz w:val="21"/>
                      <w:szCs w:val="21"/>
                    </w:rPr>
                    <w:t>企业应备好所购活性炭厂家关于活性炭碘值、比表面积等相关证明材料。</w:t>
                  </w:r>
                </w:p>
              </w:tc>
              <w:tc>
                <w:tcPr>
                  <w:tcW w:w="1554" w:type="dxa"/>
                  <w:tcBorders>
                    <w:tl2br w:val="nil"/>
                    <w:tr2bl w:val="nil"/>
                  </w:tcBorders>
                  <w:noWrap w:val="0"/>
                  <w:vAlign w:val="center"/>
                </w:tcPr>
                <w:p w14:paraId="3EBD20D5">
                  <w:pPr>
                    <w:pStyle w:val="71"/>
                    <w:keepNext w:val="0"/>
                    <w:keepLines w:val="0"/>
                    <w:suppressLineNumbers w:val="0"/>
                    <w:adjustRightInd w:val="0"/>
                    <w:snapToGrid w:val="0"/>
                    <w:spacing w:before="0" w:beforeAutospacing="0" w:after="0" w:afterAutospacing="0" w:line="240" w:lineRule="atLeast"/>
                    <w:ind w:left="0" w:right="0"/>
                    <w:rPr>
                      <w:rFonts w:hint="default" w:ascii="宋体" w:hAnsi="宋体" w:eastAsia="宋体" w:cs="宋体"/>
                      <w:color w:val="auto"/>
                      <w:sz w:val="21"/>
                      <w:szCs w:val="21"/>
                    </w:rPr>
                  </w:pPr>
                  <w:r>
                    <w:rPr>
                      <w:rFonts w:hint="eastAsia" w:ascii="宋体" w:hAnsi="宋体" w:eastAsia="宋体" w:cs="宋体"/>
                      <w:color w:val="auto"/>
                      <w:sz w:val="21"/>
                      <w:szCs w:val="21"/>
                    </w:rPr>
                    <w:t>项目按照要求采购符合要求的活性炭，并保存相关资料以备核查。</w:t>
                  </w:r>
                </w:p>
              </w:tc>
              <w:tc>
                <w:tcPr>
                  <w:tcW w:w="704" w:type="dxa"/>
                  <w:tcBorders>
                    <w:tl2br w:val="nil"/>
                    <w:tr2bl w:val="nil"/>
                  </w:tcBorders>
                  <w:noWrap w:val="0"/>
                  <w:vAlign w:val="center"/>
                </w:tcPr>
                <w:p w14:paraId="6CD821C5">
                  <w:pPr>
                    <w:pStyle w:val="71"/>
                    <w:keepNext w:val="0"/>
                    <w:keepLines w:val="0"/>
                    <w:suppressLineNumbers w:val="0"/>
                    <w:adjustRightInd w:val="0"/>
                    <w:snapToGrid w:val="0"/>
                    <w:spacing w:before="0" w:beforeAutospacing="0" w:after="0" w:afterAutospacing="0" w:line="240" w:lineRule="atLeast"/>
                    <w:ind w:left="0" w:right="0"/>
                    <w:rPr>
                      <w:rFonts w:hint="default" w:ascii="宋体" w:hAnsi="宋体" w:eastAsia="宋体" w:cs="宋体"/>
                      <w:color w:val="auto"/>
                      <w:sz w:val="21"/>
                      <w:szCs w:val="21"/>
                    </w:rPr>
                  </w:pPr>
                  <w:r>
                    <w:rPr>
                      <w:rFonts w:hint="eastAsia" w:ascii="宋体" w:hAnsi="宋体" w:eastAsia="宋体" w:cs="宋体"/>
                      <w:color w:val="auto"/>
                      <w:sz w:val="21"/>
                      <w:szCs w:val="21"/>
                    </w:rPr>
                    <w:t>相符</w:t>
                  </w:r>
                </w:p>
              </w:tc>
            </w:tr>
            <w:tr w14:paraId="0A1E54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5" w:type="dxa"/>
                  <w:tcBorders>
                    <w:tl2br w:val="nil"/>
                    <w:tr2bl w:val="nil"/>
                  </w:tcBorders>
                  <w:noWrap w:val="0"/>
                  <w:vAlign w:val="center"/>
                </w:tcPr>
                <w:p w14:paraId="7E7B2175">
                  <w:pPr>
                    <w:pStyle w:val="71"/>
                    <w:keepNext w:val="0"/>
                    <w:keepLines w:val="0"/>
                    <w:suppressLineNumbers w:val="0"/>
                    <w:adjustRightInd w:val="0"/>
                    <w:snapToGrid w:val="0"/>
                    <w:spacing w:before="0" w:beforeAutospacing="0" w:after="0" w:afterAutospacing="0" w:line="240" w:lineRule="atLeast"/>
                    <w:ind w:left="0" w:right="0"/>
                    <w:rPr>
                      <w:rFonts w:hint="default" w:ascii="宋体" w:hAnsi="宋体" w:eastAsia="宋体" w:cs="宋体"/>
                      <w:color w:val="auto"/>
                      <w:sz w:val="21"/>
                      <w:szCs w:val="21"/>
                    </w:rPr>
                  </w:pPr>
                  <w:r>
                    <w:rPr>
                      <w:rFonts w:hint="eastAsia" w:ascii="宋体" w:hAnsi="宋体" w:eastAsia="宋体" w:cs="宋体"/>
                      <w:color w:val="auto"/>
                      <w:sz w:val="21"/>
                      <w:szCs w:val="21"/>
                    </w:rPr>
                    <w:t>6</w:t>
                  </w:r>
                </w:p>
              </w:tc>
              <w:tc>
                <w:tcPr>
                  <w:tcW w:w="4018" w:type="dxa"/>
                  <w:tcBorders>
                    <w:tl2br w:val="nil"/>
                    <w:tr2bl w:val="nil"/>
                  </w:tcBorders>
                  <w:noWrap w:val="0"/>
                  <w:vAlign w:val="top"/>
                </w:tcPr>
                <w:p w14:paraId="121423B6">
                  <w:pPr>
                    <w:pStyle w:val="71"/>
                    <w:keepNext w:val="0"/>
                    <w:keepLines w:val="0"/>
                    <w:suppressLineNumbers w:val="0"/>
                    <w:adjustRightInd w:val="0"/>
                    <w:snapToGrid w:val="0"/>
                    <w:spacing w:before="0" w:beforeAutospacing="0" w:after="0" w:afterAutospacing="0" w:line="240" w:lineRule="atLeast"/>
                    <w:ind w:left="0" w:right="0"/>
                    <w:rPr>
                      <w:rFonts w:hint="default" w:ascii="宋体" w:hAnsi="宋体" w:eastAsia="宋体" w:cs="宋体"/>
                      <w:color w:val="auto"/>
                      <w:sz w:val="21"/>
                      <w:szCs w:val="21"/>
                    </w:rPr>
                  </w:pPr>
                  <w:r>
                    <w:rPr>
                      <w:rFonts w:hint="eastAsia" w:ascii="宋体" w:hAnsi="宋体" w:eastAsia="宋体" w:cs="宋体"/>
                      <w:color w:val="auto"/>
                      <w:sz w:val="21"/>
                      <w:szCs w:val="21"/>
                    </w:rPr>
                    <w:t>六、活性炭填充量</w:t>
                  </w:r>
                </w:p>
                <w:p w14:paraId="06D1FF12">
                  <w:pPr>
                    <w:pStyle w:val="71"/>
                    <w:keepNext w:val="0"/>
                    <w:keepLines w:val="0"/>
                    <w:suppressLineNumbers w:val="0"/>
                    <w:adjustRightInd w:val="0"/>
                    <w:snapToGrid w:val="0"/>
                    <w:spacing w:before="0" w:beforeAutospacing="0" w:after="0" w:afterAutospacing="0" w:line="240" w:lineRule="atLeast"/>
                    <w:ind w:left="0" w:right="0"/>
                    <w:rPr>
                      <w:rFonts w:hint="default" w:ascii="宋体" w:hAnsi="宋体" w:eastAsia="宋体" w:cs="宋体"/>
                      <w:color w:val="auto"/>
                      <w:sz w:val="21"/>
                      <w:szCs w:val="21"/>
                    </w:rPr>
                  </w:pPr>
                  <w:r>
                    <w:rPr>
                      <w:rFonts w:hint="eastAsia" w:ascii="宋体" w:hAnsi="宋体" w:eastAsia="宋体" w:cs="宋体"/>
                      <w:color w:val="auto"/>
                      <w:sz w:val="21"/>
                      <w:szCs w:val="21"/>
                    </w:rPr>
                    <w:t>采用一次性颗粒状活性炭处理VOCs废气，年活性炭使用量不应低于VOCs产生量的5倍，即1吨VOCs产生量，需5吨活性炭用于吸附。活性炭更换周期一般不应超过累计运行500小时或3个月，更换周期计算按《省生态环境厅关于将排污单位活性炭使用更换纳入排污许可管理的通知》有关要求执行。</w:t>
                  </w:r>
                </w:p>
              </w:tc>
              <w:tc>
                <w:tcPr>
                  <w:tcW w:w="1554" w:type="dxa"/>
                  <w:tcBorders>
                    <w:tl2br w:val="nil"/>
                    <w:tr2bl w:val="nil"/>
                  </w:tcBorders>
                  <w:noWrap w:val="0"/>
                  <w:vAlign w:val="center"/>
                </w:tcPr>
                <w:p w14:paraId="327E9C03">
                  <w:pPr>
                    <w:pStyle w:val="71"/>
                    <w:keepNext w:val="0"/>
                    <w:keepLines w:val="0"/>
                    <w:suppressLineNumbers w:val="0"/>
                    <w:adjustRightInd w:val="0"/>
                    <w:snapToGrid w:val="0"/>
                    <w:spacing w:before="0" w:beforeAutospacing="0" w:after="0" w:afterAutospacing="0" w:line="240" w:lineRule="atLeast"/>
                    <w:ind w:left="0" w:right="0"/>
                    <w:rPr>
                      <w:rFonts w:hint="default" w:ascii="宋体" w:hAnsi="宋体" w:eastAsia="宋体" w:cs="宋体"/>
                      <w:color w:val="auto"/>
                      <w:sz w:val="21"/>
                      <w:szCs w:val="21"/>
                    </w:rPr>
                  </w:pPr>
                  <w:r>
                    <w:rPr>
                      <w:rFonts w:hint="eastAsia" w:ascii="宋体" w:hAnsi="宋体" w:eastAsia="宋体" w:cs="宋体"/>
                      <w:color w:val="auto"/>
                      <w:sz w:val="21"/>
                      <w:szCs w:val="21"/>
                    </w:rPr>
                    <w:t>项目按照规定期限及时更换活性炭，保证吸附去除效率。</w:t>
                  </w:r>
                </w:p>
              </w:tc>
              <w:tc>
                <w:tcPr>
                  <w:tcW w:w="704" w:type="dxa"/>
                  <w:tcBorders>
                    <w:tl2br w:val="nil"/>
                    <w:tr2bl w:val="nil"/>
                  </w:tcBorders>
                  <w:noWrap w:val="0"/>
                  <w:vAlign w:val="center"/>
                </w:tcPr>
                <w:p w14:paraId="2D8BF781">
                  <w:pPr>
                    <w:pStyle w:val="71"/>
                    <w:keepNext w:val="0"/>
                    <w:keepLines w:val="0"/>
                    <w:suppressLineNumbers w:val="0"/>
                    <w:adjustRightInd w:val="0"/>
                    <w:snapToGrid w:val="0"/>
                    <w:spacing w:before="0" w:beforeAutospacing="0" w:after="0" w:afterAutospacing="0" w:line="240" w:lineRule="atLeast"/>
                    <w:ind w:left="0" w:right="0"/>
                    <w:rPr>
                      <w:rFonts w:hint="default" w:ascii="宋体" w:hAnsi="宋体" w:eastAsia="宋体" w:cs="宋体"/>
                      <w:color w:val="auto"/>
                      <w:sz w:val="21"/>
                      <w:szCs w:val="21"/>
                    </w:rPr>
                  </w:pPr>
                  <w:r>
                    <w:rPr>
                      <w:rFonts w:hint="eastAsia" w:ascii="宋体" w:hAnsi="宋体" w:eastAsia="宋体" w:cs="宋体"/>
                      <w:color w:val="auto"/>
                      <w:sz w:val="21"/>
                      <w:szCs w:val="21"/>
                    </w:rPr>
                    <w:t>相符</w:t>
                  </w:r>
                </w:p>
              </w:tc>
            </w:tr>
          </w:tbl>
          <w:p w14:paraId="0D2CBD97">
            <w:pPr>
              <w:pStyle w:val="16"/>
              <w:keepNext w:val="0"/>
              <w:keepLines w:val="0"/>
              <w:numPr>
                <w:ilvl w:val="0"/>
                <w:numId w:val="0"/>
              </w:numPr>
              <w:suppressLineNumbers w:val="0"/>
              <w:adjustRightInd w:val="0"/>
              <w:snapToGrid w:val="0"/>
              <w:spacing w:before="0" w:beforeAutospacing="0" w:after="0" w:afterAutospacing="0"/>
              <w:ind w:left="0" w:right="0" w:firstLine="480" w:firstLineChars="200"/>
              <w:rPr>
                <w:rFonts w:hint="eastAsia" w:ascii="宋体" w:hAnsi="宋体" w:eastAsia="宋体" w:cs="宋体"/>
                <w:color w:val="auto"/>
                <w:szCs w:val="21"/>
              </w:rPr>
            </w:pPr>
            <w:r>
              <w:rPr>
                <w:rFonts w:hint="eastAsia" w:ascii="宋体" w:hAnsi="宋体" w:eastAsia="宋体" w:cs="宋体"/>
                <w:color w:val="auto"/>
                <w:szCs w:val="21"/>
              </w:rPr>
              <w:t>综上，项目将积极落实文中各项要求，保证活性炭吸附装置的吸附去除效率，项目符合文件中要求。</w:t>
            </w:r>
          </w:p>
          <w:p w14:paraId="2B373EC2">
            <w:pPr>
              <w:pStyle w:val="6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b w:val="0"/>
                <w:bCs w:val="0"/>
                <w:sz w:val="24"/>
                <w:szCs w:val="24"/>
              </w:rPr>
            </w:pPr>
            <w:r>
              <w:rPr>
                <w:rFonts w:hint="eastAsia" w:ascii="宋体" w:hAnsi="宋体" w:eastAsia="宋体" w:cs="宋体"/>
                <w:b w:val="0"/>
                <w:bCs w:val="0"/>
                <w:color w:val="auto"/>
                <w:sz w:val="24"/>
                <w:szCs w:val="24"/>
                <w:lang w:val="en-US" w:eastAsia="zh-CN"/>
              </w:rPr>
              <w:t>10、</w:t>
            </w:r>
            <w:r>
              <w:rPr>
                <w:rFonts w:hint="eastAsia" w:ascii="宋体" w:hAnsi="宋体" w:eastAsia="宋体" w:cs="宋体"/>
                <w:b w:val="0"/>
                <w:bCs w:val="0"/>
                <w:spacing w:val="-2"/>
                <w:sz w:val="24"/>
                <w:szCs w:val="24"/>
              </w:rPr>
              <w:t>与《镇江市2024年大气污染防治工作计划》（镇污治指办〔2024〕</w:t>
            </w:r>
            <w:r>
              <w:rPr>
                <w:rFonts w:hint="eastAsia" w:ascii="宋体" w:hAnsi="宋体" w:eastAsia="宋体" w:cs="宋体"/>
                <w:b w:val="0"/>
                <w:bCs w:val="0"/>
                <w:spacing w:val="17"/>
                <w:sz w:val="24"/>
                <w:szCs w:val="24"/>
              </w:rPr>
              <w:t xml:space="preserve"> </w:t>
            </w:r>
            <w:r>
              <w:rPr>
                <w:rFonts w:hint="eastAsia" w:ascii="宋体" w:hAnsi="宋体" w:eastAsia="宋体" w:cs="宋体"/>
                <w:b w:val="0"/>
                <w:bCs w:val="0"/>
                <w:spacing w:val="-2"/>
                <w:sz w:val="24"/>
                <w:szCs w:val="24"/>
              </w:rPr>
              <w:t>36号）相符性分析</w:t>
            </w:r>
          </w:p>
          <w:p w14:paraId="6798EBAD">
            <w:pPr>
              <w:pStyle w:val="6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b/>
                <w:bCs/>
                <w:spacing w:val="-1"/>
                <w:sz w:val="24"/>
                <w:szCs w:val="24"/>
              </w:rPr>
            </w:pPr>
          </w:p>
          <w:p w14:paraId="3A76221D">
            <w:pPr>
              <w:pStyle w:val="6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b/>
                <w:bCs/>
                <w:spacing w:val="-1"/>
                <w:sz w:val="24"/>
                <w:szCs w:val="24"/>
              </w:rPr>
            </w:pPr>
          </w:p>
          <w:p w14:paraId="77CBC347">
            <w:pPr>
              <w:pStyle w:val="6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b/>
                <w:bCs/>
                <w:spacing w:val="-1"/>
                <w:sz w:val="24"/>
                <w:szCs w:val="24"/>
              </w:rPr>
            </w:pPr>
          </w:p>
          <w:p w14:paraId="3940D18B">
            <w:pPr>
              <w:pStyle w:val="6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b w:val="0"/>
                <w:bCs w:val="0"/>
                <w:sz w:val="24"/>
                <w:szCs w:val="24"/>
              </w:rPr>
            </w:pPr>
            <w:r>
              <w:rPr>
                <w:rFonts w:hint="default"/>
                <w:b/>
                <w:bCs/>
                <w:spacing w:val="-1"/>
                <w:sz w:val="24"/>
                <w:szCs w:val="24"/>
              </w:rPr>
              <w:t>表</w:t>
            </w:r>
            <w:r>
              <w:rPr>
                <w:rFonts w:hint="eastAsia" w:ascii="Times New Roman" w:hAnsi="Times New Roman" w:eastAsia="宋体" w:cs="Times New Roman"/>
                <w:b/>
                <w:bCs/>
                <w:spacing w:val="-1"/>
                <w:sz w:val="24"/>
                <w:szCs w:val="24"/>
                <w:lang w:val="en-US" w:eastAsia="zh-CN"/>
              </w:rPr>
              <w:t>1-13</w:t>
            </w:r>
            <w:r>
              <w:rPr>
                <w:rFonts w:hint="default" w:ascii="Times New Roman" w:hAnsi="Times New Roman" w:eastAsia="Times New Roman" w:cs="Times New Roman"/>
                <w:b/>
                <w:bCs/>
                <w:spacing w:val="-1"/>
                <w:sz w:val="24"/>
                <w:szCs w:val="24"/>
              </w:rPr>
              <w:t xml:space="preserve"> </w:t>
            </w:r>
            <w:r>
              <w:rPr>
                <w:rFonts w:hint="default"/>
                <w:b/>
                <w:bCs/>
                <w:spacing w:val="-1"/>
                <w:sz w:val="24"/>
                <w:szCs w:val="24"/>
              </w:rPr>
              <w:t>与《镇江市</w:t>
            </w:r>
            <w:r>
              <w:rPr>
                <w:rFonts w:hint="default" w:ascii="Times New Roman" w:hAnsi="Times New Roman" w:eastAsia="Times New Roman" w:cs="Times New Roman"/>
                <w:b/>
                <w:bCs/>
                <w:spacing w:val="-1"/>
                <w:sz w:val="24"/>
                <w:szCs w:val="24"/>
              </w:rPr>
              <w:t>2024</w:t>
            </w:r>
            <w:r>
              <w:rPr>
                <w:rFonts w:hint="default"/>
                <w:b/>
                <w:bCs/>
                <w:spacing w:val="-1"/>
                <w:sz w:val="24"/>
                <w:szCs w:val="24"/>
              </w:rPr>
              <w:t>年大气污染防治工</w:t>
            </w:r>
            <w:r>
              <w:rPr>
                <w:rFonts w:hint="default"/>
                <w:b/>
                <w:bCs/>
                <w:spacing w:val="-2"/>
                <w:sz w:val="24"/>
                <w:szCs w:val="24"/>
              </w:rPr>
              <w:t>作计划》相符性分析</w:t>
            </w:r>
          </w:p>
          <w:tbl>
            <w:tblPr>
              <w:tblStyle w:val="78"/>
              <w:tblW w:w="66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691"/>
              <w:gridCol w:w="2109"/>
              <w:gridCol w:w="898"/>
            </w:tblGrid>
            <w:tr w14:paraId="01E72A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 w:hRule="atLeast"/>
                <w:jc w:val="center"/>
              </w:trPr>
              <w:tc>
                <w:tcPr>
                  <w:tcW w:w="3691" w:type="dxa"/>
                  <w:tcBorders>
                    <w:top w:val="single" w:color="000000" w:sz="10" w:space="0"/>
                    <w:left w:val="nil"/>
                  </w:tcBorders>
                  <w:noWrap w:val="0"/>
                  <w:vAlign w:val="center"/>
                </w:tcPr>
                <w:p w14:paraId="22C61287">
                  <w:pPr>
                    <w:pStyle w:val="64"/>
                    <w:keepNext w:val="0"/>
                    <w:keepLines w:val="0"/>
                    <w:pageBreakBefore w:val="0"/>
                    <w:widowControl w:val="0"/>
                    <w:kinsoku/>
                    <w:wordWrap/>
                    <w:overflowPunct/>
                    <w:topLinePunct w:val="0"/>
                    <w:autoSpaceDE/>
                    <w:autoSpaceDN/>
                    <w:bidi w:val="0"/>
                    <w:adjustRightInd w:val="0"/>
                    <w:snapToGrid w:val="0"/>
                    <w:spacing w:line="240" w:lineRule="atLeast"/>
                    <w:ind w:left="0" w:right="0" w:firstLine="0"/>
                    <w:jc w:val="center"/>
                    <w:textAlignment w:val="auto"/>
                    <w:rPr>
                      <w:rFonts w:hint="eastAsia" w:ascii="宋体" w:hAnsi="宋体" w:eastAsia="宋体" w:cs="宋体"/>
                      <w:sz w:val="21"/>
                      <w:szCs w:val="21"/>
                    </w:rPr>
                  </w:pPr>
                  <w:r>
                    <w:rPr>
                      <w:rFonts w:hint="eastAsia" w:ascii="宋体" w:hAnsi="宋体" w:eastAsia="宋体" w:cs="宋体"/>
                      <w:b/>
                      <w:bCs/>
                      <w:spacing w:val="-4"/>
                      <w:sz w:val="21"/>
                      <w:szCs w:val="21"/>
                    </w:rPr>
                    <w:t>文件要求</w:t>
                  </w:r>
                </w:p>
              </w:tc>
              <w:tc>
                <w:tcPr>
                  <w:tcW w:w="2109" w:type="dxa"/>
                  <w:tcBorders>
                    <w:top w:val="single" w:color="000000" w:sz="10" w:space="0"/>
                  </w:tcBorders>
                  <w:noWrap w:val="0"/>
                  <w:vAlign w:val="center"/>
                </w:tcPr>
                <w:p w14:paraId="2FD608E4">
                  <w:pPr>
                    <w:pStyle w:val="64"/>
                    <w:keepNext w:val="0"/>
                    <w:keepLines w:val="0"/>
                    <w:pageBreakBefore w:val="0"/>
                    <w:widowControl w:val="0"/>
                    <w:kinsoku/>
                    <w:wordWrap/>
                    <w:overflowPunct/>
                    <w:topLinePunct w:val="0"/>
                    <w:autoSpaceDE/>
                    <w:autoSpaceDN/>
                    <w:bidi w:val="0"/>
                    <w:adjustRightInd w:val="0"/>
                    <w:snapToGrid w:val="0"/>
                    <w:spacing w:line="240" w:lineRule="atLeast"/>
                    <w:ind w:left="0" w:right="0" w:firstLine="0"/>
                    <w:jc w:val="center"/>
                    <w:textAlignment w:val="auto"/>
                    <w:rPr>
                      <w:rFonts w:hint="eastAsia" w:ascii="宋体" w:hAnsi="宋体" w:eastAsia="宋体" w:cs="宋体"/>
                      <w:sz w:val="21"/>
                      <w:szCs w:val="21"/>
                    </w:rPr>
                  </w:pPr>
                  <w:r>
                    <w:rPr>
                      <w:rFonts w:hint="eastAsia" w:ascii="宋体" w:hAnsi="宋体" w:eastAsia="宋体" w:cs="宋体"/>
                      <w:b/>
                      <w:bCs/>
                      <w:spacing w:val="-4"/>
                      <w:sz w:val="21"/>
                      <w:szCs w:val="21"/>
                    </w:rPr>
                    <w:t>本项目</w:t>
                  </w:r>
                </w:p>
              </w:tc>
              <w:tc>
                <w:tcPr>
                  <w:tcW w:w="898" w:type="dxa"/>
                  <w:tcBorders>
                    <w:top w:val="single" w:color="000000" w:sz="10" w:space="0"/>
                    <w:right w:val="nil"/>
                  </w:tcBorders>
                  <w:noWrap w:val="0"/>
                  <w:vAlign w:val="center"/>
                </w:tcPr>
                <w:p w14:paraId="6EFE4C9A">
                  <w:pPr>
                    <w:pStyle w:val="64"/>
                    <w:keepNext w:val="0"/>
                    <w:keepLines w:val="0"/>
                    <w:pageBreakBefore w:val="0"/>
                    <w:widowControl w:val="0"/>
                    <w:kinsoku/>
                    <w:wordWrap/>
                    <w:overflowPunct/>
                    <w:topLinePunct w:val="0"/>
                    <w:autoSpaceDE/>
                    <w:autoSpaceDN/>
                    <w:bidi w:val="0"/>
                    <w:adjustRightInd w:val="0"/>
                    <w:snapToGrid w:val="0"/>
                    <w:spacing w:line="240" w:lineRule="atLeast"/>
                    <w:ind w:left="0" w:right="0" w:firstLine="0"/>
                    <w:jc w:val="center"/>
                    <w:textAlignment w:val="auto"/>
                    <w:rPr>
                      <w:rFonts w:hint="eastAsia" w:ascii="宋体" w:hAnsi="宋体" w:eastAsia="宋体" w:cs="宋体"/>
                      <w:sz w:val="21"/>
                      <w:szCs w:val="21"/>
                    </w:rPr>
                  </w:pPr>
                  <w:r>
                    <w:rPr>
                      <w:rFonts w:hint="eastAsia" w:ascii="宋体" w:hAnsi="宋体" w:eastAsia="宋体" w:cs="宋体"/>
                      <w:b/>
                      <w:bCs/>
                      <w:spacing w:val="-6"/>
                      <w:sz w:val="21"/>
                      <w:szCs w:val="21"/>
                    </w:rPr>
                    <w:t>相符</w:t>
                  </w:r>
                  <w:r>
                    <w:rPr>
                      <w:rFonts w:hint="eastAsia" w:ascii="宋体" w:hAnsi="宋体" w:eastAsia="宋体" w:cs="宋体"/>
                      <w:b/>
                      <w:bCs/>
                      <w:spacing w:val="-3"/>
                      <w:sz w:val="21"/>
                      <w:szCs w:val="21"/>
                    </w:rPr>
                    <w:t>性</w:t>
                  </w:r>
                </w:p>
              </w:tc>
            </w:tr>
            <w:tr w14:paraId="017F7F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5" w:hRule="atLeast"/>
                <w:jc w:val="center"/>
              </w:trPr>
              <w:tc>
                <w:tcPr>
                  <w:tcW w:w="3691" w:type="dxa"/>
                  <w:tcBorders>
                    <w:left w:val="nil"/>
                    <w:bottom w:val="single" w:color="000000" w:sz="10" w:space="0"/>
                  </w:tcBorders>
                  <w:noWrap w:val="0"/>
                  <w:vAlign w:val="center"/>
                </w:tcPr>
                <w:p w14:paraId="3919DF76">
                  <w:pPr>
                    <w:pStyle w:val="64"/>
                    <w:keepNext w:val="0"/>
                    <w:keepLines w:val="0"/>
                    <w:pageBreakBefore w:val="0"/>
                    <w:widowControl w:val="0"/>
                    <w:kinsoku/>
                    <w:wordWrap/>
                    <w:overflowPunct/>
                    <w:topLinePunct w:val="0"/>
                    <w:autoSpaceDE/>
                    <w:autoSpaceDN/>
                    <w:bidi w:val="0"/>
                    <w:adjustRightInd w:val="0"/>
                    <w:snapToGrid w:val="0"/>
                    <w:spacing w:line="240" w:lineRule="atLeast"/>
                    <w:ind w:left="0" w:right="0" w:firstLine="0"/>
                    <w:jc w:val="center"/>
                    <w:textAlignment w:val="auto"/>
                    <w:rPr>
                      <w:rFonts w:hint="eastAsia" w:ascii="宋体" w:hAnsi="宋体" w:eastAsia="宋体" w:cs="宋体"/>
                      <w:sz w:val="21"/>
                      <w:szCs w:val="21"/>
                    </w:rPr>
                  </w:pPr>
                  <w:r>
                    <w:rPr>
                      <w:rFonts w:hint="eastAsia" w:ascii="宋体" w:hAnsi="宋体" w:eastAsia="宋体" w:cs="宋体"/>
                      <w:spacing w:val="-1"/>
                      <w:sz w:val="21"/>
                      <w:szCs w:val="21"/>
                    </w:rPr>
                    <w:t>推进低VOCs含量原辅材料替</w:t>
                  </w:r>
                  <w:r>
                    <w:rPr>
                      <w:rFonts w:hint="eastAsia" w:ascii="宋体" w:hAnsi="宋体" w:eastAsia="宋体" w:cs="宋体"/>
                      <w:spacing w:val="5"/>
                      <w:sz w:val="21"/>
                      <w:szCs w:val="21"/>
                    </w:rPr>
                    <w:t>代。禁止建设生产和使用高</w:t>
                  </w:r>
                  <w:r>
                    <w:rPr>
                      <w:rFonts w:hint="eastAsia" w:ascii="宋体" w:hAnsi="宋体" w:eastAsia="宋体" w:cs="宋体"/>
                      <w:sz w:val="21"/>
                      <w:szCs w:val="21"/>
                    </w:rPr>
                    <w:t>VOCs含量的溶剂型涂料、油</w:t>
                  </w:r>
                  <w:r>
                    <w:rPr>
                      <w:rFonts w:hint="eastAsia" w:ascii="宋体" w:hAnsi="宋体" w:eastAsia="宋体" w:cs="宋体"/>
                      <w:spacing w:val="1"/>
                      <w:sz w:val="21"/>
                      <w:szCs w:val="21"/>
                    </w:rPr>
                    <w:t>墨、胶粘剂等项目。在木</w:t>
                  </w:r>
                  <w:r>
                    <w:rPr>
                      <w:rFonts w:hint="eastAsia" w:ascii="宋体" w:hAnsi="宋体" w:eastAsia="宋体" w:cs="宋体"/>
                      <w:spacing w:val="-7"/>
                      <w:sz w:val="21"/>
                      <w:szCs w:val="21"/>
                    </w:rPr>
                    <w:t>质家具、汽车零部件、工程机械、钢结构、船舶制造等工业涂装、包装印刷和电子等行业工艺环节中，大力推广使用低</w:t>
                  </w:r>
                  <w:r>
                    <w:rPr>
                      <w:rFonts w:hint="eastAsia" w:ascii="宋体" w:hAnsi="宋体" w:eastAsia="宋体" w:cs="宋体"/>
                      <w:sz w:val="21"/>
                      <w:szCs w:val="21"/>
                    </w:rPr>
                    <w:t>VOCs含量涂料。</w:t>
                  </w:r>
                </w:p>
              </w:tc>
              <w:tc>
                <w:tcPr>
                  <w:tcW w:w="2109" w:type="dxa"/>
                  <w:tcBorders>
                    <w:bottom w:val="single" w:color="000000" w:sz="10" w:space="0"/>
                  </w:tcBorders>
                  <w:noWrap w:val="0"/>
                  <w:vAlign w:val="center"/>
                </w:tcPr>
                <w:p w14:paraId="22CABD77">
                  <w:pPr>
                    <w:pStyle w:val="64"/>
                    <w:keepNext w:val="0"/>
                    <w:keepLines w:val="0"/>
                    <w:pageBreakBefore w:val="0"/>
                    <w:widowControl w:val="0"/>
                    <w:kinsoku/>
                    <w:wordWrap/>
                    <w:overflowPunct/>
                    <w:topLinePunct w:val="0"/>
                    <w:autoSpaceDE/>
                    <w:autoSpaceDN/>
                    <w:bidi w:val="0"/>
                    <w:adjustRightInd w:val="0"/>
                    <w:snapToGrid w:val="0"/>
                    <w:spacing w:line="240" w:lineRule="atLeast"/>
                    <w:ind w:left="0" w:right="0" w:firstLine="0"/>
                    <w:jc w:val="center"/>
                    <w:textAlignment w:val="auto"/>
                    <w:rPr>
                      <w:rFonts w:hint="eastAsia" w:ascii="宋体" w:hAnsi="宋体" w:eastAsia="宋体" w:cs="宋体"/>
                      <w:sz w:val="21"/>
                      <w:szCs w:val="21"/>
                    </w:rPr>
                  </w:pPr>
                  <w:r>
                    <w:rPr>
                      <w:rFonts w:hint="eastAsia" w:ascii="宋体" w:hAnsi="宋体" w:eastAsia="宋体" w:cs="宋体"/>
                      <w:spacing w:val="-1"/>
                      <w:sz w:val="21"/>
                      <w:szCs w:val="21"/>
                    </w:rPr>
                    <w:t>本项目</w:t>
                  </w:r>
                  <w:r>
                    <w:rPr>
                      <w:rFonts w:hint="eastAsia" w:ascii="宋体" w:hAnsi="宋体" w:eastAsia="宋体" w:cs="宋体"/>
                      <w:spacing w:val="-1"/>
                      <w:sz w:val="21"/>
                      <w:szCs w:val="21"/>
                      <w:lang w:val="en-US" w:eastAsia="zh-CN"/>
                    </w:rPr>
                    <w:t>使用低VOCs含量的粉末涂料，</w:t>
                  </w:r>
                  <w:r>
                    <w:rPr>
                      <w:rFonts w:hint="eastAsia" w:ascii="宋体" w:hAnsi="宋体" w:eastAsia="宋体" w:cs="宋体"/>
                      <w:spacing w:val="-1"/>
                      <w:sz w:val="21"/>
                      <w:szCs w:val="21"/>
                    </w:rPr>
                    <w:t>不涉及高VOCs含量的溶</w:t>
                  </w:r>
                  <w:r>
                    <w:rPr>
                      <w:rFonts w:hint="eastAsia" w:ascii="宋体" w:hAnsi="宋体" w:eastAsia="宋体" w:cs="宋体"/>
                      <w:sz w:val="21"/>
                      <w:szCs w:val="21"/>
                    </w:rPr>
                    <w:t>剂型涂料、油墨、胶粘剂等原辅材料</w:t>
                  </w:r>
                  <w:r>
                    <w:rPr>
                      <w:rFonts w:hint="eastAsia" w:ascii="宋体" w:hAnsi="宋体" w:eastAsia="宋体" w:cs="宋体"/>
                      <w:spacing w:val="2"/>
                      <w:sz w:val="21"/>
                      <w:szCs w:val="21"/>
                    </w:rPr>
                    <w:t>。</w:t>
                  </w:r>
                </w:p>
              </w:tc>
              <w:tc>
                <w:tcPr>
                  <w:tcW w:w="898" w:type="dxa"/>
                  <w:tcBorders>
                    <w:bottom w:val="single" w:color="000000" w:sz="10" w:space="0"/>
                    <w:right w:val="nil"/>
                  </w:tcBorders>
                  <w:noWrap w:val="0"/>
                  <w:vAlign w:val="center"/>
                </w:tcPr>
                <w:p w14:paraId="2635F948">
                  <w:pPr>
                    <w:pStyle w:val="64"/>
                    <w:keepNext w:val="0"/>
                    <w:keepLines w:val="0"/>
                    <w:pageBreakBefore w:val="0"/>
                    <w:widowControl w:val="0"/>
                    <w:kinsoku/>
                    <w:wordWrap/>
                    <w:overflowPunct/>
                    <w:topLinePunct w:val="0"/>
                    <w:autoSpaceDE/>
                    <w:autoSpaceDN/>
                    <w:bidi w:val="0"/>
                    <w:adjustRightInd w:val="0"/>
                    <w:snapToGrid w:val="0"/>
                    <w:spacing w:line="240" w:lineRule="atLeast"/>
                    <w:ind w:left="0" w:right="0" w:firstLine="0"/>
                    <w:jc w:val="center"/>
                    <w:textAlignment w:val="auto"/>
                    <w:rPr>
                      <w:rFonts w:hint="eastAsia" w:ascii="宋体" w:hAnsi="宋体" w:eastAsia="宋体" w:cs="宋体"/>
                      <w:sz w:val="21"/>
                      <w:szCs w:val="21"/>
                    </w:rPr>
                  </w:pPr>
                  <w:r>
                    <w:rPr>
                      <w:rFonts w:hint="eastAsia" w:ascii="宋体" w:hAnsi="宋体" w:eastAsia="宋体" w:cs="宋体"/>
                      <w:spacing w:val="-2"/>
                      <w:sz w:val="21"/>
                      <w:szCs w:val="21"/>
                    </w:rPr>
                    <w:t>符合</w:t>
                  </w:r>
                </w:p>
              </w:tc>
            </w:tr>
          </w:tbl>
          <w:p w14:paraId="1163FA7E">
            <w:pPr>
              <w:pStyle w:val="16"/>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both"/>
              <w:textAlignment w:val="auto"/>
              <w:rPr>
                <w:rFonts w:hint="eastAsia" w:ascii="宋体" w:hAnsi="宋体" w:eastAsia="宋体" w:cs="宋体"/>
                <w:color w:val="auto"/>
                <w:kern w:val="0"/>
                <w:szCs w:val="21"/>
                <w:lang w:val="en-US" w:eastAsia="zh-CN"/>
              </w:rPr>
            </w:pPr>
            <w:r>
              <w:rPr>
                <w:rFonts w:hint="eastAsia" w:ascii="宋体" w:hAnsi="宋体" w:eastAsia="宋体" w:cs="宋体"/>
                <w:b w:val="0"/>
                <w:bCs w:val="0"/>
                <w:color w:val="auto"/>
                <w:kern w:val="0"/>
                <w:szCs w:val="21"/>
                <w:lang w:val="en-US" w:eastAsia="zh-CN"/>
              </w:rPr>
              <w:t>11、与《关于组织实施&lt;江苏省颗粒物无组织排放深度整治实施方案&gt;的函》（苏大气办〔2018〕4号）相符性分析</w:t>
            </w:r>
          </w:p>
          <w:p w14:paraId="6F1B6521">
            <w:pPr>
              <w:pStyle w:val="16"/>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center"/>
              <w:textAlignment w:val="auto"/>
              <w:rPr>
                <w:rFonts w:hint="eastAsia" w:ascii="宋体" w:hAnsi="宋体" w:eastAsia="宋体" w:cs="宋体"/>
                <w:b/>
                <w:bCs/>
                <w:color w:val="auto"/>
                <w:kern w:val="0"/>
                <w:szCs w:val="21"/>
                <w:lang w:val="en-US" w:eastAsia="zh-CN"/>
              </w:rPr>
            </w:pPr>
            <w:r>
              <w:rPr>
                <w:rFonts w:hint="eastAsia" w:ascii="宋体" w:hAnsi="宋体" w:eastAsia="宋体" w:cs="宋体"/>
                <w:b/>
                <w:bCs/>
                <w:color w:val="auto"/>
                <w:kern w:val="0"/>
                <w:szCs w:val="21"/>
                <w:lang w:val="en-US" w:eastAsia="zh-CN"/>
              </w:rPr>
              <w:t>表1-14 与江苏省颗粒物无组织排放深度整治实施方案</w:t>
            </w:r>
          </w:p>
          <w:p w14:paraId="5533E5AA">
            <w:pPr>
              <w:pStyle w:val="16"/>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center"/>
              <w:textAlignment w:val="auto"/>
              <w:rPr>
                <w:rFonts w:hint="default" w:ascii="Times New Roman" w:hAnsi="Times New Roman" w:eastAsia="宋体" w:cs="Times New Roman"/>
                <w:color w:val="auto"/>
                <w:kern w:val="0"/>
                <w:szCs w:val="21"/>
                <w:lang w:val="en-US" w:eastAsia="zh-CN"/>
              </w:rPr>
            </w:pPr>
            <w:r>
              <w:rPr>
                <w:rFonts w:hint="eastAsia" w:ascii="宋体" w:hAnsi="宋体" w:eastAsia="宋体" w:cs="宋体"/>
                <w:b/>
                <w:bCs/>
                <w:color w:val="auto"/>
                <w:kern w:val="0"/>
                <w:szCs w:val="21"/>
                <w:lang w:val="en-US" w:eastAsia="zh-CN"/>
              </w:rPr>
              <w:t>相符性分析</w:t>
            </w:r>
          </w:p>
          <w:tbl>
            <w:tblPr>
              <w:tblStyle w:val="78"/>
              <w:tblW w:w="673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964"/>
              <w:gridCol w:w="2013"/>
              <w:gridCol w:w="761"/>
            </w:tblGrid>
            <w:tr w14:paraId="79628E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964" w:type="dxa"/>
                  <w:tcBorders>
                    <w:tl2br w:val="nil"/>
                    <w:tr2bl w:val="nil"/>
                  </w:tcBorders>
                  <w:noWrap w:val="0"/>
                  <w:vAlign w:val="center"/>
                </w:tcPr>
                <w:p w14:paraId="62F84976">
                  <w:pPr>
                    <w:pStyle w:val="64"/>
                    <w:keepNext w:val="0"/>
                    <w:keepLines w:val="0"/>
                    <w:pageBreakBefore w:val="0"/>
                    <w:widowControl/>
                    <w:kinsoku w:val="0"/>
                    <w:wordWrap/>
                    <w:overflowPunct/>
                    <w:topLinePunct w:val="0"/>
                    <w:autoSpaceDE w:val="0"/>
                    <w:autoSpaceDN w:val="0"/>
                    <w:bidi w:val="0"/>
                    <w:adjustRightInd w:val="0"/>
                    <w:snapToGrid w:val="0"/>
                    <w:spacing w:line="240" w:lineRule="atLeast"/>
                    <w:ind w:left="0" w:right="0" w:firstLine="0"/>
                    <w:jc w:val="center"/>
                    <w:textAlignment w:val="baseline"/>
                    <w:rPr>
                      <w:rFonts w:hint="eastAsia" w:ascii="宋体" w:hAnsi="宋体" w:eastAsia="宋体" w:cs="宋体"/>
                      <w:sz w:val="21"/>
                      <w:szCs w:val="21"/>
                    </w:rPr>
                  </w:pPr>
                  <w:r>
                    <w:rPr>
                      <w:rFonts w:hint="eastAsia" w:ascii="宋体" w:hAnsi="宋体" w:eastAsia="宋体" w:cs="宋体"/>
                      <w:b/>
                      <w:bCs/>
                      <w:spacing w:val="-4"/>
                      <w:sz w:val="21"/>
                      <w:szCs w:val="21"/>
                    </w:rPr>
                    <w:t>方案要求</w:t>
                  </w:r>
                </w:p>
              </w:tc>
              <w:tc>
                <w:tcPr>
                  <w:tcW w:w="2013" w:type="dxa"/>
                  <w:tcBorders>
                    <w:tl2br w:val="nil"/>
                    <w:tr2bl w:val="nil"/>
                  </w:tcBorders>
                  <w:noWrap w:val="0"/>
                  <w:vAlign w:val="center"/>
                </w:tcPr>
                <w:p w14:paraId="2F313FDC">
                  <w:pPr>
                    <w:pStyle w:val="64"/>
                    <w:keepNext w:val="0"/>
                    <w:keepLines w:val="0"/>
                    <w:pageBreakBefore w:val="0"/>
                    <w:widowControl/>
                    <w:kinsoku w:val="0"/>
                    <w:wordWrap/>
                    <w:overflowPunct/>
                    <w:topLinePunct w:val="0"/>
                    <w:autoSpaceDE w:val="0"/>
                    <w:autoSpaceDN w:val="0"/>
                    <w:bidi w:val="0"/>
                    <w:adjustRightInd w:val="0"/>
                    <w:snapToGrid w:val="0"/>
                    <w:spacing w:line="240" w:lineRule="atLeast"/>
                    <w:ind w:left="0" w:right="0" w:firstLine="0"/>
                    <w:jc w:val="center"/>
                    <w:textAlignment w:val="baseline"/>
                    <w:rPr>
                      <w:rFonts w:hint="eastAsia" w:ascii="宋体" w:hAnsi="宋体" w:eastAsia="宋体" w:cs="宋体"/>
                      <w:sz w:val="21"/>
                      <w:szCs w:val="21"/>
                    </w:rPr>
                  </w:pPr>
                  <w:r>
                    <w:rPr>
                      <w:rFonts w:hint="eastAsia" w:ascii="宋体" w:hAnsi="宋体" w:eastAsia="宋体" w:cs="宋体"/>
                      <w:b/>
                      <w:bCs/>
                      <w:spacing w:val="-4"/>
                      <w:sz w:val="21"/>
                      <w:szCs w:val="21"/>
                    </w:rPr>
                    <w:t>本项目</w:t>
                  </w:r>
                </w:p>
              </w:tc>
              <w:tc>
                <w:tcPr>
                  <w:tcW w:w="761" w:type="dxa"/>
                  <w:tcBorders>
                    <w:tl2br w:val="nil"/>
                    <w:tr2bl w:val="nil"/>
                  </w:tcBorders>
                  <w:noWrap w:val="0"/>
                  <w:vAlign w:val="center"/>
                </w:tcPr>
                <w:p w14:paraId="4A6099C4">
                  <w:pPr>
                    <w:pStyle w:val="64"/>
                    <w:keepNext w:val="0"/>
                    <w:keepLines w:val="0"/>
                    <w:pageBreakBefore w:val="0"/>
                    <w:widowControl/>
                    <w:kinsoku w:val="0"/>
                    <w:wordWrap/>
                    <w:overflowPunct/>
                    <w:topLinePunct w:val="0"/>
                    <w:autoSpaceDE w:val="0"/>
                    <w:autoSpaceDN w:val="0"/>
                    <w:bidi w:val="0"/>
                    <w:adjustRightInd w:val="0"/>
                    <w:snapToGrid w:val="0"/>
                    <w:spacing w:line="240" w:lineRule="atLeast"/>
                    <w:ind w:left="0" w:right="0" w:firstLine="0"/>
                    <w:jc w:val="center"/>
                    <w:textAlignment w:val="baseline"/>
                    <w:rPr>
                      <w:rFonts w:hint="eastAsia" w:ascii="宋体" w:hAnsi="宋体" w:eastAsia="宋体" w:cs="宋体"/>
                      <w:sz w:val="21"/>
                      <w:szCs w:val="21"/>
                    </w:rPr>
                  </w:pPr>
                  <w:r>
                    <w:rPr>
                      <w:rFonts w:hint="eastAsia" w:ascii="宋体" w:hAnsi="宋体" w:eastAsia="宋体" w:cs="宋体"/>
                      <w:b/>
                      <w:bCs/>
                      <w:spacing w:val="-6"/>
                      <w:sz w:val="21"/>
                      <w:szCs w:val="21"/>
                    </w:rPr>
                    <w:t>相符</w:t>
                  </w:r>
                  <w:r>
                    <w:rPr>
                      <w:rFonts w:hint="eastAsia" w:ascii="宋体" w:hAnsi="宋体" w:eastAsia="宋体" w:cs="宋体"/>
                      <w:b/>
                      <w:bCs/>
                      <w:spacing w:val="-3"/>
                      <w:sz w:val="21"/>
                      <w:szCs w:val="21"/>
                    </w:rPr>
                    <w:t>性</w:t>
                  </w:r>
                </w:p>
              </w:tc>
            </w:tr>
            <w:tr w14:paraId="1AEBDD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964" w:type="dxa"/>
                  <w:tcBorders>
                    <w:tl2br w:val="nil"/>
                    <w:tr2bl w:val="nil"/>
                  </w:tcBorders>
                  <w:noWrap w:val="0"/>
                  <w:vAlign w:val="center"/>
                </w:tcPr>
                <w:p w14:paraId="521DCB1A">
                  <w:pPr>
                    <w:pStyle w:val="64"/>
                    <w:keepNext w:val="0"/>
                    <w:keepLines w:val="0"/>
                    <w:pageBreakBefore w:val="0"/>
                    <w:widowControl/>
                    <w:kinsoku w:val="0"/>
                    <w:wordWrap/>
                    <w:overflowPunct/>
                    <w:topLinePunct w:val="0"/>
                    <w:autoSpaceDE w:val="0"/>
                    <w:autoSpaceDN w:val="0"/>
                    <w:bidi w:val="0"/>
                    <w:adjustRightInd w:val="0"/>
                    <w:snapToGrid w:val="0"/>
                    <w:spacing w:line="240" w:lineRule="atLeast"/>
                    <w:ind w:left="0" w:right="0" w:firstLine="0"/>
                    <w:jc w:val="center"/>
                    <w:textAlignment w:val="baseline"/>
                    <w:rPr>
                      <w:rFonts w:hint="eastAsia" w:ascii="宋体" w:hAnsi="宋体" w:eastAsia="宋体" w:cs="宋体"/>
                      <w:sz w:val="21"/>
                      <w:szCs w:val="21"/>
                    </w:rPr>
                  </w:pPr>
                  <w:r>
                    <w:rPr>
                      <w:rFonts w:hint="eastAsia" w:ascii="宋体" w:hAnsi="宋体" w:eastAsia="宋体" w:cs="宋体"/>
                      <w:spacing w:val="-1"/>
                      <w:sz w:val="21"/>
                      <w:szCs w:val="21"/>
                    </w:rPr>
                    <w:t>物料加工与处理过程中易散发粉尘</w:t>
                  </w:r>
                  <w:r>
                    <w:rPr>
                      <w:rFonts w:hint="eastAsia" w:ascii="宋体" w:hAnsi="宋体" w:eastAsia="宋体" w:cs="宋体"/>
                      <w:spacing w:val="-5"/>
                      <w:sz w:val="21"/>
                      <w:szCs w:val="21"/>
                    </w:rPr>
                    <w:t>的工艺环节（如破碎、粉磨、筛分、</w:t>
                  </w:r>
                  <w:r>
                    <w:rPr>
                      <w:rFonts w:hint="eastAsia" w:ascii="宋体" w:hAnsi="宋体" w:eastAsia="宋体" w:cs="宋体"/>
                      <w:spacing w:val="-20"/>
                      <w:sz w:val="21"/>
                      <w:szCs w:val="21"/>
                    </w:rPr>
                    <w:t>混合、打磨、切割、投料、出料（渣)、</w:t>
                  </w:r>
                  <w:r>
                    <w:rPr>
                      <w:rFonts w:hint="eastAsia" w:ascii="宋体" w:hAnsi="宋体" w:eastAsia="宋体" w:cs="宋体"/>
                      <w:spacing w:val="1"/>
                      <w:sz w:val="21"/>
                      <w:szCs w:val="21"/>
                    </w:rPr>
                    <w:t>包装等）应采用密闭设备，或在密闭空间内进行。不能密闭的，应采取局部气体收集处理、洒水增湿等控制措施。密闭式生产工艺设备、</w:t>
                  </w:r>
                  <w:r>
                    <w:rPr>
                      <w:rFonts w:hint="eastAsia" w:ascii="宋体" w:hAnsi="宋体" w:eastAsia="宋体" w:cs="宋体"/>
                      <w:spacing w:val="-1"/>
                      <w:sz w:val="21"/>
                      <w:szCs w:val="21"/>
                    </w:rPr>
                    <w:t>废气收集系统、除尘设施等应密封</w:t>
                  </w:r>
                  <w:r>
                    <w:rPr>
                      <w:rFonts w:hint="eastAsia" w:ascii="宋体" w:hAnsi="宋体" w:eastAsia="宋体" w:cs="宋体"/>
                      <w:spacing w:val="-6"/>
                      <w:sz w:val="21"/>
                      <w:szCs w:val="21"/>
                    </w:rPr>
                    <w:t>良好，无粉尘外逸。</w:t>
                  </w:r>
                </w:p>
              </w:tc>
              <w:tc>
                <w:tcPr>
                  <w:tcW w:w="2013" w:type="dxa"/>
                  <w:tcBorders>
                    <w:tl2br w:val="nil"/>
                    <w:tr2bl w:val="nil"/>
                  </w:tcBorders>
                  <w:noWrap w:val="0"/>
                  <w:vAlign w:val="center"/>
                </w:tcPr>
                <w:p w14:paraId="7CB9A9FD">
                  <w:pPr>
                    <w:pStyle w:val="64"/>
                    <w:keepNext w:val="0"/>
                    <w:keepLines w:val="0"/>
                    <w:pageBreakBefore w:val="0"/>
                    <w:widowControl/>
                    <w:kinsoku w:val="0"/>
                    <w:wordWrap/>
                    <w:overflowPunct/>
                    <w:topLinePunct w:val="0"/>
                    <w:autoSpaceDE w:val="0"/>
                    <w:autoSpaceDN w:val="0"/>
                    <w:bidi w:val="0"/>
                    <w:adjustRightInd w:val="0"/>
                    <w:snapToGrid w:val="0"/>
                    <w:spacing w:line="240" w:lineRule="atLeast"/>
                    <w:ind w:left="0" w:right="0" w:firstLine="0"/>
                    <w:jc w:val="center"/>
                    <w:textAlignment w:val="baseline"/>
                    <w:rPr>
                      <w:rFonts w:hint="eastAsia" w:ascii="宋体" w:hAnsi="宋体" w:eastAsia="宋体" w:cs="宋体"/>
                      <w:sz w:val="21"/>
                      <w:szCs w:val="21"/>
                    </w:rPr>
                  </w:pPr>
                  <w:r>
                    <w:rPr>
                      <w:rFonts w:hint="eastAsia" w:ascii="宋体" w:hAnsi="宋体" w:eastAsia="宋体" w:cs="宋体"/>
                      <w:spacing w:val="-6"/>
                      <w:sz w:val="21"/>
                      <w:szCs w:val="21"/>
                    </w:rPr>
                    <w:t>本项目</w:t>
                  </w:r>
                  <w:r>
                    <w:rPr>
                      <w:rFonts w:hint="eastAsia" w:ascii="宋体" w:hAnsi="宋体" w:eastAsia="宋体" w:cs="宋体"/>
                      <w:spacing w:val="-6"/>
                      <w:sz w:val="21"/>
                      <w:szCs w:val="21"/>
                      <w:lang w:val="en-US" w:eastAsia="zh-CN"/>
                    </w:rPr>
                    <w:t>喷粉</w:t>
                  </w:r>
                  <w:r>
                    <w:rPr>
                      <w:rFonts w:hint="eastAsia" w:ascii="宋体" w:hAnsi="宋体" w:eastAsia="宋体" w:cs="宋体"/>
                      <w:spacing w:val="-6"/>
                      <w:sz w:val="21"/>
                      <w:szCs w:val="21"/>
                    </w:rPr>
                    <w:t>工序在密闭</w:t>
                  </w:r>
                  <w:r>
                    <w:rPr>
                      <w:rFonts w:hint="eastAsia" w:ascii="宋体" w:hAnsi="宋体" w:eastAsia="宋体" w:cs="宋体"/>
                      <w:spacing w:val="-6"/>
                      <w:sz w:val="21"/>
                      <w:szCs w:val="21"/>
                      <w:lang w:val="en-US" w:eastAsia="zh-CN"/>
                    </w:rPr>
                    <w:t>区域</w:t>
                  </w:r>
                  <w:r>
                    <w:rPr>
                      <w:rFonts w:hint="eastAsia" w:ascii="宋体" w:hAnsi="宋体" w:eastAsia="宋体" w:cs="宋体"/>
                      <w:spacing w:val="-6"/>
                      <w:sz w:val="21"/>
                      <w:szCs w:val="21"/>
                    </w:rPr>
                    <w:t>内操作，</w:t>
                  </w:r>
                  <w:r>
                    <w:rPr>
                      <w:rFonts w:hint="eastAsia" w:ascii="宋体" w:hAnsi="宋体" w:eastAsia="宋体" w:cs="宋体"/>
                      <w:spacing w:val="-6"/>
                      <w:sz w:val="21"/>
                      <w:szCs w:val="21"/>
                      <w:lang w:val="en-US" w:eastAsia="zh-CN"/>
                    </w:rPr>
                    <w:t>产生的颗粒物经除尘器收集处理后有组织</w:t>
                  </w:r>
                  <w:r>
                    <w:rPr>
                      <w:rFonts w:hint="eastAsia" w:ascii="宋体" w:hAnsi="宋体" w:eastAsia="宋体" w:cs="宋体"/>
                      <w:spacing w:val="-2"/>
                      <w:sz w:val="21"/>
                      <w:szCs w:val="21"/>
                    </w:rPr>
                    <w:t>排放。</w:t>
                  </w:r>
                </w:p>
              </w:tc>
              <w:tc>
                <w:tcPr>
                  <w:tcW w:w="761" w:type="dxa"/>
                  <w:tcBorders>
                    <w:tl2br w:val="nil"/>
                    <w:tr2bl w:val="nil"/>
                  </w:tcBorders>
                  <w:noWrap w:val="0"/>
                  <w:vAlign w:val="center"/>
                </w:tcPr>
                <w:p w14:paraId="57DD84DE">
                  <w:pPr>
                    <w:pStyle w:val="64"/>
                    <w:keepNext w:val="0"/>
                    <w:keepLines w:val="0"/>
                    <w:pageBreakBefore w:val="0"/>
                    <w:widowControl/>
                    <w:kinsoku w:val="0"/>
                    <w:wordWrap/>
                    <w:overflowPunct/>
                    <w:topLinePunct w:val="0"/>
                    <w:autoSpaceDE w:val="0"/>
                    <w:autoSpaceDN w:val="0"/>
                    <w:bidi w:val="0"/>
                    <w:adjustRightInd w:val="0"/>
                    <w:snapToGrid w:val="0"/>
                    <w:spacing w:line="240" w:lineRule="atLeast"/>
                    <w:ind w:left="0" w:right="0" w:firstLine="0"/>
                    <w:jc w:val="center"/>
                    <w:textAlignment w:val="baseline"/>
                    <w:rPr>
                      <w:rFonts w:hint="eastAsia" w:ascii="宋体" w:hAnsi="宋体" w:eastAsia="宋体" w:cs="宋体"/>
                      <w:sz w:val="21"/>
                      <w:szCs w:val="21"/>
                    </w:rPr>
                  </w:pPr>
                  <w:r>
                    <w:rPr>
                      <w:rFonts w:hint="eastAsia" w:ascii="宋体" w:hAnsi="宋体" w:eastAsia="宋体" w:cs="宋体"/>
                      <w:spacing w:val="-2"/>
                      <w:sz w:val="21"/>
                      <w:szCs w:val="21"/>
                    </w:rPr>
                    <w:t>符合</w:t>
                  </w:r>
                </w:p>
              </w:tc>
            </w:tr>
          </w:tbl>
          <w:p w14:paraId="6E76F1BC">
            <w:pPr>
              <w:pStyle w:val="16"/>
              <w:keepNext w:val="0"/>
              <w:keepLines w:val="0"/>
              <w:numPr>
                <w:ilvl w:val="0"/>
                <w:numId w:val="0"/>
              </w:numPr>
              <w:suppressLineNumbers w:val="0"/>
              <w:adjustRightInd w:val="0"/>
              <w:snapToGrid w:val="0"/>
              <w:spacing w:before="0" w:beforeAutospacing="0" w:after="0" w:afterAutospacing="0"/>
              <w:ind w:left="0" w:right="0"/>
              <w:rPr>
                <w:rFonts w:hint="default" w:ascii="宋体" w:hAnsi="宋体" w:eastAsia="宋体" w:cs="宋体"/>
                <w:color w:val="auto"/>
                <w:szCs w:val="21"/>
                <w:lang w:val="en-US" w:eastAsia="zh-CN"/>
              </w:rPr>
            </w:pPr>
          </w:p>
        </w:tc>
      </w:tr>
    </w:tbl>
    <w:p w14:paraId="026C7297">
      <w:pPr>
        <w:rPr>
          <w:rFonts w:hint="eastAsia" w:ascii="宋体" w:hAnsi="宋体" w:eastAsia="宋体" w:cs="宋体"/>
          <w:color w:val="FF0000"/>
        </w:rPr>
        <w:sectPr>
          <w:footerReference r:id="rId8" w:type="default"/>
          <w:pgSz w:w="11906" w:h="16838"/>
          <w:pgMar w:top="1440" w:right="1800" w:bottom="1440" w:left="1800" w:header="851" w:footer="1077" w:gutter="0"/>
          <w:pgBorders>
            <w:top w:val="none" w:sz="0" w:space="0"/>
            <w:left w:val="none" w:sz="0" w:space="0"/>
            <w:bottom w:val="none" w:sz="0" w:space="0"/>
            <w:right w:val="none" w:sz="0" w:space="0"/>
          </w:pgBorders>
          <w:pgNumType w:start="1"/>
          <w:cols w:space="720" w:num="1"/>
          <w:docGrid w:linePitch="312" w:charSpace="0"/>
        </w:sectPr>
      </w:pPr>
    </w:p>
    <w:p w14:paraId="756BC094">
      <w:pPr>
        <w:pStyle w:val="2"/>
        <w:numPr>
          <w:ilvl w:val="0"/>
          <w:numId w:val="3"/>
        </w:numPr>
        <w:jc w:val="left"/>
        <w:rPr>
          <w:rFonts w:hint="eastAsia"/>
        </w:rPr>
      </w:pPr>
      <w:bookmarkStart w:id="21" w:name="_Toc20835"/>
      <w:r>
        <w:rPr>
          <w:rFonts w:hint="eastAsia"/>
        </w:rPr>
        <w:t>建设项目工程分析</w:t>
      </w:r>
      <w:bookmarkEnd w:id="21"/>
    </w:p>
    <w:tbl>
      <w:tblPr>
        <w:tblStyle w:val="30"/>
        <w:tblW w:w="9028"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577"/>
        <w:gridCol w:w="8451"/>
      </w:tblGrid>
      <w:tr w14:paraId="135EA041">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416" w:hRule="atLeast"/>
          <w:jc w:val="center"/>
        </w:trPr>
        <w:tc>
          <w:tcPr>
            <w:tcW w:w="577" w:type="dxa"/>
            <w:noWrap w:val="0"/>
            <w:vAlign w:val="center"/>
          </w:tcPr>
          <w:p w14:paraId="6CA5D385">
            <w:pPr>
              <w:pStyle w:val="10"/>
              <w:keepNext w:val="0"/>
              <w:keepLines w:val="0"/>
              <w:suppressLineNumbers w:val="0"/>
              <w:spacing w:before="0" w:beforeAutospacing="0" w:after="0" w:afterAutospacing="0"/>
              <w:ind w:left="0" w:right="0"/>
              <w:jc w:val="center"/>
              <w:rPr>
                <w:rFonts w:hint="eastAsia" w:ascii="宋体" w:hAnsi="宋体" w:eastAsia="宋体" w:cs="宋体"/>
              </w:rPr>
            </w:pPr>
            <w:r>
              <w:rPr>
                <w:rFonts w:hint="eastAsia" w:ascii="宋体" w:hAnsi="宋体" w:eastAsia="宋体" w:cs="宋体"/>
              </w:rPr>
              <w:t>建设内容</w:t>
            </w:r>
          </w:p>
        </w:tc>
        <w:tc>
          <w:tcPr>
            <w:tcW w:w="8451" w:type="dxa"/>
            <w:noWrap w:val="0"/>
            <w:vAlign w:val="top"/>
          </w:tcPr>
          <w:p w14:paraId="31368E0F">
            <w:pPr>
              <w:keepNext w:val="0"/>
              <w:keepLines w:val="0"/>
              <w:suppressLineNumbers w:val="0"/>
              <w:adjustRightInd w:val="0"/>
              <w:snapToGrid w:val="0"/>
              <w:spacing w:before="0" w:beforeAutospacing="0" w:after="0" w:afterAutospacing="0"/>
              <w:ind w:left="0" w:right="0"/>
              <w:rPr>
                <w:rFonts w:hint="eastAsia" w:ascii="宋体" w:hAnsi="宋体" w:eastAsia="宋体" w:cs="宋体"/>
              </w:rPr>
            </w:pPr>
            <w:r>
              <w:rPr>
                <w:rFonts w:hint="eastAsia" w:ascii="宋体" w:hAnsi="宋体" w:eastAsia="宋体" w:cs="宋体"/>
              </w:rPr>
              <w:t>1、项目概况</w:t>
            </w:r>
          </w:p>
          <w:p w14:paraId="5AC5CB12">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rPr>
            </w:pPr>
            <w:r>
              <w:rPr>
                <w:rFonts w:hint="eastAsia" w:ascii="宋体" w:hAnsi="宋体" w:eastAsia="宋体" w:cs="宋体"/>
              </w:rPr>
              <w:t>本项目由</w:t>
            </w:r>
            <w:r>
              <w:rPr>
                <w:rFonts w:hint="eastAsia" w:ascii="宋体" w:hAnsi="宋体" w:eastAsia="宋体" w:cs="宋体"/>
                <w:lang w:eastAsia="zh-CN"/>
              </w:rPr>
              <w:t>江苏隆协机械有限公司</w:t>
            </w:r>
            <w:r>
              <w:rPr>
                <w:rFonts w:hint="eastAsia" w:ascii="宋体" w:hAnsi="宋体" w:eastAsia="宋体" w:cs="宋体"/>
              </w:rPr>
              <w:t>投资</w:t>
            </w:r>
            <w:r>
              <w:rPr>
                <w:rFonts w:hint="eastAsia" w:ascii="宋体" w:hAnsi="宋体" w:eastAsia="宋体" w:cs="宋体"/>
                <w:lang w:val="en-US" w:eastAsia="zh-CN"/>
              </w:rPr>
              <w:t>2000</w:t>
            </w:r>
            <w:r>
              <w:rPr>
                <w:rFonts w:hint="eastAsia" w:ascii="宋体" w:hAnsi="宋体" w:eastAsia="宋体" w:cs="宋体"/>
              </w:rPr>
              <w:t>万元，租赁</w:t>
            </w:r>
            <w:r>
              <w:rPr>
                <w:rFonts w:hint="eastAsia" w:ascii="宋体" w:hAnsi="宋体" w:eastAsia="宋体" w:cs="宋体"/>
                <w:lang w:val="en-US" w:eastAsia="zh-CN"/>
              </w:rPr>
              <w:t>原陈武窑厂厂房</w:t>
            </w:r>
            <w:r>
              <w:rPr>
                <w:rFonts w:hint="eastAsia" w:ascii="宋体" w:hAnsi="宋体" w:eastAsia="宋体" w:cs="宋体"/>
              </w:rPr>
              <w:t>，本项目主要工艺为表面预处理（喷砂、</w:t>
            </w:r>
            <w:r>
              <w:rPr>
                <w:rFonts w:hint="eastAsia" w:ascii="宋体" w:hAnsi="宋体" w:eastAsia="宋体" w:cs="宋体"/>
                <w:lang w:eastAsia="zh-CN"/>
              </w:rPr>
              <w:t>脱脂、</w:t>
            </w:r>
            <w:r>
              <w:rPr>
                <w:rFonts w:hint="eastAsia" w:ascii="宋体" w:hAnsi="宋体" w:eastAsia="宋体" w:cs="宋体"/>
                <w:lang w:val="en-US" w:eastAsia="zh-CN"/>
              </w:rPr>
              <w:t>硅烷</w:t>
            </w:r>
            <w:r>
              <w:rPr>
                <w:rFonts w:hint="eastAsia" w:ascii="宋体" w:hAnsi="宋体" w:eastAsia="宋体" w:cs="宋体"/>
              </w:rPr>
              <w:t>）和喷涂（喷</w:t>
            </w:r>
            <w:r>
              <w:rPr>
                <w:rFonts w:hint="eastAsia" w:ascii="宋体" w:hAnsi="宋体" w:eastAsia="宋体" w:cs="宋体"/>
                <w:lang w:val="en-US" w:eastAsia="zh-CN"/>
              </w:rPr>
              <w:t>塑</w:t>
            </w:r>
            <w:r>
              <w:rPr>
                <w:rFonts w:hint="eastAsia" w:ascii="宋体" w:hAnsi="宋体" w:eastAsia="宋体" w:cs="宋体"/>
              </w:rPr>
              <w:t>），</w:t>
            </w:r>
            <w:r>
              <w:rPr>
                <w:rFonts w:hint="eastAsia" w:ascii="宋体" w:hAnsi="宋体" w:eastAsia="宋体" w:cs="宋体"/>
                <w:szCs w:val="21"/>
              </w:rPr>
              <w:t>达产后可形成年产8万套</w:t>
            </w:r>
            <w:r>
              <w:rPr>
                <w:rFonts w:hint="eastAsia" w:ascii="宋体" w:hAnsi="宋体" w:eastAsia="宋体" w:cs="宋体"/>
                <w:szCs w:val="21"/>
                <w:lang w:val="en-US" w:eastAsia="zh-CN"/>
              </w:rPr>
              <w:t>医疗器械零配件</w:t>
            </w:r>
            <w:r>
              <w:rPr>
                <w:rFonts w:hint="eastAsia" w:ascii="宋体" w:hAnsi="宋体" w:eastAsia="宋体" w:cs="宋体"/>
              </w:rPr>
              <w:t>。</w:t>
            </w:r>
          </w:p>
          <w:p w14:paraId="75EDAC82">
            <w:pPr>
              <w:pStyle w:val="10"/>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szCs w:val="21"/>
              </w:rPr>
            </w:pPr>
            <w:r>
              <w:rPr>
                <w:rFonts w:hint="eastAsia" w:ascii="宋体" w:hAnsi="宋体" w:eastAsia="宋体" w:cs="宋体"/>
                <w:szCs w:val="21"/>
              </w:rPr>
              <w:t>根据《中华人民共和国环境影响评价法》和《建设项目环境保护管理条例》的有关规定，该项目需履行环境影响评价手续。依据《建设项目环境影响评价分类管理名录》（2021版）的有关规定，本项目属于名录中：“</w:t>
            </w:r>
            <w:r>
              <w:rPr>
                <w:rFonts w:hint="eastAsia" w:ascii="宋体" w:hAnsi="宋体" w:eastAsia="宋体" w:cs="宋体"/>
                <w:szCs w:val="21"/>
                <w:lang w:val="en-US" w:eastAsia="zh-CN"/>
              </w:rPr>
              <w:t>三十二、专用设备制造业 35</w:t>
            </w:r>
            <w:r>
              <w:rPr>
                <w:rFonts w:hint="eastAsia" w:ascii="宋体" w:hAnsi="宋体" w:eastAsia="宋体" w:cs="宋体"/>
                <w:szCs w:val="21"/>
              </w:rPr>
              <w:t>；</w:t>
            </w:r>
            <w:r>
              <w:rPr>
                <w:rFonts w:hint="eastAsia" w:ascii="宋体" w:hAnsi="宋体" w:eastAsia="宋体" w:cs="宋体"/>
                <w:szCs w:val="21"/>
                <w:lang w:val="en-US" w:eastAsia="zh-CN"/>
              </w:rPr>
              <w:t>70</w:t>
            </w:r>
            <w:r>
              <w:rPr>
                <w:rFonts w:hint="eastAsia" w:ascii="宋体" w:hAnsi="宋体" w:eastAsia="宋体" w:cs="宋体"/>
                <w:szCs w:val="21"/>
              </w:rPr>
              <w:t>、</w:t>
            </w:r>
            <w:r>
              <w:rPr>
                <w:rFonts w:hint="eastAsia" w:ascii="宋体" w:hAnsi="宋体" w:eastAsia="宋体" w:cs="宋体"/>
                <w:szCs w:val="21"/>
                <w:lang w:val="en-US" w:eastAsia="zh-CN"/>
              </w:rPr>
              <w:t>医疗仪器设备及器械制造358；</w:t>
            </w:r>
            <w:r>
              <w:rPr>
                <w:rFonts w:hint="eastAsia" w:ascii="宋体" w:hAnsi="宋体" w:eastAsia="宋体" w:cs="宋体"/>
                <w:szCs w:val="21"/>
              </w:rPr>
              <w:t>其他”，需编制环评报告表。</w:t>
            </w:r>
          </w:p>
          <w:p w14:paraId="60D56353">
            <w:pPr>
              <w:pStyle w:val="10"/>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b/>
                <w:bCs/>
                <w:szCs w:val="21"/>
              </w:rPr>
              <w:t>表 2-1 建设项目环境影响评价分类管理名录（摘录）</w:t>
            </w:r>
          </w:p>
          <w:tbl>
            <w:tblPr>
              <w:tblStyle w:val="30"/>
              <w:tblW w:w="835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25"/>
              <w:gridCol w:w="3903"/>
              <w:gridCol w:w="1500"/>
              <w:gridCol w:w="1632"/>
              <w:gridCol w:w="798"/>
            </w:tblGrid>
            <w:tr w14:paraId="4B0CE9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3" w:hRule="atLeast"/>
                <w:jc w:val="center"/>
              </w:trPr>
              <w:tc>
                <w:tcPr>
                  <w:tcW w:w="4428" w:type="dxa"/>
                  <w:gridSpan w:val="2"/>
                  <w:noWrap w:val="0"/>
                  <w:vAlign w:val="top"/>
                </w:tcPr>
                <w:p w14:paraId="374D91E0">
                  <w:pPr>
                    <w:pStyle w:val="10"/>
                    <w:keepNext w:val="0"/>
                    <w:keepLines w:val="0"/>
                    <w:widowControl/>
                    <w:suppressLineNumbers w:val="0"/>
                    <w:adjustRightInd w:val="0"/>
                    <w:snapToGrid w:val="0"/>
                    <w:spacing w:before="0" w:beforeAutospacing="0" w:after="0" w:afterAutospacing="0" w:line="240" w:lineRule="atLeast"/>
                    <w:ind w:left="0" w:right="0"/>
                    <w:jc w:val="right"/>
                    <w:rPr>
                      <w:rFonts w:hint="eastAsia" w:ascii="宋体" w:hAnsi="宋体" w:eastAsia="宋体" w:cs="宋体"/>
                      <w:sz w:val="21"/>
                      <w:szCs w:val="21"/>
                    </w:rPr>
                  </w:pPr>
                  <w:r>
                    <w:rPr>
                      <w:rFonts w:hint="eastAsia" w:ascii="宋体" w:hAnsi="宋体" w:eastAsia="宋体" w:cs="宋体"/>
                      <w:sz w:val="21"/>
                      <w:szCs w:val="21"/>
                    </w:rPr>
                    <w:t>环评类别</w:t>
                  </w:r>
                </w:p>
                <w:p w14:paraId="083F3A63">
                  <w:pPr>
                    <w:pStyle w:val="10"/>
                    <w:keepNext w:val="0"/>
                    <w:keepLines w:val="0"/>
                    <w:widowControl/>
                    <w:suppressLineNumbers w:val="0"/>
                    <w:adjustRightInd w:val="0"/>
                    <w:snapToGrid w:val="0"/>
                    <w:spacing w:before="0" w:beforeAutospacing="0" w:after="0" w:afterAutospacing="0" w:line="240" w:lineRule="atLeast"/>
                    <w:ind w:left="0" w:right="0"/>
                    <w:rPr>
                      <w:rFonts w:hint="eastAsia" w:ascii="宋体" w:hAnsi="宋体" w:eastAsia="宋体" w:cs="宋体"/>
                      <w:sz w:val="21"/>
                      <w:szCs w:val="21"/>
                    </w:rPr>
                  </w:pPr>
                  <w:r>
                    <w:rPr>
                      <w:rFonts w:hint="eastAsia" w:ascii="宋体" w:hAnsi="宋体" w:eastAsia="宋体" w:cs="宋体"/>
                      <w:sz w:val="21"/>
                      <w:szCs w:val="21"/>
                    </w:rPr>
                    <w:t>项目类别</w:t>
                  </w:r>
                </w:p>
              </w:tc>
              <w:tc>
                <w:tcPr>
                  <w:tcW w:w="1500" w:type="dxa"/>
                  <w:noWrap w:val="0"/>
                  <w:vAlign w:val="center"/>
                </w:tcPr>
                <w:p w14:paraId="522AA292">
                  <w:pPr>
                    <w:pStyle w:val="10"/>
                    <w:keepNext w:val="0"/>
                    <w:keepLines w:val="0"/>
                    <w:widowControl/>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报告书</w:t>
                  </w:r>
                </w:p>
              </w:tc>
              <w:tc>
                <w:tcPr>
                  <w:tcW w:w="1632" w:type="dxa"/>
                  <w:noWrap w:val="0"/>
                  <w:vAlign w:val="center"/>
                </w:tcPr>
                <w:p w14:paraId="2CF6724C">
                  <w:pPr>
                    <w:pStyle w:val="10"/>
                    <w:keepNext w:val="0"/>
                    <w:keepLines w:val="0"/>
                    <w:widowControl/>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报告表</w:t>
                  </w:r>
                </w:p>
              </w:tc>
              <w:tc>
                <w:tcPr>
                  <w:tcW w:w="798" w:type="dxa"/>
                  <w:noWrap w:val="0"/>
                  <w:vAlign w:val="center"/>
                </w:tcPr>
                <w:p w14:paraId="65A4FC13">
                  <w:pPr>
                    <w:pStyle w:val="10"/>
                    <w:keepNext w:val="0"/>
                    <w:keepLines w:val="0"/>
                    <w:widowControl/>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登记表</w:t>
                  </w:r>
                </w:p>
              </w:tc>
            </w:tr>
            <w:tr w14:paraId="5BFEA9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2" w:hRule="atLeast"/>
                <w:jc w:val="center"/>
              </w:trPr>
              <w:tc>
                <w:tcPr>
                  <w:tcW w:w="8358" w:type="dxa"/>
                  <w:gridSpan w:val="5"/>
                  <w:noWrap w:val="0"/>
                  <w:vAlign w:val="top"/>
                </w:tcPr>
                <w:p w14:paraId="5E3BB8C2">
                  <w:pPr>
                    <w:pStyle w:val="10"/>
                    <w:keepNext w:val="0"/>
                    <w:keepLines w:val="0"/>
                    <w:widowControl/>
                    <w:suppressLineNumbers w:val="0"/>
                    <w:adjustRightInd w:val="0"/>
                    <w:snapToGrid w:val="0"/>
                    <w:spacing w:before="0" w:beforeAutospacing="0" w:after="0" w:afterAutospacing="0" w:line="240" w:lineRule="atLeast"/>
                    <w:ind w:left="0" w:right="0"/>
                    <w:rPr>
                      <w:rFonts w:hint="eastAsia" w:ascii="宋体" w:hAnsi="宋体" w:eastAsia="宋体" w:cs="宋体"/>
                      <w:sz w:val="21"/>
                      <w:szCs w:val="21"/>
                    </w:rPr>
                  </w:pPr>
                  <w:r>
                    <w:rPr>
                      <w:rFonts w:hint="eastAsia" w:ascii="宋体" w:hAnsi="宋体" w:eastAsia="宋体" w:cs="宋体"/>
                      <w:sz w:val="21"/>
                      <w:szCs w:val="21"/>
                      <w:lang w:val="en-US" w:eastAsia="zh-CN"/>
                    </w:rPr>
                    <w:t>三十二、专用设备制造业 35</w:t>
                  </w:r>
                </w:p>
              </w:tc>
            </w:tr>
            <w:tr w14:paraId="121A2B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40" w:hRule="atLeast"/>
                <w:jc w:val="center"/>
              </w:trPr>
              <w:tc>
                <w:tcPr>
                  <w:tcW w:w="525" w:type="dxa"/>
                  <w:noWrap w:val="0"/>
                  <w:vAlign w:val="center"/>
                </w:tcPr>
                <w:p w14:paraId="1C4FC86D">
                  <w:pPr>
                    <w:pStyle w:val="10"/>
                    <w:keepNext w:val="0"/>
                    <w:keepLines w:val="0"/>
                    <w:widowControl/>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70</w:t>
                  </w:r>
                </w:p>
              </w:tc>
              <w:tc>
                <w:tcPr>
                  <w:tcW w:w="3903" w:type="dxa"/>
                  <w:noWrap w:val="0"/>
                  <w:vAlign w:val="center"/>
                </w:tcPr>
                <w:p w14:paraId="6925C4B4">
                  <w:pPr>
                    <w:pStyle w:val="10"/>
                    <w:keepNext w:val="0"/>
                    <w:keepLines w:val="0"/>
                    <w:widowControl/>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采矿、冶金、建筑专用设备制造 351；化工、木材、非金属加工专用设备制造352；食品、饮料、烟草及饲料生产专用设备制造 353；印刷、制药、日化及日用品生产专用设备制 造354；纺织、服装和皮革加工专用设备制造355；电子和电工机械专用设备制造 356；农、林、牧、渔专用机械制造 357；</w:t>
                  </w:r>
                  <w:r>
                    <w:rPr>
                      <w:rFonts w:hint="eastAsia" w:ascii="宋体" w:hAnsi="宋体" w:eastAsia="宋体" w:cs="宋体"/>
                      <w:b/>
                      <w:bCs/>
                      <w:sz w:val="21"/>
                      <w:szCs w:val="21"/>
                      <w:lang w:val="en-US" w:eastAsia="zh-CN"/>
                    </w:rPr>
                    <w:t>医疗仪器设备及器械制造358</w:t>
                  </w:r>
                  <w:r>
                    <w:rPr>
                      <w:rFonts w:hint="eastAsia" w:ascii="宋体" w:hAnsi="宋体" w:eastAsia="宋体" w:cs="宋体"/>
                      <w:sz w:val="21"/>
                      <w:szCs w:val="21"/>
                      <w:lang w:val="en-US" w:eastAsia="zh-CN"/>
                    </w:rPr>
                    <w:t>；环保、邮政、社会公共服务及其他专用设备制造 359</w:t>
                  </w:r>
                </w:p>
              </w:tc>
              <w:tc>
                <w:tcPr>
                  <w:tcW w:w="1500" w:type="dxa"/>
                  <w:noWrap w:val="0"/>
                  <w:vAlign w:val="center"/>
                </w:tcPr>
                <w:p w14:paraId="6A3AF62F">
                  <w:pPr>
                    <w:pStyle w:val="10"/>
                    <w:keepNext w:val="0"/>
                    <w:keepLines w:val="0"/>
                    <w:widowControl/>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有电镀工艺的；年用溶剂型涂料（含稀释剂）10吨及以上的</w:t>
                  </w:r>
                </w:p>
              </w:tc>
              <w:tc>
                <w:tcPr>
                  <w:tcW w:w="1632" w:type="dxa"/>
                  <w:noWrap w:val="0"/>
                  <w:vAlign w:val="center"/>
                </w:tcPr>
                <w:p w14:paraId="3F3B6D25">
                  <w:pPr>
                    <w:pStyle w:val="10"/>
                    <w:keepNext w:val="0"/>
                    <w:keepLines w:val="0"/>
                    <w:widowControl/>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b/>
                      <w:bCs/>
                      <w:sz w:val="21"/>
                      <w:szCs w:val="21"/>
                    </w:rPr>
                    <w:t>其他</w:t>
                  </w:r>
                  <w:r>
                    <w:rPr>
                      <w:rFonts w:hint="eastAsia" w:ascii="宋体" w:hAnsi="宋体" w:eastAsia="宋体" w:cs="宋体"/>
                      <w:sz w:val="21"/>
                      <w:szCs w:val="21"/>
                    </w:rPr>
                    <w:t>（仅分割、焊接、组装的除外；年用非溶剂型低VOCs含量涂料10吨以下的除外）</w:t>
                  </w:r>
                </w:p>
              </w:tc>
              <w:tc>
                <w:tcPr>
                  <w:tcW w:w="798" w:type="dxa"/>
                  <w:noWrap w:val="0"/>
                  <w:vAlign w:val="center"/>
                </w:tcPr>
                <w:p w14:paraId="20CB7160">
                  <w:pPr>
                    <w:pStyle w:val="10"/>
                    <w:keepNext w:val="0"/>
                    <w:keepLines w:val="0"/>
                    <w:widowControl/>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w:t>
                  </w:r>
                </w:p>
              </w:tc>
            </w:tr>
          </w:tbl>
          <w:p w14:paraId="310C07B9">
            <w:pPr>
              <w:pStyle w:val="10"/>
              <w:keepNext w:val="0"/>
              <w:keepLines w:val="0"/>
              <w:suppressLineNumbers w:val="0"/>
              <w:spacing w:before="0" w:beforeAutospacing="0" w:after="0" w:afterAutospacing="0"/>
              <w:ind w:left="0" w:right="0" w:firstLine="480" w:firstLineChars="200"/>
              <w:rPr>
                <w:rFonts w:hint="eastAsia" w:ascii="宋体" w:hAnsi="宋体" w:eastAsia="宋体" w:cs="宋体"/>
                <w:szCs w:val="21"/>
              </w:rPr>
            </w:pPr>
            <w:r>
              <w:rPr>
                <w:rFonts w:hint="eastAsia" w:ascii="宋体" w:hAnsi="宋体" w:eastAsia="宋体" w:cs="宋体"/>
                <w:szCs w:val="21"/>
              </w:rPr>
              <w:t>受</w:t>
            </w:r>
            <w:r>
              <w:rPr>
                <w:rFonts w:hint="eastAsia" w:ascii="宋体" w:hAnsi="宋体" w:eastAsia="宋体" w:cs="宋体"/>
                <w:szCs w:val="21"/>
                <w:lang w:eastAsia="zh-CN"/>
              </w:rPr>
              <w:t>江苏隆协机械有限公司</w:t>
            </w:r>
            <w:r>
              <w:rPr>
                <w:rFonts w:hint="eastAsia" w:ascii="宋体" w:hAnsi="宋体" w:eastAsia="宋体" w:cs="宋体"/>
                <w:szCs w:val="21"/>
              </w:rPr>
              <w:t>的委托，我公司承担了本项目环境影响评价工作。我公司接受委托后，环评工作组进行了实地踏勘和资料收集，在工程分析的基础上，编制了本环境影响报告表。</w:t>
            </w:r>
          </w:p>
          <w:p w14:paraId="61DC2E87">
            <w:pPr>
              <w:keepNext w:val="0"/>
              <w:keepLines w:val="0"/>
              <w:numPr>
                <w:ilvl w:val="0"/>
                <w:numId w:val="4"/>
              </w:numPr>
              <w:suppressLineNumbers w:val="0"/>
              <w:adjustRightInd w:val="0"/>
              <w:snapToGrid w:val="0"/>
              <w:spacing w:before="0" w:beforeAutospacing="0" w:after="0" w:afterAutospacing="0"/>
              <w:ind w:left="0" w:right="0"/>
              <w:rPr>
                <w:rFonts w:hint="eastAsia" w:ascii="宋体" w:hAnsi="宋体" w:eastAsia="宋体" w:cs="宋体"/>
              </w:rPr>
            </w:pPr>
            <w:r>
              <w:rPr>
                <w:rFonts w:hint="eastAsia" w:ascii="宋体" w:hAnsi="宋体" w:eastAsia="宋体" w:cs="宋体"/>
              </w:rPr>
              <w:t>工程建设内容</w:t>
            </w:r>
          </w:p>
          <w:p w14:paraId="5DC3A645">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rPr>
            </w:pPr>
            <w:r>
              <w:rPr>
                <w:rFonts w:hint="eastAsia" w:ascii="宋体" w:hAnsi="宋体" w:eastAsia="宋体" w:cs="宋体"/>
              </w:rPr>
              <w:t>⑴主体工程及产品方案</w:t>
            </w:r>
          </w:p>
          <w:p w14:paraId="549A5DE9">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rPr>
            </w:pPr>
            <w:r>
              <w:rPr>
                <w:rFonts w:hint="eastAsia" w:ascii="宋体" w:hAnsi="宋体" w:eastAsia="宋体" w:cs="宋体"/>
                <w:b/>
                <w:bCs/>
              </w:rPr>
              <w:t>表2-2 建设项目主体工程及产品方案</w:t>
            </w:r>
          </w:p>
          <w:tbl>
            <w:tblPr>
              <w:tblStyle w:val="30"/>
              <w:tblW w:w="825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5"/>
              <w:gridCol w:w="1954"/>
              <w:gridCol w:w="1331"/>
              <w:gridCol w:w="2119"/>
              <w:gridCol w:w="1363"/>
              <w:gridCol w:w="1085"/>
            </w:tblGrid>
            <w:tr w14:paraId="57A04C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5" w:type="dxa"/>
                  <w:noWrap w:val="0"/>
                  <w:vAlign w:val="center"/>
                </w:tcPr>
                <w:p w14:paraId="41273D0B">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1954" w:type="dxa"/>
                  <w:noWrap w:val="0"/>
                  <w:vAlign w:val="center"/>
                </w:tcPr>
                <w:p w14:paraId="1B5FE352">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工程名称</w:t>
                  </w:r>
                </w:p>
                <w:p w14:paraId="31247831">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（车间、生产装置或生产线）</w:t>
                  </w:r>
                </w:p>
              </w:tc>
              <w:tc>
                <w:tcPr>
                  <w:tcW w:w="3450" w:type="dxa"/>
                  <w:gridSpan w:val="2"/>
                  <w:noWrap w:val="0"/>
                  <w:vAlign w:val="center"/>
                </w:tcPr>
                <w:p w14:paraId="553B017A">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产品名称及规格</w:t>
                  </w:r>
                </w:p>
              </w:tc>
              <w:tc>
                <w:tcPr>
                  <w:tcW w:w="1363" w:type="dxa"/>
                  <w:noWrap w:val="0"/>
                  <w:vAlign w:val="center"/>
                </w:tcPr>
                <w:p w14:paraId="2AA96C21">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设计能力</w:t>
                  </w:r>
                </w:p>
              </w:tc>
              <w:tc>
                <w:tcPr>
                  <w:tcW w:w="1085" w:type="dxa"/>
                  <w:noWrap w:val="0"/>
                  <w:vAlign w:val="center"/>
                </w:tcPr>
                <w:p w14:paraId="05416591">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年运行</w:t>
                  </w:r>
                </w:p>
                <w:p w14:paraId="15D09B58">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时数</w:t>
                  </w:r>
                </w:p>
              </w:tc>
            </w:tr>
            <w:tr w14:paraId="01985C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5" w:type="dxa"/>
                  <w:vMerge w:val="restart"/>
                  <w:noWrap w:val="0"/>
                  <w:vAlign w:val="center"/>
                </w:tcPr>
                <w:p w14:paraId="3E0580A8">
                  <w:pPr>
                    <w:pStyle w:val="10"/>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1</w:t>
                  </w:r>
                </w:p>
              </w:tc>
              <w:tc>
                <w:tcPr>
                  <w:tcW w:w="1954" w:type="dxa"/>
                  <w:vMerge w:val="restart"/>
                  <w:noWrap w:val="0"/>
                  <w:vAlign w:val="center"/>
                </w:tcPr>
                <w:p w14:paraId="42D34A98">
                  <w:pPr>
                    <w:pStyle w:val="10"/>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生产车间</w:t>
                  </w:r>
                </w:p>
                <w:p w14:paraId="21FA9D57">
                  <w:pPr>
                    <w:pStyle w:val="10"/>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30</w:t>
                  </w:r>
                  <w:r>
                    <w:rPr>
                      <w:rFonts w:hint="eastAsia" w:ascii="宋体" w:hAnsi="宋体" w:eastAsia="宋体" w:cs="宋体"/>
                      <w:sz w:val="21"/>
                      <w:szCs w:val="21"/>
                    </w:rPr>
                    <w:t>00平方米</w:t>
                  </w:r>
                </w:p>
              </w:tc>
              <w:tc>
                <w:tcPr>
                  <w:tcW w:w="1331" w:type="dxa"/>
                  <w:vMerge w:val="restart"/>
                  <w:noWrap w:val="0"/>
                  <w:vAlign w:val="center"/>
                </w:tcPr>
                <w:p w14:paraId="252EB3E0">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医疗器械</w:t>
                  </w:r>
                </w:p>
                <w:p w14:paraId="729C8A2F">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零部件</w:t>
                  </w:r>
                </w:p>
              </w:tc>
              <w:tc>
                <w:tcPr>
                  <w:tcW w:w="2119" w:type="dxa"/>
                  <w:noWrap w:val="0"/>
                  <w:vAlign w:val="center"/>
                </w:tcPr>
                <w:p w14:paraId="715E0094">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手术灯灯罩组件</w:t>
                  </w:r>
                </w:p>
              </w:tc>
              <w:tc>
                <w:tcPr>
                  <w:tcW w:w="1363" w:type="dxa"/>
                  <w:noWrap w:val="0"/>
                  <w:vAlign w:val="center"/>
                </w:tcPr>
                <w:p w14:paraId="53701482">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万套/年</w:t>
                  </w:r>
                </w:p>
              </w:tc>
              <w:tc>
                <w:tcPr>
                  <w:tcW w:w="1085" w:type="dxa"/>
                  <w:vMerge w:val="restart"/>
                  <w:noWrap w:val="0"/>
                  <w:vAlign w:val="center"/>
                </w:tcPr>
                <w:p w14:paraId="1E48C66B">
                  <w:pPr>
                    <w:pStyle w:val="10"/>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2000h</w:t>
                  </w:r>
                </w:p>
              </w:tc>
            </w:tr>
            <w:tr w14:paraId="50B9ED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5" w:type="dxa"/>
                  <w:vMerge w:val="continue"/>
                  <w:noWrap w:val="0"/>
                  <w:vAlign w:val="center"/>
                </w:tcPr>
                <w:p w14:paraId="211AE592">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cs="Times New Roman"/>
                    </w:rPr>
                  </w:pPr>
                </w:p>
              </w:tc>
              <w:tc>
                <w:tcPr>
                  <w:tcW w:w="1954" w:type="dxa"/>
                  <w:vMerge w:val="continue"/>
                  <w:noWrap w:val="0"/>
                  <w:vAlign w:val="center"/>
                </w:tcPr>
                <w:p w14:paraId="0E69490F">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cs="Times New Roman"/>
                    </w:rPr>
                  </w:pPr>
                </w:p>
              </w:tc>
              <w:tc>
                <w:tcPr>
                  <w:tcW w:w="1331" w:type="dxa"/>
                  <w:vMerge w:val="continue"/>
                  <w:noWrap w:val="0"/>
                  <w:vAlign w:val="center"/>
                </w:tcPr>
                <w:p w14:paraId="2D425FB8">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cs="Times New Roman"/>
                    </w:rPr>
                  </w:pPr>
                </w:p>
              </w:tc>
              <w:tc>
                <w:tcPr>
                  <w:tcW w:w="2119" w:type="dxa"/>
                  <w:noWrap w:val="0"/>
                  <w:vAlign w:val="center"/>
                </w:tcPr>
                <w:p w14:paraId="5FB77C06">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手术床悬挂组件</w:t>
                  </w:r>
                </w:p>
              </w:tc>
              <w:tc>
                <w:tcPr>
                  <w:tcW w:w="1363" w:type="dxa"/>
                  <w:noWrap w:val="0"/>
                  <w:vAlign w:val="center"/>
                </w:tcPr>
                <w:p w14:paraId="05555D8E">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万套/年</w:t>
                  </w:r>
                </w:p>
              </w:tc>
              <w:tc>
                <w:tcPr>
                  <w:tcW w:w="1085" w:type="dxa"/>
                  <w:vMerge w:val="continue"/>
                  <w:noWrap w:val="0"/>
                  <w:vAlign w:val="center"/>
                </w:tcPr>
                <w:p w14:paraId="333013A7">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cs="Times New Roman"/>
                    </w:rPr>
                  </w:pPr>
                </w:p>
              </w:tc>
            </w:tr>
          </w:tbl>
          <w:p w14:paraId="35E54FDD">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rPr>
            </w:pPr>
            <w:r>
              <w:rPr>
                <w:rFonts w:hint="eastAsia" w:ascii="宋体" w:hAnsi="宋体" w:eastAsia="宋体" w:cs="宋体"/>
              </w:rPr>
              <w:t>⑵工作制度及劳动定员</w:t>
            </w:r>
          </w:p>
          <w:p w14:paraId="6813BDB5">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rPr>
            </w:pPr>
            <w:r>
              <w:rPr>
                <w:rFonts w:hint="eastAsia" w:ascii="宋体" w:hAnsi="宋体" w:eastAsia="宋体" w:cs="宋体"/>
              </w:rPr>
              <w:t>本项目年生产</w:t>
            </w:r>
            <w:r>
              <w:rPr>
                <w:rFonts w:hint="eastAsia" w:ascii="宋体" w:hAnsi="宋体" w:eastAsia="宋体" w:cs="宋体"/>
                <w:lang w:val="en-US" w:eastAsia="zh-CN"/>
              </w:rPr>
              <w:t>25</w:t>
            </w:r>
            <w:r>
              <w:rPr>
                <w:rFonts w:hint="eastAsia" w:ascii="宋体" w:hAnsi="宋体" w:eastAsia="宋体" w:cs="宋体"/>
              </w:rPr>
              <w:t>0天，每天工作</w:t>
            </w:r>
            <w:r>
              <w:rPr>
                <w:rFonts w:hint="eastAsia" w:ascii="宋体" w:hAnsi="宋体" w:eastAsia="宋体" w:cs="宋体"/>
                <w:lang w:val="en-US" w:eastAsia="zh-CN"/>
              </w:rPr>
              <w:t>8</w:t>
            </w:r>
            <w:r>
              <w:rPr>
                <w:rFonts w:hint="eastAsia" w:ascii="宋体" w:hAnsi="宋体" w:eastAsia="宋体" w:cs="宋体"/>
              </w:rPr>
              <w:t>h，年工作</w:t>
            </w:r>
            <w:r>
              <w:rPr>
                <w:rFonts w:hint="eastAsia" w:ascii="宋体" w:hAnsi="宋体" w:eastAsia="宋体" w:cs="宋体"/>
                <w:lang w:val="en-US" w:eastAsia="zh-CN"/>
              </w:rPr>
              <w:t>200</w:t>
            </w:r>
            <w:r>
              <w:rPr>
                <w:rFonts w:hint="eastAsia" w:ascii="宋体" w:hAnsi="宋体" w:eastAsia="宋体" w:cs="宋体"/>
              </w:rPr>
              <w:t>0h；</w:t>
            </w:r>
          </w:p>
          <w:p w14:paraId="748B4D92">
            <w:pPr>
              <w:keepNext w:val="0"/>
              <w:keepLines w:val="0"/>
              <w:suppressLineNumbers w:val="0"/>
              <w:spacing w:before="0" w:beforeAutospacing="0" w:after="0" w:afterAutospacing="0"/>
              <w:ind w:left="0" w:right="0" w:firstLine="549" w:firstLineChars="229"/>
              <w:rPr>
                <w:rFonts w:hint="eastAsia" w:ascii="宋体" w:hAnsi="宋体" w:eastAsia="宋体" w:cs="宋体"/>
                <w:bCs/>
              </w:rPr>
            </w:pPr>
            <w:r>
              <w:rPr>
                <w:rFonts w:hint="eastAsia" w:ascii="宋体" w:hAnsi="宋体" w:eastAsia="宋体" w:cs="宋体"/>
              </w:rPr>
              <w:t>职工人数：本项目职工定员为</w:t>
            </w:r>
            <w:r>
              <w:rPr>
                <w:rFonts w:hint="eastAsia" w:ascii="宋体" w:hAnsi="宋体" w:eastAsia="宋体" w:cs="宋体"/>
                <w:lang w:val="en-US" w:eastAsia="zh-CN"/>
              </w:rPr>
              <w:t>28</w:t>
            </w:r>
            <w:r>
              <w:rPr>
                <w:rFonts w:hint="eastAsia" w:ascii="宋体" w:hAnsi="宋体" w:eastAsia="宋体" w:cs="宋体"/>
              </w:rPr>
              <w:t>人；</w:t>
            </w:r>
          </w:p>
          <w:p w14:paraId="6907FD6B">
            <w:pPr>
              <w:keepNext w:val="0"/>
              <w:keepLines w:val="0"/>
              <w:suppressLineNumbers w:val="0"/>
              <w:spacing w:before="0" w:beforeAutospacing="0" w:after="0" w:afterAutospacing="0"/>
              <w:ind w:left="0" w:right="0" w:firstLine="549" w:firstLineChars="229"/>
              <w:rPr>
                <w:rFonts w:hint="eastAsia" w:ascii="宋体" w:hAnsi="宋体" w:eastAsia="宋体" w:cs="宋体"/>
                <w:bCs/>
              </w:rPr>
            </w:pPr>
            <w:r>
              <w:rPr>
                <w:rFonts w:hint="eastAsia" w:ascii="宋体" w:hAnsi="宋体" w:eastAsia="宋体" w:cs="宋体"/>
                <w:bCs/>
              </w:rPr>
              <w:t>⑶工程建设内容</w:t>
            </w:r>
          </w:p>
          <w:p w14:paraId="567926EE">
            <w:pPr>
              <w:keepNext w:val="0"/>
              <w:keepLines w:val="0"/>
              <w:suppressLineNumbers w:val="0"/>
              <w:spacing w:before="0" w:beforeAutospacing="0" w:after="0" w:afterAutospacing="0"/>
              <w:ind w:left="0" w:right="0"/>
              <w:jc w:val="center"/>
              <w:rPr>
                <w:rFonts w:hint="eastAsia" w:ascii="宋体" w:hAnsi="宋体" w:eastAsia="宋体" w:cs="宋体"/>
              </w:rPr>
            </w:pPr>
            <w:r>
              <w:rPr>
                <w:rFonts w:hint="eastAsia" w:ascii="宋体" w:hAnsi="宋体" w:eastAsia="宋体" w:cs="宋体"/>
                <w:b/>
                <w:bCs/>
              </w:rPr>
              <w:t>表2-</w:t>
            </w:r>
            <w:r>
              <w:rPr>
                <w:rFonts w:hint="eastAsia" w:ascii="宋体" w:hAnsi="宋体" w:eastAsia="宋体" w:cs="宋体"/>
                <w:b/>
                <w:bCs/>
                <w:lang w:val="en-US" w:eastAsia="zh-CN"/>
              </w:rPr>
              <w:t>3</w:t>
            </w:r>
            <w:r>
              <w:rPr>
                <w:rFonts w:hint="eastAsia" w:ascii="宋体" w:hAnsi="宋体" w:eastAsia="宋体" w:cs="宋体"/>
                <w:b/>
                <w:bCs/>
              </w:rPr>
              <w:t xml:space="preserve">  公用及辅助工程一览表</w:t>
            </w:r>
          </w:p>
          <w:tbl>
            <w:tblPr>
              <w:tblStyle w:val="30"/>
              <w:tblW w:w="500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727"/>
              <w:gridCol w:w="2399"/>
              <w:gridCol w:w="1673"/>
              <w:gridCol w:w="1076"/>
              <w:gridCol w:w="2372"/>
            </w:tblGrid>
            <w:tr w14:paraId="24BF91DD">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340" w:hRule="atLeast"/>
                <w:jc w:val="center"/>
              </w:trPr>
              <w:tc>
                <w:tcPr>
                  <w:tcW w:w="440" w:type="pct"/>
                  <w:noWrap w:val="0"/>
                  <w:vAlign w:val="center"/>
                </w:tcPr>
                <w:p w14:paraId="492F10F3">
                  <w:pPr>
                    <w:pStyle w:val="76"/>
                    <w:keepNext w:val="0"/>
                    <w:keepLines w:val="0"/>
                    <w:widowControl/>
                    <w:suppressLineNumbers w:val="0"/>
                    <w:spacing w:before="0" w:beforeAutospacing="0" w:after="0" w:afterAutospacing="0" w:line="240" w:lineRule="atLeast"/>
                    <w:ind w:left="0" w:right="0"/>
                    <w:rPr>
                      <w:rFonts w:hint="eastAsia" w:ascii="宋体" w:hAnsi="宋体" w:eastAsia="宋体" w:cs="宋体"/>
                      <w:szCs w:val="21"/>
                    </w:rPr>
                  </w:pPr>
                  <w:r>
                    <w:rPr>
                      <w:rFonts w:hint="eastAsia" w:ascii="宋体" w:hAnsi="宋体" w:eastAsia="宋体" w:cs="宋体"/>
                      <w:szCs w:val="21"/>
                    </w:rPr>
                    <w:t>类别</w:t>
                  </w:r>
                </w:p>
              </w:tc>
              <w:tc>
                <w:tcPr>
                  <w:tcW w:w="1454" w:type="pct"/>
                  <w:noWrap w:val="0"/>
                  <w:vAlign w:val="center"/>
                </w:tcPr>
                <w:p w14:paraId="70FD171E">
                  <w:pPr>
                    <w:pStyle w:val="76"/>
                    <w:keepNext w:val="0"/>
                    <w:keepLines w:val="0"/>
                    <w:widowControl/>
                    <w:suppressLineNumbers w:val="0"/>
                    <w:spacing w:before="0" w:beforeAutospacing="0" w:after="0" w:afterAutospacing="0" w:line="240" w:lineRule="atLeast"/>
                    <w:ind w:left="0" w:right="0"/>
                    <w:rPr>
                      <w:rFonts w:hint="eastAsia" w:ascii="宋体" w:hAnsi="宋体" w:eastAsia="宋体" w:cs="宋体"/>
                      <w:szCs w:val="21"/>
                    </w:rPr>
                  </w:pPr>
                  <w:r>
                    <w:rPr>
                      <w:rFonts w:hint="eastAsia" w:ascii="宋体" w:hAnsi="宋体" w:eastAsia="宋体" w:cs="宋体"/>
                      <w:szCs w:val="21"/>
                    </w:rPr>
                    <w:t>建设名称</w:t>
                  </w:r>
                </w:p>
              </w:tc>
              <w:tc>
                <w:tcPr>
                  <w:tcW w:w="1014" w:type="pct"/>
                  <w:noWrap w:val="0"/>
                  <w:vAlign w:val="center"/>
                </w:tcPr>
                <w:p w14:paraId="2B5CF09A">
                  <w:pPr>
                    <w:pStyle w:val="76"/>
                    <w:keepNext w:val="0"/>
                    <w:keepLines w:val="0"/>
                    <w:widowControl/>
                    <w:suppressLineNumbers w:val="0"/>
                    <w:spacing w:before="0" w:beforeAutospacing="0" w:after="0" w:afterAutospacing="0" w:line="240" w:lineRule="atLeast"/>
                    <w:ind w:left="0" w:right="0"/>
                    <w:rPr>
                      <w:rFonts w:hint="eastAsia" w:ascii="宋体" w:hAnsi="宋体" w:eastAsia="宋体" w:cs="宋体"/>
                      <w:szCs w:val="21"/>
                    </w:rPr>
                  </w:pPr>
                  <w:r>
                    <w:rPr>
                      <w:rFonts w:hint="eastAsia" w:ascii="宋体" w:hAnsi="宋体" w:eastAsia="宋体" w:cs="宋体"/>
                      <w:szCs w:val="21"/>
                    </w:rPr>
                    <w:t>建设内容</w:t>
                  </w:r>
                </w:p>
              </w:tc>
              <w:tc>
                <w:tcPr>
                  <w:tcW w:w="652" w:type="pct"/>
                  <w:noWrap w:val="0"/>
                  <w:vAlign w:val="center"/>
                </w:tcPr>
                <w:p w14:paraId="6ED6D046">
                  <w:pPr>
                    <w:pStyle w:val="76"/>
                    <w:keepNext w:val="0"/>
                    <w:keepLines w:val="0"/>
                    <w:widowControl/>
                    <w:suppressLineNumbers w:val="0"/>
                    <w:spacing w:before="0" w:beforeAutospacing="0" w:after="0" w:afterAutospacing="0" w:line="240" w:lineRule="atLeast"/>
                    <w:ind w:left="0" w:right="0"/>
                    <w:rPr>
                      <w:rFonts w:hint="eastAsia" w:ascii="宋体" w:hAnsi="宋体" w:eastAsia="宋体" w:cs="宋体"/>
                      <w:szCs w:val="21"/>
                    </w:rPr>
                  </w:pPr>
                  <w:r>
                    <w:rPr>
                      <w:rFonts w:hint="eastAsia" w:ascii="宋体" w:hAnsi="宋体" w:eastAsia="宋体" w:cs="宋体"/>
                      <w:szCs w:val="21"/>
                    </w:rPr>
                    <w:t>设计能力</w:t>
                  </w:r>
                </w:p>
              </w:tc>
              <w:tc>
                <w:tcPr>
                  <w:tcW w:w="1438" w:type="pct"/>
                  <w:noWrap w:val="0"/>
                  <w:vAlign w:val="center"/>
                </w:tcPr>
                <w:p w14:paraId="05BC8A07">
                  <w:pPr>
                    <w:pStyle w:val="76"/>
                    <w:keepNext w:val="0"/>
                    <w:keepLines w:val="0"/>
                    <w:widowControl/>
                    <w:suppressLineNumbers w:val="0"/>
                    <w:spacing w:before="0" w:beforeAutospacing="0" w:after="0" w:afterAutospacing="0" w:line="240" w:lineRule="atLeast"/>
                    <w:ind w:left="0" w:right="0"/>
                    <w:rPr>
                      <w:rFonts w:hint="eastAsia" w:ascii="宋体" w:hAnsi="宋体" w:eastAsia="宋体" w:cs="宋体"/>
                      <w:szCs w:val="21"/>
                    </w:rPr>
                  </w:pPr>
                  <w:r>
                    <w:rPr>
                      <w:rFonts w:hint="eastAsia" w:ascii="宋体" w:hAnsi="宋体" w:eastAsia="宋体" w:cs="宋体"/>
                      <w:szCs w:val="21"/>
                    </w:rPr>
                    <w:t>备注</w:t>
                  </w:r>
                </w:p>
              </w:tc>
            </w:tr>
            <w:tr w14:paraId="21994FD3">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201" w:hRule="atLeast"/>
                <w:jc w:val="center"/>
              </w:trPr>
              <w:tc>
                <w:tcPr>
                  <w:tcW w:w="440" w:type="pct"/>
                  <w:vMerge w:val="restart"/>
                  <w:noWrap w:val="0"/>
                  <w:vAlign w:val="center"/>
                </w:tcPr>
                <w:p w14:paraId="129BAA63">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主体工程</w:t>
                  </w:r>
                </w:p>
              </w:tc>
              <w:tc>
                <w:tcPr>
                  <w:tcW w:w="1454" w:type="pct"/>
                  <w:noWrap w:val="0"/>
                  <w:vAlign w:val="center"/>
                </w:tcPr>
                <w:p w14:paraId="3A11F2D9">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喷塑房</w:t>
                  </w:r>
                </w:p>
              </w:tc>
              <w:tc>
                <w:tcPr>
                  <w:tcW w:w="1014" w:type="pct"/>
                  <w:noWrap w:val="0"/>
                  <w:vAlign w:val="center"/>
                </w:tcPr>
                <w:p w14:paraId="35BCB7C8">
                  <w:pPr>
                    <w:keepNext w:val="0"/>
                    <w:keepLines w:val="0"/>
                    <w:suppressLineNumbers w:val="0"/>
                    <w:autoSpaceDE w:val="0"/>
                    <w:autoSpaceDN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100</w:t>
                  </w:r>
                  <w:r>
                    <w:rPr>
                      <w:rFonts w:hint="eastAsia" w:ascii="宋体" w:hAnsi="宋体" w:eastAsia="宋体" w:cs="宋体"/>
                      <w:sz w:val="21"/>
                      <w:szCs w:val="21"/>
                    </w:rPr>
                    <w:t>m</w:t>
                  </w:r>
                  <w:r>
                    <w:rPr>
                      <w:rFonts w:hint="eastAsia" w:ascii="宋体" w:hAnsi="宋体" w:eastAsia="宋体" w:cs="宋体"/>
                      <w:sz w:val="21"/>
                      <w:szCs w:val="21"/>
                      <w:vertAlign w:val="superscript"/>
                    </w:rPr>
                    <w:t>2</w:t>
                  </w:r>
                </w:p>
              </w:tc>
              <w:tc>
                <w:tcPr>
                  <w:tcW w:w="652" w:type="pct"/>
                  <w:vMerge w:val="restart"/>
                  <w:noWrap w:val="0"/>
                  <w:vAlign w:val="center"/>
                </w:tcPr>
                <w:p w14:paraId="3A15583D">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医疗器械零部件</w:t>
                  </w:r>
                  <w:r>
                    <w:rPr>
                      <w:rFonts w:hint="eastAsia" w:ascii="宋体" w:hAnsi="宋体" w:eastAsia="宋体" w:cs="宋体"/>
                      <w:sz w:val="21"/>
                      <w:szCs w:val="21"/>
                    </w:rPr>
                    <w:t>8万套</w:t>
                  </w:r>
                  <w:r>
                    <w:rPr>
                      <w:rFonts w:hint="eastAsia" w:ascii="宋体" w:hAnsi="宋体" w:eastAsia="宋体" w:cs="宋体"/>
                      <w:sz w:val="21"/>
                      <w:szCs w:val="21"/>
                      <w:lang w:val="en-US" w:eastAsia="zh-CN"/>
                    </w:rPr>
                    <w:t>/年</w:t>
                  </w:r>
                </w:p>
              </w:tc>
              <w:tc>
                <w:tcPr>
                  <w:tcW w:w="1438" w:type="pct"/>
                  <w:noWrap w:val="0"/>
                  <w:vAlign w:val="center"/>
                </w:tcPr>
                <w:p w14:paraId="6C18DC3A">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2间，</w:t>
                  </w:r>
                  <w:r>
                    <w:rPr>
                      <w:rFonts w:hint="eastAsia" w:ascii="宋体" w:hAnsi="宋体" w:eastAsia="宋体" w:cs="宋体"/>
                      <w:color w:val="auto"/>
                      <w:sz w:val="21"/>
                      <w:szCs w:val="21"/>
                    </w:rPr>
                    <w:t>位于</w:t>
                  </w:r>
                  <w:r>
                    <w:rPr>
                      <w:rFonts w:hint="eastAsia" w:ascii="宋体" w:hAnsi="宋体" w:eastAsia="宋体" w:cs="宋体"/>
                      <w:color w:val="auto"/>
                      <w:sz w:val="21"/>
                      <w:szCs w:val="21"/>
                      <w:lang w:val="en-US" w:eastAsia="zh-CN"/>
                    </w:rPr>
                    <w:t>车间</w:t>
                  </w:r>
                  <w:r>
                    <w:rPr>
                      <w:rFonts w:hint="eastAsia" w:ascii="宋体" w:hAnsi="宋体" w:eastAsia="宋体" w:cs="宋体"/>
                      <w:color w:val="auto"/>
                      <w:sz w:val="21"/>
                      <w:szCs w:val="21"/>
                    </w:rPr>
                    <w:t>一层</w:t>
                  </w:r>
                  <w:r>
                    <w:rPr>
                      <w:rFonts w:hint="eastAsia" w:ascii="宋体" w:hAnsi="宋体" w:eastAsia="宋体" w:cs="宋体"/>
                      <w:color w:val="auto"/>
                      <w:sz w:val="21"/>
                      <w:szCs w:val="21"/>
                      <w:lang w:val="en-US" w:eastAsia="zh-CN"/>
                    </w:rPr>
                    <w:t>北</w:t>
                  </w:r>
                  <w:r>
                    <w:rPr>
                      <w:rFonts w:hint="eastAsia" w:ascii="宋体" w:hAnsi="宋体" w:eastAsia="宋体" w:cs="宋体"/>
                      <w:color w:val="auto"/>
                      <w:sz w:val="21"/>
                      <w:szCs w:val="21"/>
                    </w:rPr>
                    <w:t>侧</w:t>
                  </w:r>
                </w:p>
              </w:tc>
            </w:tr>
            <w:tr w14:paraId="4F175AA8">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201" w:hRule="atLeast"/>
                <w:jc w:val="center"/>
              </w:trPr>
              <w:tc>
                <w:tcPr>
                  <w:tcW w:w="440" w:type="pct"/>
                  <w:vMerge w:val="continue"/>
                  <w:noWrap w:val="0"/>
                  <w:vAlign w:val="center"/>
                </w:tcPr>
                <w:p w14:paraId="5F3304EF">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p>
              </w:tc>
              <w:tc>
                <w:tcPr>
                  <w:tcW w:w="1454" w:type="pct"/>
                  <w:noWrap w:val="0"/>
                  <w:vAlign w:val="center"/>
                </w:tcPr>
                <w:p w14:paraId="68CD41B1">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表面预处理线</w:t>
                  </w:r>
                </w:p>
              </w:tc>
              <w:tc>
                <w:tcPr>
                  <w:tcW w:w="1014" w:type="pct"/>
                  <w:noWrap w:val="0"/>
                  <w:vAlign w:val="center"/>
                </w:tcPr>
                <w:p w14:paraId="0A833039">
                  <w:pPr>
                    <w:keepNext w:val="0"/>
                    <w:keepLines w:val="0"/>
                    <w:suppressLineNumbers w:val="0"/>
                    <w:autoSpaceDE w:val="0"/>
                    <w:autoSpaceDN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00m</w:t>
                  </w:r>
                  <w:r>
                    <w:rPr>
                      <w:rFonts w:hint="eastAsia" w:ascii="宋体" w:hAnsi="宋体" w:eastAsia="宋体" w:cs="宋体"/>
                      <w:sz w:val="21"/>
                      <w:szCs w:val="21"/>
                      <w:vertAlign w:val="superscript"/>
                    </w:rPr>
                    <w:t>2</w:t>
                  </w:r>
                </w:p>
              </w:tc>
              <w:tc>
                <w:tcPr>
                  <w:tcW w:w="652" w:type="pct"/>
                  <w:vMerge w:val="continue"/>
                  <w:noWrap w:val="0"/>
                  <w:vAlign w:val="center"/>
                </w:tcPr>
                <w:p w14:paraId="16D01345">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1438" w:type="pct"/>
                  <w:noWrap w:val="0"/>
                  <w:vAlign w:val="center"/>
                </w:tcPr>
                <w:p w14:paraId="30A95166">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1条，</w:t>
                  </w:r>
                  <w:r>
                    <w:rPr>
                      <w:rFonts w:hint="eastAsia" w:ascii="宋体" w:hAnsi="宋体" w:eastAsia="宋体" w:cs="宋体"/>
                      <w:color w:val="auto"/>
                      <w:sz w:val="21"/>
                      <w:szCs w:val="21"/>
                    </w:rPr>
                    <w:t>位于</w:t>
                  </w:r>
                  <w:r>
                    <w:rPr>
                      <w:rFonts w:hint="eastAsia" w:ascii="宋体" w:hAnsi="宋体" w:eastAsia="宋体" w:cs="宋体"/>
                      <w:color w:val="auto"/>
                      <w:sz w:val="21"/>
                      <w:szCs w:val="21"/>
                      <w:lang w:val="en-US" w:eastAsia="zh-CN"/>
                    </w:rPr>
                    <w:t>车间二</w:t>
                  </w:r>
                  <w:r>
                    <w:rPr>
                      <w:rFonts w:hint="eastAsia" w:ascii="宋体" w:hAnsi="宋体" w:eastAsia="宋体" w:cs="宋体"/>
                      <w:color w:val="auto"/>
                      <w:sz w:val="21"/>
                      <w:szCs w:val="21"/>
                    </w:rPr>
                    <w:t>层</w:t>
                  </w:r>
                  <w:r>
                    <w:rPr>
                      <w:rFonts w:hint="eastAsia" w:ascii="宋体" w:hAnsi="宋体" w:eastAsia="宋体" w:cs="宋体"/>
                      <w:color w:val="auto"/>
                      <w:sz w:val="21"/>
                      <w:szCs w:val="21"/>
                      <w:lang w:val="en-US" w:eastAsia="zh-CN"/>
                    </w:rPr>
                    <w:t>中部</w:t>
                  </w:r>
                </w:p>
              </w:tc>
            </w:tr>
            <w:tr w14:paraId="7CAF517C">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201" w:hRule="atLeast"/>
                <w:jc w:val="center"/>
              </w:trPr>
              <w:tc>
                <w:tcPr>
                  <w:tcW w:w="440" w:type="pct"/>
                  <w:vMerge w:val="continue"/>
                  <w:noWrap w:val="0"/>
                  <w:vAlign w:val="center"/>
                </w:tcPr>
                <w:p w14:paraId="12FEE3B2">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p>
              </w:tc>
              <w:tc>
                <w:tcPr>
                  <w:tcW w:w="1454" w:type="pct"/>
                  <w:noWrap w:val="0"/>
                  <w:vAlign w:val="center"/>
                </w:tcPr>
                <w:p w14:paraId="4343910F">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烘道</w:t>
                  </w:r>
                </w:p>
              </w:tc>
              <w:tc>
                <w:tcPr>
                  <w:tcW w:w="1014" w:type="pct"/>
                  <w:noWrap w:val="0"/>
                  <w:vAlign w:val="center"/>
                </w:tcPr>
                <w:p w14:paraId="7B9CDDA3">
                  <w:pPr>
                    <w:keepNext w:val="0"/>
                    <w:keepLines w:val="0"/>
                    <w:suppressLineNumbers w:val="0"/>
                    <w:autoSpaceDE w:val="0"/>
                    <w:autoSpaceDN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300</w:t>
                  </w:r>
                  <w:r>
                    <w:rPr>
                      <w:rFonts w:hint="eastAsia" w:ascii="宋体" w:hAnsi="宋体" w:eastAsia="宋体" w:cs="宋体"/>
                      <w:sz w:val="21"/>
                      <w:szCs w:val="21"/>
                    </w:rPr>
                    <w:t>m</w:t>
                  </w:r>
                  <w:r>
                    <w:rPr>
                      <w:rFonts w:hint="eastAsia" w:ascii="宋体" w:hAnsi="宋体" w:eastAsia="宋体" w:cs="宋体"/>
                      <w:sz w:val="21"/>
                      <w:szCs w:val="21"/>
                      <w:vertAlign w:val="superscript"/>
                    </w:rPr>
                    <w:t>2</w:t>
                  </w:r>
                </w:p>
              </w:tc>
              <w:tc>
                <w:tcPr>
                  <w:tcW w:w="652" w:type="pct"/>
                  <w:vMerge w:val="continue"/>
                  <w:noWrap w:val="0"/>
                  <w:vAlign w:val="center"/>
                </w:tcPr>
                <w:p w14:paraId="2A8CE12E">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1438" w:type="pct"/>
                  <w:noWrap w:val="0"/>
                  <w:vAlign w:val="center"/>
                </w:tcPr>
                <w:p w14:paraId="7A1A5F7C">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2条，</w:t>
                  </w:r>
                  <w:r>
                    <w:rPr>
                      <w:rFonts w:hint="eastAsia" w:ascii="宋体" w:hAnsi="宋体" w:eastAsia="宋体" w:cs="宋体"/>
                      <w:color w:val="auto"/>
                      <w:sz w:val="21"/>
                      <w:szCs w:val="21"/>
                    </w:rPr>
                    <w:t>位于</w:t>
                  </w:r>
                  <w:r>
                    <w:rPr>
                      <w:rFonts w:hint="eastAsia" w:ascii="宋体" w:hAnsi="宋体" w:eastAsia="宋体" w:cs="宋体"/>
                      <w:color w:val="auto"/>
                      <w:sz w:val="21"/>
                      <w:szCs w:val="21"/>
                      <w:lang w:val="en-US" w:eastAsia="zh-CN"/>
                    </w:rPr>
                    <w:t>车间二</w:t>
                  </w:r>
                  <w:r>
                    <w:rPr>
                      <w:rFonts w:hint="eastAsia" w:ascii="宋体" w:hAnsi="宋体" w:eastAsia="宋体" w:cs="宋体"/>
                      <w:color w:val="auto"/>
                      <w:sz w:val="21"/>
                      <w:szCs w:val="21"/>
                    </w:rPr>
                    <w:t>层</w:t>
                  </w:r>
                  <w:r>
                    <w:rPr>
                      <w:rFonts w:hint="eastAsia" w:ascii="宋体" w:hAnsi="宋体" w:eastAsia="宋体" w:cs="宋体"/>
                      <w:color w:val="auto"/>
                      <w:sz w:val="21"/>
                      <w:szCs w:val="21"/>
                      <w:lang w:val="en-US" w:eastAsia="zh-CN"/>
                    </w:rPr>
                    <w:t>两侧</w:t>
                  </w:r>
                </w:p>
              </w:tc>
            </w:tr>
            <w:tr w14:paraId="6DBFCCB5">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201" w:hRule="atLeast"/>
                <w:jc w:val="center"/>
              </w:trPr>
              <w:tc>
                <w:tcPr>
                  <w:tcW w:w="440" w:type="pct"/>
                  <w:vMerge w:val="continue"/>
                  <w:noWrap w:val="0"/>
                  <w:vAlign w:val="center"/>
                </w:tcPr>
                <w:p w14:paraId="2AA555B7">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p>
              </w:tc>
              <w:tc>
                <w:tcPr>
                  <w:tcW w:w="1454" w:type="pct"/>
                  <w:noWrap w:val="0"/>
                  <w:vAlign w:val="center"/>
                </w:tcPr>
                <w:p w14:paraId="04D33EC2">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喷砂房</w:t>
                  </w:r>
                </w:p>
              </w:tc>
              <w:tc>
                <w:tcPr>
                  <w:tcW w:w="1014" w:type="pct"/>
                  <w:noWrap w:val="0"/>
                  <w:vAlign w:val="center"/>
                </w:tcPr>
                <w:p w14:paraId="03EA26BF">
                  <w:pPr>
                    <w:keepNext w:val="0"/>
                    <w:keepLines w:val="0"/>
                    <w:suppressLineNumbers w:val="0"/>
                    <w:autoSpaceDE w:val="0"/>
                    <w:autoSpaceDN w:val="0"/>
                    <w:adjustRightInd w:val="0"/>
                    <w:snapToGrid w:val="0"/>
                    <w:spacing w:before="0" w:beforeAutospacing="0" w:after="0" w:afterAutospacing="0" w:line="240" w:lineRule="atLeast"/>
                    <w:ind w:left="0" w:right="0"/>
                    <w:jc w:val="center"/>
                    <w:rPr>
                      <w:rFonts w:hint="default"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00m</w:t>
                  </w:r>
                  <w:r>
                    <w:rPr>
                      <w:rFonts w:hint="eastAsia" w:ascii="宋体" w:hAnsi="宋体" w:eastAsia="宋体" w:cs="宋体"/>
                      <w:sz w:val="21"/>
                      <w:szCs w:val="21"/>
                      <w:vertAlign w:val="superscript"/>
                    </w:rPr>
                    <w:t>2</w:t>
                  </w:r>
                </w:p>
              </w:tc>
              <w:tc>
                <w:tcPr>
                  <w:tcW w:w="652" w:type="pct"/>
                  <w:vMerge w:val="continue"/>
                  <w:noWrap w:val="0"/>
                  <w:vAlign w:val="center"/>
                </w:tcPr>
                <w:p w14:paraId="6A1865C0">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1438" w:type="pct"/>
                  <w:noWrap w:val="0"/>
                  <w:vAlign w:val="center"/>
                </w:tcPr>
                <w:p w14:paraId="2C2E4DEF">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1间</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位于</w:t>
                  </w:r>
                  <w:r>
                    <w:rPr>
                      <w:rFonts w:hint="eastAsia" w:ascii="宋体" w:hAnsi="宋体" w:eastAsia="宋体" w:cs="宋体"/>
                      <w:color w:val="auto"/>
                      <w:sz w:val="21"/>
                      <w:szCs w:val="21"/>
                      <w:lang w:val="en-US" w:eastAsia="zh-CN"/>
                    </w:rPr>
                    <w:t>车间</w:t>
                  </w:r>
                  <w:r>
                    <w:rPr>
                      <w:rFonts w:hint="eastAsia" w:ascii="宋体" w:hAnsi="宋体" w:eastAsia="宋体" w:cs="宋体"/>
                      <w:color w:val="auto"/>
                      <w:sz w:val="21"/>
                      <w:szCs w:val="21"/>
                    </w:rPr>
                    <w:t>一层</w:t>
                  </w:r>
                  <w:r>
                    <w:rPr>
                      <w:rFonts w:hint="eastAsia" w:ascii="宋体" w:hAnsi="宋体" w:eastAsia="宋体" w:cs="宋体"/>
                      <w:color w:val="auto"/>
                      <w:sz w:val="21"/>
                      <w:szCs w:val="21"/>
                      <w:lang w:val="en-US" w:eastAsia="zh-CN"/>
                    </w:rPr>
                    <w:t>南</w:t>
                  </w:r>
                  <w:r>
                    <w:rPr>
                      <w:rFonts w:hint="eastAsia" w:ascii="宋体" w:hAnsi="宋体" w:eastAsia="宋体" w:cs="宋体"/>
                      <w:color w:val="auto"/>
                      <w:sz w:val="21"/>
                      <w:szCs w:val="21"/>
                    </w:rPr>
                    <w:t>侧</w:t>
                  </w:r>
                </w:p>
              </w:tc>
            </w:tr>
            <w:tr w14:paraId="3070FD74">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201" w:hRule="atLeast"/>
                <w:jc w:val="center"/>
              </w:trPr>
              <w:tc>
                <w:tcPr>
                  <w:tcW w:w="440" w:type="pct"/>
                  <w:vMerge w:val="continue"/>
                  <w:noWrap w:val="0"/>
                  <w:vAlign w:val="center"/>
                </w:tcPr>
                <w:p w14:paraId="585231BA">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p>
              </w:tc>
              <w:tc>
                <w:tcPr>
                  <w:tcW w:w="1454" w:type="pct"/>
                  <w:noWrap w:val="0"/>
                  <w:vAlign w:val="center"/>
                </w:tcPr>
                <w:p w14:paraId="2C858588">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rPr>
                  </w:pPr>
                  <w:r>
                    <w:rPr>
                      <w:rFonts w:hint="eastAsia" w:ascii="宋体" w:hAnsi="宋体" w:eastAsia="宋体" w:cs="宋体"/>
                      <w:sz w:val="21"/>
                      <w:szCs w:val="21"/>
                      <w:lang w:val="en-US" w:eastAsia="zh-CN"/>
                    </w:rPr>
                    <w:t>打磨房</w:t>
                  </w:r>
                </w:p>
              </w:tc>
              <w:tc>
                <w:tcPr>
                  <w:tcW w:w="1014" w:type="pct"/>
                  <w:noWrap w:val="0"/>
                  <w:vAlign w:val="center"/>
                </w:tcPr>
                <w:p w14:paraId="1CA17BDA">
                  <w:pPr>
                    <w:keepNext w:val="0"/>
                    <w:keepLines w:val="0"/>
                    <w:suppressLineNumbers w:val="0"/>
                    <w:autoSpaceDE w:val="0"/>
                    <w:autoSpaceDN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00m</w:t>
                  </w:r>
                  <w:r>
                    <w:rPr>
                      <w:rFonts w:hint="eastAsia" w:ascii="宋体" w:hAnsi="宋体" w:eastAsia="宋体" w:cs="宋体"/>
                      <w:sz w:val="21"/>
                      <w:szCs w:val="21"/>
                      <w:vertAlign w:val="superscript"/>
                    </w:rPr>
                    <w:t>2</w:t>
                  </w:r>
                </w:p>
              </w:tc>
              <w:tc>
                <w:tcPr>
                  <w:tcW w:w="652" w:type="pct"/>
                  <w:vMerge w:val="continue"/>
                  <w:noWrap w:val="0"/>
                  <w:vAlign w:val="center"/>
                </w:tcPr>
                <w:p w14:paraId="3BD0805A">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1438" w:type="pct"/>
                  <w:noWrap w:val="0"/>
                  <w:vAlign w:val="center"/>
                </w:tcPr>
                <w:p w14:paraId="1821DE79">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1间</w:t>
                  </w:r>
                  <w:r>
                    <w:rPr>
                      <w:rFonts w:hint="eastAsia" w:ascii="宋体" w:hAnsi="宋体" w:eastAsia="宋体" w:cs="宋体"/>
                      <w:sz w:val="21"/>
                      <w:szCs w:val="21"/>
                      <w:lang w:eastAsia="zh-CN"/>
                    </w:rPr>
                    <w:t>，</w:t>
                  </w:r>
                  <w:r>
                    <w:rPr>
                      <w:rFonts w:hint="eastAsia" w:ascii="宋体" w:hAnsi="宋体" w:eastAsia="宋体" w:cs="宋体"/>
                      <w:sz w:val="21"/>
                      <w:szCs w:val="21"/>
                    </w:rPr>
                    <w:t>位于</w:t>
                  </w:r>
                  <w:r>
                    <w:rPr>
                      <w:rFonts w:hint="eastAsia" w:ascii="宋体" w:hAnsi="宋体" w:eastAsia="宋体" w:cs="宋体"/>
                      <w:sz w:val="21"/>
                      <w:szCs w:val="21"/>
                      <w:lang w:val="en-US" w:eastAsia="zh-CN"/>
                    </w:rPr>
                    <w:t>车间</w:t>
                  </w:r>
                  <w:r>
                    <w:rPr>
                      <w:rFonts w:hint="eastAsia" w:ascii="宋体" w:hAnsi="宋体" w:eastAsia="宋体" w:cs="宋体"/>
                      <w:sz w:val="21"/>
                      <w:szCs w:val="21"/>
                    </w:rPr>
                    <w:t>一层</w:t>
                  </w:r>
                  <w:r>
                    <w:rPr>
                      <w:rFonts w:hint="eastAsia" w:ascii="宋体" w:hAnsi="宋体" w:eastAsia="宋体" w:cs="宋体"/>
                      <w:sz w:val="21"/>
                      <w:szCs w:val="21"/>
                      <w:lang w:val="en-US" w:eastAsia="zh-CN"/>
                    </w:rPr>
                    <w:t>南</w:t>
                  </w:r>
                  <w:r>
                    <w:rPr>
                      <w:rFonts w:hint="eastAsia" w:ascii="宋体" w:hAnsi="宋体" w:eastAsia="宋体" w:cs="宋体"/>
                      <w:sz w:val="21"/>
                      <w:szCs w:val="21"/>
                    </w:rPr>
                    <w:t>侧</w:t>
                  </w:r>
                </w:p>
              </w:tc>
            </w:tr>
            <w:tr w14:paraId="04E7189D">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340" w:hRule="atLeast"/>
                <w:jc w:val="center"/>
              </w:trPr>
              <w:tc>
                <w:tcPr>
                  <w:tcW w:w="440" w:type="pct"/>
                  <w:noWrap w:val="0"/>
                  <w:vAlign w:val="center"/>
                </w:tcPr>
                <w:p w14:paraId="02E37226">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辅助工程</w:t>
                  </w:r>
                </w:p>
              </w:tc>
              <w:tc>
                <w:tcPr>
                  <w:tcW w:w="1454" w:type="pct"/>
                  <w:noWrap w:val="0"/>
                  <w:vAlign w:val="center"/>
                </w:tcPr>
                <w:p w14:paraId="13800EEC">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lang w:eastAsia="zh-CN"/>
                    </w:rPr>
                  </w:pPr>
                  <w:r>
                    <w:rPr>
                      <w:rFonts w:hint="eastAsia" w:ascii="宋体" w:hAnsi="宋体" w:eastAsia="宋体" w:cs="宋体"/>
                      <w:sz w:val="21"/>
                    </w:rPr>
                    <w:t>办公</w:t>
                  </w:r>
                  <w:r>
                    <w:rPr>
                      <w:rFonts w:hint="eastAsia" w:ascii="宋体" w:hAnsi="宋体" w:eastAsia="宋体" w:cs="宋体"/>
                      <w:sz w:val="21"/>
                      <w:lang w:val="en-US" w:eastAsia="zh-CN"/>
                    </w:rPr>
                    <w:t>楼</w:t>
                  </w:r>
                </w:p>
              </w:tc>
              <w:tc>
                <w:tcPr>
                  <w:tcW w:w="1014" w:type="pct"/>
                  <w:noWrap w:val="0"/>
                  <w:vAlign w:val="center"/>
                </w:tcPr>
                <w:p w14:paraId="7E18CA98">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w:t>
                  </w:r>
                </w:p>
              </w:tc>
              <w:tc>
                <w:tcPr>
                  <w:tcW w:w="652" w:type="pct"/>
                  <w:noWrap w:val="0"/>
                  <w:vAlign w:val="center"/>
                </w:tcPr>
                <w:p w14:paraId="2FE2E7C4">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0</w:t>
                  </w:r>
                  <w:r>
                    <w:rPr>
                      <w:rFonts w:hint="eastAsia" w:ascii="宋体" w:hAnsi="宋体" w:eastAsia="宋体" w:cs="宋体"/>
                      <w:sz w:val="21"/>
                    </w:rPr>
                    <w:t>00m</w:t>
                  </w:r>
                  <w:r>
                    <w:rPr>
                      <w:rFonts w:hint="eastAsia" w:ascii="宋体" w:hAnsi="宋体" w:eastAsia="宋体" w:cs="宋体"/>
                      <w:sz w:val="21"/>
                      <w:vertAlign w:val="superscript"/>
                    </w:rPr>
                    <w:t>2</w:t>
                  </w:r>
                </w:p>
              </w:tc>
              <w:tc>
                <w:tcPr>
                  <w:tcW w:w="1438" w:type="pct"/>
                  <w:noWrap w:val="0"/>
                  <w:vAlign w:val="center"/>
                </w:tcPr>
                <w:p w14:paraId="34EA163B">
                  <w:pPr>
                    <w:pStyle w:val="63"/>
                    <w:keepNext w:val="0"/>
                    <w:keepLines w:val="0"/>
                    <w:suppressLineNumbers w:val="0"/>
                    <w:adjustRightInd w:val="0"/>
                    <w:snapToGrid w:val="0"/>
                    <w:spacing w:before="0" w:beforeAutospacing="0" w:after="0" w:afterAutospacing="0" w:line="240" w:lineRule="atLeast"/>
                    <w:ind w:left="0" w:right="0"/>
                    <w:rPr>
                      <w:rFonts w:hint="default" w:ascii="宋体" w:hAnsi="宋体" w:eastAsia="宋体" w:cs="宋体"/>
                      <w:sz w:val="21"/>
                      <w:lang w:val="en-US" w:eastAsia="zh-CN"/>
                    </w:rPr>
                  </w:pPr>
                  <w:r>
                    <w:rPr>
                      <w:rFonts w:hint="eastAsia" w:ascii="宋体" w:hAnsi="宋体" w:eastAsia="宋体" w:cs="宋体"/>
                      <w:sz w:val="21"/>
                      <w:lang w:val="en-US" w:eastAsia="zh-CN"/>
                    </w:rPr>
                    <w:t>位于厂区西侧</w:t>
                  </w:r>
                </w:p>
              </w:tc>
            </w:tr>
            <w:tr w14:paraId="3E27B58C">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PrEx>
              <w:trPr>
                <w:cantSplit/>
                <w:trHeight w:val="106" w:hRule="atLeast"/>
                <w:jc w:val="center"/>
              </w:trPr>
              <w:tc>
                <w:tcPr>
                  <w:tcW w:w="440" w:type="pct"/>
                  <w:vMerge w:val="restart"/>
                  <w:noWrap w:val="0"/>
                  <w:vAlign w:val="center"/>
                </w:tcPr>
                <w:p w14:paraId="07DA65DF">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公用工程</w:t>
                  </w:r>
                </w:p>
              </w:tc>
              <w:tc>
                <w:tcPr>
                  <w:tcW w:w="1454" w:type="pct"/>
                  <w:noWrap w:val="0"/>
                  <w:vAlign w:val="center"/>
                </w:tcPr>
                <w:p w14:paraId="3F8BB1EB">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给水</w:t>
                  </w:r>
                </w:p>
              </w:tc>
              <w:tc>
                <w:tcPr>
                  <w:tcW w:w="1014" w:type="pct"/>
                  <w:noWrap w:val="0"/>
                  <w:vAlign w:val="center"/>
                </w:tcPr>
                <w:p w14:paraId="7ABC5E98">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color w:val="auto"/>
                      <w:sz w:val="21"/>
                    </w:rPr>
                  </w:pPr>
                  <w:r>
                    <w:rPr>
                      <w:rFonts w:hint="eastAsia" w:ascii="宋体" w:hAnsi="宋体" w:eastAsia="宋体" w:cs="宋体"/>
                      <w:color w:val="auto"/>
                      <w:sz w:val="21"/>
                    </w:rPr>
                    <w:t>依托市政供水管网</w:t>
                  </w:r>
                </w:p>
              </w:tc>
              <w:tc>
                <w:tcPr>
                  <w:tcW w:w="652" w:type="pct"/>
                  <w:noWrap w:val="0"/>
                  <w:vAlign w:val="center"/>
                </w:tcPr>
                <w:p w14:paraId="125DC5A2">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1818.7</w:t>
                  </w:r>
                </w:p>
                <w:p w14:paraId="00E1CE77">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color w:val="auto"/>
                      <w:sz w:val="21"/>
                    </w:rPr>
                  </w:pPr>
                  <w:r>
                    <w:rPr>
                      <w:rFonts w:hint="eastAsia" w:ascii="宋体" w:hAnsi="宋体" w:eastAsia="宋体" w:cs="宋体"/>
                      <w:color w:val="auto"/>
                      <w:sz w:val="21"/>
                    </w:rPr>
                    <w:t>t/a</w:t>
                  </w:r>
                </w:p>
              </w:tc>
              <w:tc>
                <w:tcPr>
                  <w:tcW w:w="1438" w:type="pct"/>
                  <w:noWrap w:val="0"/>
                  <w:vAlign w:val="center"/>
                </w:tcPr>
                <w:p w14:paraId="6C576176">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w:t>
                  </w:r>
                </w:p>
              </w:tc>
            </w:tr>
            <w:tr w14:paraId="46667103">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106" w:hRule="atLeast"/>
                <w:jc w:val="center"/>
              </w:trPr>
              <w:tc>
                <w:tcPr>
                  <w:tcW w:w="440" w:type="pct"/>
                  <w:vMerge w:val="continue"/>
                  <w:noWrap w:val="0"/>
                  <w:vAlign w:val="center"/>
                </w:tcPr>
                <w:p w14:paraId="086E2BC0">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p>
              </w:tc>
              <w:tc>
                <w:tcPr>
                  <w:tcW w:w="1454" w:type="pct"/>
                  <w:noWrap w:val="0"/>
                  <w:vAlign w:val="center"/>
                </w:tcPr>
                <w:p w14:paraId="5502334A">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排水</w:t>
                  </w:r>
                </w:p>
              </w:tc>
              <w:tc>
                <w:tcPr>
                  <w:tcW w:w="1014" w:type="pct"/>
                  <w:noWrap w:val="0"/>
                  <w:vAlign w:val="center"/>
                </w:tcPr>
                <w:p w14:paraId="34A50801">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w:t>
                  </w:r>
                </w:p>
              </w:tc>
              <w:tc>
                <w:tcPr>
                  <w:tcW w:w="652" w:type="pct"/>
                  <w:noWrap w:val="0"/>
                  <w:vAlign w:val="center"/>
                </w:tcPr>
                <w:p w14:paraId="0D2D7F64">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color w:val="auto"/>
                      <w:sz w:val="21"/>
                    </w:rPr>
                  </w:pPr>
                  <w:r>
                    <w:rPr>
                      <w:rFonts w:hint="eastAsia" w:ascii="宋体" w:hAnsi="宋体" w:eastAsia="宋体" w:cs="宋体"/>
                      <w:color w:val="auto"/>
                      <w:sz w:val="21"/>
                      <w:lang w:val="en-US" w:eastAsia="zh-CN"/>
                    </w:rPr>
                    <w:t>1207</w:t>
                  </w:r>
                  <w:r>
                    <w:rPr>
                      <w:rFonts w:hint="eastAsia" w:ascii="宋体" w:hAnsi="宋体" w:eastAsia="宋体" w:cs="宋体"/>
                      <w:color w:val="auto"/>
                      <w:sz w:val="21"/>
                    </w:rPr>
                    <w:t>t/a</w:t>
                  </w:r>
                </w:p>
              </w:tc>
              <w:tc>
                <w:tcPr>
                  <w:tcW w:w="1438" w:type="pct"/>
                  <w:noWrap w:val="0"/>
                  <w:vAlign w:val="center"/>
                </w:tcPr>
                <w:p w14:paraId="76A1B7F0">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color w:val="auto"/>
                      <w:sz w:val="21"/>
                    </w:rPr>
                    <w:t>通过市政管网排入</w:t>
                  </w:r>
                  <w:r>
                    <w:rPr>
                      <w:rFonts w:hint="eastAsia" w:ascii="宋体" w:hAnsi="宋体" w:eastAsia="宋体" w:cs="宋体"/>
                      <w:color w:val="auto"/>
                      <w:sz w:val="21"/>
                      <w:lang w:eastAsia="zh-CN"/>
                    </w:rPr>
                    <w:t>句容市边城镇污水处理厂</w:t>
                  </w:r>
                  <w:r>
                    <w:rPr>
                      <w:rFonts w:hint="eastAsia" w:ascii="宋体" w:hAnsi="宋体" w:eastAsia="宋体" w:cs="宋体"/>
                      <w:color w:val="auto"/>
                      <w:sz w:val="21"/>
                    </w:rPr>
                    <w:t>处理</w:t>
                  </w:r>
                </w:p>
              </w:tc>
            </w:tr>
            <w:tr w14:paraId="35FC94A4">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106" w:hRule="atLeast"/>
                <w:jc w:val="center"/>
              </w:trPr>
              <w:tc>
                <w:tcPr>
                  <w:tcW w:w="440" w:type="pct"/>
                  <w:vMerge w:val="continue"/>
                  <w:noWrap w:val="0"/>
                  <w:vAlign w:val="center"/>
                </w:tcPr>
                <w:p w14:paraId="0CFD46BC">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p>
              </w:tc>
              <w:tc>
                <w:tcPr>
                  <w:tcW w:w="1454" w:type="pct"/>
                  <w:noWrap w:val="0"/>
                  <w:vAlign w:val="center"/>
                </w:tcPr>
                <w:p w14:paraId="0A597D87">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供热</w:t>
                  </w:r>
                </w:p>
              </w:tc>
              <w:tc>
                <w:tcPr>
                  <w:tcW w:w="1014" w:type="pct"/>
                  <w:noWrap w:val="0"/>
                  <w:vAlign w:val="center"/>
                </w:tcPr>
                <w:p w14:paraId="20A18AF2">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w:t>
                  </w:r>
                </w:p>
              </w:tc>
              <w:tc>
                <w:tcPr>
                  <w:tcW w:w="652" w:type="pct"/>
                  <w:noWrap w:val="0"/>
                  <w:vAlign w:val="center"/>
                </w:tcPr>
                <w:p w14:paraId="0158D39E">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w:t>
                  </w:r>
                </w:p>
              </w:tc>
              <w:tc>
                <w:tcPr>
                  <w:tcW w:w="1438" w:type="pct"/>
                  <w:noWrap w:val="0"/>
                  <w:vAlign w:val="center"/>
                </w:tcPr>
                <w:p w14:paraId="0F7AB473">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w:t>
                  </w:r>
                </w:p>
              </w:tc>
            </w:tr>
            <w:tr w14:paraId="18E9D19F">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106" w:hRule="atLeast"/>
                <w:jc w:val="center"/>
              </w:trPr>
              <w:tc>
                <w:tcPr>
                  <w:tcW w:w="440" w:type="pct"/>
                  <w:vMerge w:val="continue"/>
                  <w:noWrap w:val="0"/>
                  <w:vAlign w:val="center"/>
                </w:tcPr>
                <w:p w14:paraId="63E4CC0C">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p>
              </w:tc>
              <w:tc>
                <w:tcPr>
                  <w:tcW w:w="1454" w:type="pct"/>
                  <w:noWrap w:val="0"/>
                  <w:vAlign w:val="center"/>
                </w:tcPr>
                <w:p w14:paraId="0086C39F">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供汽</w:t>
                  </w:r>
                </w:p>
              </w:tc>
              <w:tc>
                <w:tcPr>
                  <w:tcW w:w="1014" w:type="pct"/>
                  <w:noWrap w:val="0"/>
                  <w:vAlign w:val="center"/>
                </w:tcPr>
                <w:p w14:paraId="5B99A31A">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w:t>
                  </w:r>
                </w:p>
              </w:tc>
              <w:tc>
                <w:tcPr>
                  <w:tcW w:w="652" w:type="pct"/>
                  <w:noWrap w:val="0"/>
                  <w:vAlign w:val="center"/>
                </w:tcPr>
                <w:p w14:paraId="267BAAF0">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w:t>
                  </w:r>
                </w:p>
              </w:tc>
              <w:tc>
                <w:tcPr>
                  <w:tcW w:w="1438" w:type="pct"/>
                  <w:noWrap w:val="0"/>
                  <w:vAlign w:val="center"/>
                </w:tcPr>
                <w:p w14:paraId="6F0E037E">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w:t>
                  </w:r>
                </w:p>
              </w:tc>
            </w:tr>
            <w:tr w14:paraId="295A0324">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106" w:hRule="atLeast"/>
                <w:jc w:val="center"/>
              </w:trPr>
              <w:tc>
                <w:tcPr>
                  <w:tcW w:w="440" w:type="pct"/>
                  <w:vMerge w:val="continue"/>
                  <w:noWrap w:val="0"/>
                  <w:vAlign w:val="center"/>
                </w:tcPr>
                <w:p w14:paraId="09888B27">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p>
              </w:tc>
              <w:tc>
                <w:tcPr>
                  <w:tcW w:w="1454" w:type="pct"/>
                  <w:noWrap w:val="0"/>
                  <w:vAlign w:val="center"/>
                </w:tcPr>
                <w:p w14:paraId="67134D2F">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lang w:eastAsia="zh-CN"/>
                    </w:rPr>
                  </w:pPr>
                  <w:r>
                    <w:rPr>
                      <w:rFonts w:hint="eastAsia" w:ascii="宋体" w:hAnsi="宋体" w:eastAsia="宋体" w:cs="宋体"/>
                      <w:sz w:val="21"/>
                      <w:lang w:eastAsia="zh-CN"/>
                    </w:rPr>
                    <w:t>供气</w:t>
                  </w:r>
                </w:p>
              </w:tc>
              <w:tc>
                <w:tcPr>
                  <w:tcW w:w="1014" w:type="pct"/>
                  <w:noWrap w:val="0"/>
                  <w:vAlign w:val="center"/>
                </w:tcPr>
                <w:p w14:paraId="315A4CE9">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lang w:eastAsia="zh-CN"/>
                    </w:rPr>
                  </w:pPr>
                  <w:r>
                    <w:rPr>
                      <w:rFonts w:hint="eastAsia" w:ascii="宋体" w:hAnsi="宋体" w:eastAsia="宋体" w:cs="宋体"/>
                      <w:sz w:val="21"/>
                      <w:lang w:eastAsia="zh-CN"/>
                    </w:rPr>
                    <w:t>天然气管道</w:t>
                  </w:r>
                </w:p>
              </w:tc>
              <w:tc>
                <w:tcPr>
                  <w:tcW w:w="652" w:type="pct"/>
                  <w:noWrap w:val="0"/>
                  <w:vAlign w:val="center"/>
                </w:tcPr>
                <w:p w14:paraId="229D6EA3">
                  <w:pPr>
                    <w:pStyle w:val="63"/>
                    <w:keepNext w:val="0"/>
                    <w:keepLines w:val="0"/>
                    <w:suppressLineNumbers w:val="0"/>
                    <w:adjustRightInd w:val="0"/>
                    <w:snapToGrid w:val="0"/>
                    <w:spacing w:before="0" w:beforeAutospacing="0" w:after="0" w:afterAutospacing="0" w:line="240" w:lineRule="atLeast"/>
                    <w:ind w:left="0" w:right="0"/>
                    <w:rPr>
                      <w:rFonts w:hint="default" w:ascii="宋体" w:hAnsi="宋体" w:eastAsia="宋体" w:cs="宋体"/>
                      <w:sz w:val="21"/>
                      <w:lang w:val="en-US" w:eastAsia="zh-CN"/>
                    </w:rPr>
                  </w:pPr>
                  <w:r>
                    <w:rPr>
                      <w:rFonts w:hint="eastAsia" w:ascii="宋体" w:hAnsi="宋体" w:eastAsia="宋体" w:cs="宋体"/>
                      <w:sz w:val="21"/>
                      <w:lang w:val="en-US" w:eastAsia="zh-CN"/>
                    </w:rPr>
                    <w:t>10万立方/年</w:t>
                  </w:r>
                </w:p>
              </w:tc>
              <w:tc>
                <w:tcPr>
                  <w:tcW w:w="1438" w:type="pct"/>
                  <w:noWrap w:val="0"/>
                  <w:vAlign w:val="center"/>
                </w:tcPr>
                <w:p w14:paraId="6BAE334C">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lang w:val="en-US" w:eastAsia="zh-CN"/>
                    </w:rPr>
                  </w:pPr>
                  <w:r>
                    <w:rPr>
                      <w:rFonts w:hint="eastAsia" w:ascii="宋体" w:hAnsi="宋体" w:eastAsia="宋体" w:cs="宋体"/>
                      <w:sz w:val="21"/>
                      <w:lang w:val="en-US" w:eastAsia="zh-CN"/>
                    </w:rPr>
                    <w:t>/</w:t>
                  </w:r>
                </w:p>
              </w:tc>
            </w:tr>
            <w:tr w14:paraId="59E428DD">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106" w:hRule="atLeast"/>
                <w:jc w:val="center"/>
              </w:trPr>
              <w:tc>
                <w:tcPr>
                  <w:tcW w:w="440" w:type="pct"/>
                  <w:vMerge w:val="continue"/>
                  <w:noWrap w:val="0"/>
                  <w:vAlign w:val="center"/>
                </w:tcPr>
                <w:p w14:paraId="3238DFB3">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p>
              </w:tc>
              <w:tc>
                <w:tcPr>
                  <w:tcW w:w="1454" w:type="pct"/>
                  <w:noWrap w:val="0"/>
                  <w:vAlign w:val="center"/>
                </w:tcPr>
                <w:p w14:paraId="4250989C">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供电</w:t>
                  </w:r>
                </w:p>
              </w:tc>
              <w:tc>
                <w:tcPr>
                  <w:tcW w:w="1014" w:type="pct"/>
                  <w:noWrap w:val="0"/>
                  <w:vAlign w:val="center"/>
                </w:tcPr>
                <w:p w14:paraId="2440133F">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市政供电系统</w:t>
                  </w:r>
                </w:p>
              </w:tc>
              <w:tc>
                <w:tcPr>
                  <w:tcW w:w="652" w:type="pct"/>
                  <w:noWrap w:val="0"/>
                  <w:vAlign w:val="center"/>
                </w:tcPr>
                <w:p w14:paraId="489E7677">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lang w:val="en-US" w:eastAsia="zh-CN"/>
                    </w:rPr>
                    <w:t>1</w:t>
                  </w:r>
                  <w:r>
                    <w:rPr>
                      <w:rFonts w:hint="eastAsia" w:ascii="宋体" w:hAnsi="宋体" w:eastAsia="宋体" w:cs="宋体"/>
                      <w:sz w:val="21"/>
                    </w:rPr>
                    <w:t>0</w:t>
                  </w:r>
                  <w:r>
                    <w:rPr>
                      <w:rFonts w:hint="eastAsia" w:ascii="宋体" w:hAnsi="宋体" w:eastAsia="宋体" w:cs="宋体"/>
                      <w:sz w:val="21"/>
                      <w:lang w:val="en-US" w:eastAsia="zh-CN"/>
                    </w:rPr>
                    <w:t>0</w:t>
                  </w:r>
                  <w:r>
                    <w:rPr>
                      <w:rFonts w:hint="eastAsia" w:ascii="宋体" w:hAnsi="宋体" w:eastAsia="宋体" w:cs="宋体"/>
                      <w:sz w:val="21"/>
                    </w:rPr>
                    <w:t>万Kwh/年</w:t>
                  </w:r>
                </w:p>
              </w:tc>
              <w:tc>
                <w:tcPr>
                  <w:tcW w:w="1438" w:type="pct"/>
                  <w:noWrap w:val="0"/>
                  <w:vAlign w:val="center"/>
                </w:tcPr>
                <w:p w14:paraId="1155B33F">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w:t>
                  </w:r>
                </w:p>
              </w:tc>
            </w:tr>
            <w:tr w14:paraId="1978CCC0">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106" w:hRule="atLeast"/>
                <w:jc w:val="center"/>
              </w:trPr>
              <w:tc>
                <w:tcPr>
                  <w:tcW w:w="440" w:type="pct"/>
                  <w:vMerge w:val="restart"/>
                  <w:noWrap w:val="0"/>
                  <w:vAlign w:val="center"/>
                </w:tcPr>
                <w:p w14:paraId="7D2153DE">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环保</w:t>
                  </w:r>
                </w:p>
                <w:p w14:paraId="41AB98AA">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工程</w:t>
                  </w:r>
                </w:p>
              </w:tc>
              <w:tc>
                <w:tcPr>
                  <w:tcW w:w="1454" w:type="pct"/>
                  <w:vMerge w:val="restart"/>
                  <w:noWrap w:val="0"/>
                  <w:vAlign w:val="center"/>
                </w:tcPr>
                <w:p w14:paraId="70BBC46E">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废气</w:t>
                  </w:r>
                </w:p>
              </w:tc>
              <w:tc>
                <w:tcPr>
                  <w:tcW w:w="1666" w:type="pct"/>
                  <w:gridSpan w:val="2"/>
                  <w:noWrap w:val="0"/>
                  <w:vAlign w:val="center"/>
                </w:tcPr>
                <w:p w14:paraId="0ABA8014">
                  <w:pPr>
                    <w:pStyle w:val="68"/>
                    <w:keepNext w:val="0"/>
                    <w:keepLines w:val="0"/>
                    <w:suppressLineNumbers w:val="0"/>
                    <w:autoSpaceDE w:val="0"/>
                    <w:adjustRightInd w:val="0"/>
                    <w:snapToGrid w:val="0"/>
                    <w:spacing w:before="0" w:beforeAutospacing="0" w:after="0" w:afterAutospacing="0" w:line="240" w:lineRule="atLeast"/>
                    <w:ind w:left="0" w:leftChars="0" w:right="0" w:rightChars="0"/>
                    <w:rPr>
                      <w:rFonts w:hint="eastAsia" w:ascii="宋体" w:hAnsi="宋体" w:eastAsia="宋体" w:cs="宋体"/>
                      <w:kern w:val="2"/>
                      <w:sz w:val="21"/>
                      <w:szCs w:val="21"/>
                      <w:lang w:val="en-US" w:eastAsia="zh-CN" w:bidi="zh-CN"/>
                    </w:rPr>
                  </w:pPr>
                  <w:r>
                    <w:rPr>
                      <w:rFonts w:hint="eastAsia"/>
                      <w:sz w:val="21"/>
                      <w:szCs w:val="21"/>
                      <w:lang w:val="en-US" w:eastAsia="zh-CN"/>
                    </w:rPr>
                    <w:t>旋风除尘+布袋除尘设施+15m排气筒</w:t>
                  </w:r>
                  <w:r>
                    <w:rPr>
                      <w:rFonts w:hint="eastAsia"/>
                      <w:sz w:val="21"/>
                      <w:szCs w:val="21"/>
                      <w:lang w:val="en-US"/>
                    </w:rPr>
                    <w:t>，风</w:t>
                  </w:r>
                  <w:r>
                    <w:rPr>
                      <w:rFonts w:hint="eastAsia"/>
                      <w:color w:val="auto"/>
                      <w:sz w:val="21"/>
                      <w:szCs w:val="21"/>
                      <w:lang w:val="en-US"/>
                    </w:rPr>
                    <w:t>量为</w:t>
                  </w:r>
                  <w:r>
                    <w:rPr>
                      <w:rFonts w:hint="eastAsia"/>
                      <w:color w:val="auto"/>
                      <w:sz w:val="21"/>
                      <w:szCs w:val="21"/>
                      <w:lang w:val="en-US" w:eastAsia="zh-CN"/>
                    </w:rPr>
                    <w:t>12000</w:t>
                  </w:r>
                  <w:r>
                    <w:rPr>
                      <w:rFonts w:hint="eastAsia"/>
                      <w:color w:val="auto"/>
                      <w:sz w:val="21"/>
                      <w:szCs w:val="21"/>
                      <w:lang w:val="en-US"/>
                    </w:rPr>
                    <w:t>m</w:t>
                  </w:r>
                  <w:r>
                    <w:rPr>
                      <w:rFonts w:hint="eastAsia"/>
                      <w:color w:val="auto"/>
                      <w:sz w:val="21"/>
                      <w:szCs w:val="21"/>
                      <w:vertAlign w:val="superscript"/>
                      <w:lang w:val="en-US"/>
                    </w:rPr>
                    <w:t>3</w:t>
                  </w:r>
                  <w:r>
                    <w:rPr>
                      <w:rFonts w:hint="eastAsia"/>
                      <w:color w:val="auto"/>
                      <w:sz w:val="21"/>
                      <w:szCs w:val="21"/>
                      <w:lang w:val="en-US"/>
                    </w:rPr>
                    <w:t>/h</w:t>
                  </w:r>
                </w:p>
              </w:tc>
              <w:tc>
                <w:tcPr>
                  <w:tcW w:w="1438" w:type="pct"/>
                  <w:noWrap w:val="0"/>
                  <w:vAlign w:val="center"/>
                </w:tcPr>
                <w:p w14:paraId="63B8760F">
                  <w:pPr>
                    <w:keepNext w:val="0"/>
                    <w:keepLines w:val="0"/>
                    <w:suppressLineNumbers w:val="0"/>
                    <w:autoSpaceDE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w:t>
                  </w:r>
                  <w:r>
                    <w:rPr>
                      <w:rFonts w:hint="eastAsia" w:ascii="宋体" w:hAnsi="宋体" w:eastAsia="宋体" w:cs="宋体"/>
                      <w:sz w:val="21"/>
                      <w:szCs w:val="21"/>
                    </w:rPr>
                    <w:t>套，用于处理喷</w:t>
                  </w:r>
                  <w:r>
                    <w:rPr>
                      <w:rFonts w:hint="eastAsia" w:ascii="宋体" w:hAnsi="宋体" w:eastAsia="宋体" w:cs="宋体"/>
                      <w:sz w:val="21"/>
                      <w:szCs w:val="21"/>
                      <w:lang w:val="en-US" w:eastAsia="zh-CN"/>
                    </w:rPr>
                    <w:t>塑</w:t>
                  </w:r>
                  <w:r>
                    <w:rPr>
                      <w:rFonts w:hint="eastAsia" w:ascii="宋体" w:hAnsi="宋体" w:eastAsia="宋体" w:cs="宋体"/>
                      <w:sz w:val="21"/>
                      <w:szCs w:val="21"/>
                    </w:rPr>
                    <w:t>废气</w:t>
                  </w:r>
                </w:p>
              </w:tc>
            </w:tr>
            <w:tr w14:paraId="236BE741">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106" w:hRule="atLeast"/>
                <w:jc w:val="center"/>
              </w:trPr>
              <w:tc>
                <w:tcPr>
                  <w:tcW w:w="440" w:type="pct"/>
                  <w:vMerge w:val="continue"/>
                  <w:noWrap w:val="0"/>
                  <w:vAlign w:val="center"/>
                </w:tcPr>
                <w:p w14:paraId="1B953342">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p>
              </w:tc>
              <w:tc>
                <w:tcPr>
                  <w:tcW w:w="1454" w:type="pct"/>
                  <w:vMerge w:val="continue"/>
                  <w:noWrap w:val="0"/>
                  <w:vAlign w:val="center"/>
                </w:tcPr>
                <w:p w14:paraId="4A10CA81">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p>
              </w:tc>
              <w:tc>
                <w:tcPr>
                  <w:tcW w:w="1666" w:type="pct"/>
                  <w:gridSpan w:val="2"/>
                  <w:noWrap w:val="0"/>
                  <w:vAlign w:val="center"/>
                </w:tcPr>
                <w:p w14:paraId="73F3B3C9">
                  <w:pPr>
                    <w:pStyle w:val="68"/>
                    <w:keepNext w:val="0"/>
                    <w:keepLines w:val="0"/>
                    <w:suppressLineNumbers w:val="0"/>
                    <w:autoSpaceDE w:val="0"/>
                    <w:adjustRightInd w:val="0"/>
                    <w:snapToGrid w:val="0"/>
                    <w:spacing w:before="0" w:beforeAutospacing="0" w:after="0" w:afterAutospacing="0" w:line="240" w:lineRule="atLeast"/>
                    <w:ind w:left="0" w:right="0"/>
                    <w:rPr>
                      <w:rFonts w:hint="default"/>
                      <w:sz w:val="21"/>
                      <w:szCs w:val="21"/>
                      <w:lang w:val="en-US"/>
                    </w:rPr>
                  </w:pPr>
                  <w:r>
                    <w:rPr>
                      <w:rFonts w:hint="eastAsia"/>
                      <w:sz w:val="21"/>
                      <w:szCs w:val="21"/>
                      <w:lang w:val="en-US" w:eastAsia="zh-CN"/>
                    </w:rPr>
                    <w:t>脉冲式布袋除尘器+15m排气筒</w:t>
                  </w:r>
                  <w:r>
                    <w:rPr>
                      <w:rFonts w:hint="eastAsia"/>
                      <w:sz w:val="21"/>
                      <w:szCs w:val="21"/>
                      <w:lang w:val="en-US"/>
                    </w:rPr>
                    <w:t>，风量为</w:t>
                  </w:r>
                  <w:r>
                    <w:rPr>
                      <w:rFonts w:hint="eastAsia"/>
                      <w:sz w:val="21"/>
                      <w:szCs w:val="21"/>
                      <w:lang w:val="en-US" w:eastAsia="zh-CN"/>
                    </w:rPr>
                    <w:t>6</w:t>
                  </w:r>
                  <w:r>
                    <w:rPr>
                      <w:rFonts w:hint="eastAsia"/>
                      <w:sz w:val="21"/>
                      <w:szCs w:val="21"/>
                      <w:lang w:val="en-US"/>
                    </w:rPr>
                    <w:t>000m</w:t>
                  </w:r>
                  <w:r>
                    <w:rPr>
                      <w:rFonts w:hint="eastAsia"/>
                      <w:sz w:val="21"/>
                      <w:szCs w:val="21"/>
                      <w:vertAlign w:val="superscript"/>
                      <w:lang w:val="en-US"/>
                    </w:rPr>
                    <w:t>3</w:t>
                  </w:r>
                  <w:r>
                    <w:rPr>
                      <w:rFonts w:hint="eastAsia"/>
                      <w:sz w:val="21"/>
                      <w:szCs w:val="21"/>
                      <w:lang w:val="en-US"/>
                    </w:rPr>
                    <w:t>/h</w:t>
                  </w:r>
                </w:p>
              </w:tc>
              <w:tc>
                <w:tcPr>
                  <w:tcW w:w="1438" w:type="pct"/>
                  <w:noWrap w:val="0"/>
                  <w:vAlign w:val="center"/>
                </w:tcPr>
                <w:p w14:paraId="5F2C5581">
                  <w:pPr>
                    <w:keepNext w:val="0"/>
                    <w:keepLines w:val="0"/>
                    <w:suppressLineNumbers w:val="0"/>
                    <w:autoSpaceDE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rPr>
                  </w:pPr>
                  <w:r>
                    <w:rPr>
                      <w:rFonts w:hint="eastAsia" w:ascii="宋体" w:hAnsi="宋体" w:eastAsia="宋体" w:cs="宋体"/>
                      <w:sz w:val="21"/>
                      <w:szCs w:val="21"/>
                      <w:lang w:val="en-US" w:eastAsia="zh-CN"/>
                    </w:rPr>
                    <w:t>1</w:t>
                  </w:r>
                  <w:r>
                    <w:rPr>
                      <w:rFonts w:hint="eastAsia" w:ascii="宋体" w:hAnsi="宋体" w:eastAsia="宋体" w:cs="宋体"/>
                      <w:sz w:val="21"/>
                      <w:szCs w:val="21"/>
                    </w:rPr>
                    <w:t>套，用于处理</w:t>
                  </w:r>
                  <w:r>
                    <w:rPr>
                      <w:rFonts w:hint="eastAsia" w:ascii="宋体" w:hAnsi="宋体" w:eastAsia="宋体" w:cs="宋体"/>
                      <w:sz w:val="21"/>
                      <w:szCs w:val="21"/>
                      <w:lang w:val="en-US" w:eastAsia="zh-CN"/>
                    </w:rPr>
                    <w:t>喷砂、打磨废气</w:t>
                  </w:r>
                </w:p>
              </w:tc>
            </w:tr>
            <w:tr w14:paraId="171FB74F">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106" w:hRule="atLeast"/>
                <w:jc w:val="center"/>
              </w:trPr>
              <w:tc>
                <w:tcPr>
                  <w:tcW w:w="440" w:type="pct"/>
                  <w:vMerge w:val="continue"/>
                  <w:noWrap w:val="0"/>
                  <w:vAlign w:val="center"/>
                </w:tcPr>
                <w:p w14:paraId="5B0A005A">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p>
              </w:tc>
              <w:tc>
                <w:tcPr>
                  <w:tcW w:w="1454" w:type="pct"/>
                  <w:vMerge w:val="continue"/>
                  <w:noWrap w:val="0"/>
                  <w:vAlign w:val="center"/>
                </w:tcPr>
                <w:p w14:paraId="475992AF">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p>
              </w:tc>
              <w:tc>
                <w:tcPr>
                  <w:tcW w:w="1666" w:type="pct"/>
                  <w:gridSpan w:val="2"/>
                  <w:noWrap w:val="0"/>
                  <w:vAlign w:val="center"/>
                </w:tcPr>
                <w:p w14:paraId="087B2611">
                  <w:pPr>
                    <w:pStyle w:val="68"/>
                    <w:keepNext w:val="0"/>
                    <w:keepLines w:val="0"/>
                    <w:suppressLineNumbers w:val="0"/>
                    <w:autoSpaceDE w:val="0"/>
                    <w:adjustRightInd w:val="0"/>
                    <w:snapToGrid w:val="0"/>
                    <w:spacing w:before="0" w:beforeAutospacing="0" w:after="0" w:afterAutospacing="0" w:line="240" w:lineRule="atLeast"/>
                    <w:ind w:left="0" w:leftChars="0" w:right="0" w:rightChars="0"/>
                    <w:rPr>
                      <w:rFonts w:hint="eastAsia" w:ascii="宋体" w:hAnsi="宋体" w:eastAsia="宋体" w:cs="宋体"/>
                      <w:kern w:val="2"/>
                      <w:sz w:val="21"/>
                      <w:szCs w:val="21"/>
                      <w:lang w:val="en-US" w:eastAsia="zh-CN" w:bidi="zh-CN"/>
                    </w:rPr>
                  </w:pPr>
                  <w:r>
                    <w:rPr>
                      <w:rFonts w:hint="eastAsia"/>
                      <w:sz w:val="21"/>
                      <w:szCs w:val="21"/>
                      <w:lang w:val="en-US" w:eastAsia="zh-CN"/>
                    </w:rPr>
                    <w:t>水喷淋+二级活性炭吸附设施+15m排气筒</w:t>
                  </w:r>
                  <w:r>
                    <w:rPr>
                      <w:rFonts w:hint="eastAsia"/>
                      <w:sz w:val="21"/>
                      <w:szCs w:val="21"/>
                      <w:lang w:val="en-US"/>
                    </w:rPr>
                    <w:t>，风量为1</w:t>
                  </w:r>
                  <w:r>
                    <w:rPr>
                      <w:rFonts w:hint="eastAsia"/>
                      <w:sz w:val="21"/>
                      <w:szCs w:val="21"/>
                      <w:lang w:val="en-US" w:eastAsia="zh-CN"/>
                    </w:rPr>
                    <w:t>0</w:t>
                  </w:r>
                  <w:r>
                    <w:rPr>
                      <w:rFonts w:hint="eastAsia"/>
                      <w:sz w:val="21"/>
                      <w:szCs w:val="21"/>
                      <w:lang w:val="en-US"/>
                    </w:rPr>
                    <w:t>000m</w:t>
                  </w:r>
                  <w:r>
                    <w:rPr>
                      <w:rFonts w:hint="eastAsia"/>
                      <w:sz w:val="21"/>
                      <w:szCs w:val="21"/>
                      <w:vertAlign w:val="superscript"/>
                      <w:lang w:val="en-US"/>
                    </w:rPr>
                    <w:t>3</w:t>
                  </w:r>
                  <w:r>
                    <w:rPr>
                      <w:rFonts w:hint="eastAsia"/>
                      <w:sz w:val="21"/>
                      <w:szCs w:val="21"/>
                      <w:lang w:val="en-US"/>
                    </w:rPr>
                    <w:t>/h</w:t>
                  </w:r>
                </w:p>
              </w:tc>
              <w:tc>
                <w:tcPr>
                  <w:tcW w:w="1438" w:type="pct"/>
                  <w:noWrap w:val="0"/>
                  <w:vAlign w:val="center"/>
                </w:tcPr>
                <w:p w14:paraId="68DBDD91">
                  <w:pPr>
                    <w:keepNext w:val="0"/>
                    <w:keepLines w:val="0"/>
                    <w:suppressLineNumbers w:val="0"/>
                    <w:autoSpaceDE w:val="0"/>
                    <w:adjustRightInd w:val="0"/>
                    <w:snapToGrid w:val="0"/>
                    <w:spacing w:before="0" w:beforeAutospacing="0" w:after="0" w:afterAutospacing="0" w:line="240" w:lineRule="atLeast"/>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r>
                    <w:rPr>
                      <w:rFonts w:hint="eastAsia" w:ascii="宋体" w:hAnsi="宋体" w:eastAsia="宋体" w:cs="宋体"/>
                      <w:sz w:val="21"/>
                      <w:szCs w:val="21"/>
                    </w:rPr>
                    <w:t>套，用于处理</w:t>
                  </w:r>
                  <w:r>
                    <w:rPr>
                      <w:rFonts w:hint="eastAsia" w:ascii="宋体" w:hAnsi="宋体" w:eastAsia="宋体" w:cs="宋体"/>
                      <w:sz w:val="21"/>
                      <w:szCs w:val="21"/>
                      <w:lang w:val="en-US" w:eastAsia="zh-CN"/>
                    </w:rPr>
                    <w:t>固化</w:t>
                  </w:r>
                  <w:r>
                    <w:rPr>
                      <w:rFonts w:hint="eastAsia" w:ascii="宋体" w:hAnsi="宋体" w:eastAsia="宋体" w:cs="宋体"/>
                      <w:sz w:val="21"/>
                      <w:szCs w:val="21"/>
                    </w:rPr>
                    <w:t>废气</w:t>
                  </w:r>
                </w:p>
              </w:tc>
            </w:tr>
            <w:tr w14:paraId="47B9FB20">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106" w:hRule="atLeast"/>
                <w:jc w:val="center"/>
              </w:trPr>
              <w:tc>
                <w:tcPr>
                  <w:tcW w:w="440" w:type="pct"/>
                  <w:vMerge w:val="continue"/>
                  <w:noWrap w:val="0"/>
                  <w:vAlign w:val="center"/>
                </w:tcPr>
                <w:p w14:paraId="4556E8BA">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p>
              </w:tc>
              <w:tc>
                <w:tcPr>
                  <w:tcW w:w="1454" w:type="pct"/>
                  <w:vMerge w:val="restart"/>
                  <w:noWrap w:val="0"/>
                  <w:vAlign w:val="center"/>
                </w:tcPr>
                <w:p w14:paraId="4FAD62E2">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废水</w:t>
                  </w:r>
                </w:p>
              </w:tc>
              <w:tc>
                <w:tcPr>
                  <w:tcW w:w="1666" w:type="pct"/>
                  <w:gridSpan w:val="2"/>
                  <w:noWrap w:val="0"/>
                  <w:vAlign w:val="center"/>
                </w:tcPr>
                <w:p w14:paraId="3C5B4984">
                  <w:pPr>
                    <w:pStyle w:val="63"/>
                    <w:keepNext w:val="0"/>
                    <w:keepLines w:val="0"/>
                    <w:suppressLineNumbers w:val="0"/>
                    <w:adjustRightInd w:val="0"/>
                    <w:snapToGrid w:val="0"/>
                    <w:spacing w:before="0" w:beforeAutospacing="0" w:after="0" w:afterAutospacing="0" w:line="240" w:lineRule="atLeast"/>
                    <w:ind w:left="0" w:right="0"/>
                    <w:rPr>
                      <w:rFonts w:hint="default" w:ascii="宋体" w:hAnsi="宋体" w:eastAsia="宋体" w:cs="宋体"/>
                      <w:sz w:val="21"/>
                      <w:vertAlign w:val="superscript"/>
                    </w:rPr>
                  </w:pPr>
                  <w:r>
                    <w:rPr>
                      <w:rFonts w:hint="eastAsia" w:ascii="宋体" w:hAnsi="宋体" w:eastAsia="宋体" w:cs="宋体"/>
                      <w:sz w:val="21"/>
                    </w:rPr>
                    <w:t>化粪池1座</w:t>
                  </w:r>
                  <w:r>
                    <w:rPr>
                      <w:rFonts w:hint="eastAsia" w:ascii="宋体" w:hAnsi="宋体" w:eastAsia="宋体" w:cs="宋体"/>
                      <w:sz w:val="21"/>
                      <w:lang w:val="en-US" w:eastAsia="zh-CN"/>
                    </w:rPr>
                    <w:t>8</w:t>
                  </w:r>
                  <w:r>
                    <w:rPr>
                      <w:rFonts w:hint="eastAsia" w:ascii="宋体" w:hAnsi="宋体" w:eastAsia="宋体" w:cs="宋体"/>
                      <w:sz w:val="21"/>
                    </w:rPr>
                    <w:t>m</w:t>
                  </w:r>
                  <w:r>
                    <w:rPr>
                      <w:rFonts w:hint="eastAsia" w:ascii="宋体" w:hAnsi="宋体" w:eastAsia="宋体" w:cs="宋体"/>
                      <w:sz w:val="21"/>
                      <w:vertAlign w:val="superscript"/>
                    </w:rPr>
                    <w:t>3</w:t>
                  </w:r>
                </w:p>
              </w:tc>
              <w:tc>
                <w:tcPr>
                  <w:tcW w:w="1438" w:type="pct"/>
                  <w:noWrap w:val="0"/>
                  <w:vAlign w:val="center"/>
                </w:tcPr>
                <w:p w14:paraId="001E7A86">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接入污水管网排入</w:t>
                  </w:r>
                  <w:r>
                    <w:rPr>
                      <w:rFonts w:hint="eastAsia" w:ascii="宋体" w:hAnsi="宋体" w:eastAsia="宋体" w:cs="宋体"/>
                      <w:sz w:val="21"/>
                      <w:lang w:eastAsia="zh-CN"/>
                    </w:rPr>
                    <w:t>句容市边城镇污水处理厂</w:t>
                  </w:r>
                  <w:r>
                    <w:rPr>
                      <w:rFonts w:hint="eastAsia" w:ascii="宋体" w:hAnsi="宋体" w:eastAsia="宋体" w:cs="宋体"/>
                      <w:sz w:val="21"/>
                    </w:rPr>
                    <w:t>处理</w:t>
                  </w:r>
                </w:p>
              </w:tc>
            </w:tr>
            <w:tr w14:paraId="0267E8E2">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106" w:hRule="atLeast"/>
                <w:jc w:val="center"/>
              </w:trPr>
              <w:tc>
                <w:tcPr>
                  <w:tcW w:w="440" w:type="pct"/>
                  <w:vMerge w:val="continue"/>
                  <w:noWrap w:val="0"/>
                  <w:vAlign w:val="center"/>
                </w:tcPr>
                <w:p w14:paraId="4C3211AB">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p>
              </w:tc>
              <w:tc>
                <w:tcPr>
                  <w:tcW w:w="1454" w:type="pct"/>
                  <w:vMerge w:val="continue"/>
                  <w:noWrap w:val="0"/>
                  <w:vAlign w:val="center"/>
                </w:tcPr>
                <w:p w14:paraId="431F574F">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p>
              </w:tc>
              <w:tc>
                <w:tcPr>
                  <w:tcW w:w="1666" w:type="pct"/>
                  <w:gridSpan w:val="2"/>
                  <w:noWrap w:val="0"/>
                  <w:vAlign w:val="center"/>
                </w:tcPr>
                <w:p w14:paraId="6D9C1F45">
                  <w:pPr>
                    <w:pStyle w:val="63"/>
                    <w:keepNext w:val="0"/>
                    <w:keepLines w:val="0"/>
                    <w:suppressLineNumbers w:val="0"/>
                    <w:adjustRightInd w:val="0"/>
                    <w:snapToGrid w:val="0"/>
                    <w:spacing w:before="0" w:beforeAutospacing="0" w:after="0" w:afterAutospacing="0" w:line="240" w:lineRule="atLeast"/>
                    <w:ind w:left="0" w:right="0"/>
                    <w:rPr>
                      <w:rFonts w:hint="default" w:ascii="宋体" w:hAnsi="宋体" w:eastAsia="宋体" w:cs="宋体"/>
                      <w:sz w:val="21"/>
                      <w:vertAlign w:val="baseline"/>
                      <w:lang w:val="en-US" w:eastAsia="zh-CN"/>
                    </w:rPr>
                  </w:pPr>
                  <w:r>
                    <w:rPr>
                      <w:rFonts w:hint="eastAsia" w:ascii="宋体" w:hAnsi="宋体" w:eastAsia="宋体" w:cs="宋体"/>
                      <w:sz w:val="21"/>
                      <w:lang w:val="en-US" w:eastAsia="zh-CN"/>
                    </w:rPr>
                    <w:t>污水处理站1</w:t>
                  </w:r>
                  <w:r>
                    <w:rPr>
                      <w:rFonts w:hint="eastAsia" w:ascii="宋体" w:hAnsi="宋体" w:eastAsia="宋体" w:cs="宋体"/>
                      <w:color w:val="auto"/>
                      <w:sz w:val="21"/>
                      <w:lang w:val="en-US" w:eastAsia="zh-CN"/>
                    </w:rPr>
                    <w:t>座，1t/d</w:t>
                  </w:r>
                  <w:r>
                    <w:rPr>
                      <w:rFonts w:hint="eastAsia" w:ascii="宋体" w:hAnsi="宋体" w:eastAsia="宋体" w:cs="宋体"/>
                      <w:color w:val="auto"/>
                      <w:sz w:val="21"/>
                      <w:vertAlign w:val="baseline"/>
                      <w:lang w:eastAsia="zh-CN"/>
                    </w:rPr>
                    <w:t>，</w:t>
                  </w:r>
                  <w:r>
                    <w:rPr>
                      <w:rFonts w:hint="eastAsia" w:ascii="宋体" w:hAnsi="宋体" w:eastAsia="宋体" w:cs="宋体"/>
                      <w:color w:val="auto"/>
                      <w:sz w:val="21"/>
                      <w:vertAlign w:val="baseline"/>
                      <w:lang w:val="en-US" w:eastAsia="zh-CN"/>
                    </w:rPr>
                    <w:t>采</w:t>
                  </w:r>
                  <w:r>
                    <w:rPr>
                      <w:rFonts w:hint="eastAsia" w:ascii="宋体" w:hAnsi="宋体" w:eastAsia="宋体" w:cs="宋体"/>
                      <w:sz w:val="21"/>
                      <w:vertAlign w:val="baseline"/>
                      <w:lang w:val="en-US" w:eastAsia="zh-CN"/>
                    </w:rPr>
                    <w:t>用“调节+混凝絮凝+A/O+斜管沉淀”工艺</w:t>
                  </w:r>
                </w:p>
              </w:tc>
              <w:tc>
                <w:tcPr>
                  <w:tcW w:w="1438" w:type="pct"/>
                  <w:noWrap w:val="0"/>
                  <w:vAlign w:val="center"/>
                </w:tcPr>
                <w:p w14:paraId="444A581E">
                  <w:pPr>
                    <w:pStyle w:val="63"/>
                    <w:keepNext w:val="0"/>
                    <w:keepLines w:val="0"/>
                    <w:suppressLineNumbers w:val="0"/>
                    <w:adjustRightInd w:val="0"/>
                    <w:snapToGrid w:val="0"/>
                    <w:spacing w:before="0" w:beforeAutospacing="0" w:after="0" w:afterAutospacing="0" w:line="240" w:lineRule="atLeast"/>
                    <w:ind w:left="0" w:right="0"/>
                    <w:rPr>
                      <w:rFonts w:hint="default" w:ascii="宋体" w:hAnsi="宋体" w:eastAsia="宋体" w:cs="宋体"/>
                      <w:sz w:val="21"/>
                      <w:lang w:val="en-US" w:eastAsia="zh-CN"/>
                    </w:rPr>
                  </w:pPr>
                  <w:r>
                    <w:rPr>
                      <w:rFonts w:hint="eastAsia" w:ascii="宋体" w:hAnsi="宋体" w:eastAsia="宋体" w:cs="宋体"/>
                      <w:sz w:val="21"/>
                    </w:rPr>
                    <w:t>处理</w:t>
                  </w:r>
                  <w:r>
                    <w:rPr>
                      <w:rFonts w:hint="eastAsia" w:ascii="宋体" w:hAnsi="宋体" w:eastAsia="宋体" w:cs="宋体"/>
                      <w:sz w:val="21"/>
                      <w:lang w:val="en-US" w:eastAsia="zh-CN"/>
                    </w:rPr>
                    <w:t>水洗</w:t>
                  </w:r>
                  <w:r>
                    <w:rPr>
                      <w:rFonts w:hint="eastAsia" w:ascii="宋体" w:hAnsi="宋体" w:eastAsia="宋体" w:cs="宋体"/>
                      <w:sz w:val="21"/>
                    </w:rPr>
                    <w:t>废水，</w:t>
                  </w:r>
                  <w:r>
                    <w:rPr>
                      <w:rFonts w:hint="eastAsia" w:ascii="宋体" w:hAnsi="宋体" w:eastAsia="宋体" w:cs="宋体"/>
                      <w:sz w:val="21"/>
                      <w:lang w:val="en-US" w:eastAsia="zh-CN"/>
                    </w:rPr>
                    <w:t>处理后回用，不外排</w:t>
                  </w:r>
                </w:p>
              </w:tc>
            </w:tr>
            <w:tr w14:paraId="086A631D">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106" w:hRule="atLeast"/>
                <w:jc w:val="center"/>
              </w:trPr>
              <w:tc>
                <w:tcPr>
                  <w:tcW w:w="440" w:type="pct"/>
                  <w:vMerge w:val="continue"/>
                  <w:noWrap w:val="0"/>
                  <w:vAlign w:val="center"/>
                </w:tcPr>
                <w:p w14:paraId="25612153">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p>
              </w:tc>
              <w:tc>
                <w:tcPr>
                  <w:tcW w:w="1454" w:type="pct"/>
                  <w:vMerge w:val="restart"/>
                  <w:noWrap w:val="0"/>
                  <w:vAlign w:val="center"/>
                </w:tcPr>
                <w:p w14:paraId="362E79FE">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固废</w:t>
                  </w:r>
                </w:p>
              </w:tc>
              <w:tc>
                <w:tcPr>
                  <w:tcW w:w="1666" w:type="pct"/>
                  <w:gridSpan w:val="2"/>
                  <w:noWrap w:val="0"/>
                  <w:vAlign w:val="center"/>
                </w:tcPr>
                <w:p w14:paraId="6940D5F7">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建设1座一般固废仓库</w:t>
                  </w:r>
                </w:p>
                <w:p w14:paraId="0A03C9A4">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（30m</w:t>
                  </w:r>
                  <w:r>
                    <w:rPr>
                      <w:rFonts w:hint="eastAsia" w:ascii="宋体" w:hAnsi="宋体" w:eastAsia="宋体" w:cs="宋体"/>
                      <w:sz w:val="21"/>
                      <w:vertAlign w:val="superscript"/>
                    </w:rPr>
                    <w:t>2</w:t>
                  </w:r>
                  <w:r>
                    <w:rPr>
                      <w:rFonts w:hint="eastAsia" w:ascii="宋体" w:hAnsi="宋体" w:eastAsia="宋体" w:cs="宋体"/>
                      <w:sz w:val="21"/>
                    </w:rPr>
                    <w:t>，Ⅰ类）</w:t>
                  </w:r>
                </w:p>
              </w:tc>
              <w:tc>
                <w:tcPr>
                  <w:tcW w:w="1438" w:type="pct"/>
                  <w:noWrap w:val="0"/>
                  <w:vAlign w:val="center"/>
                </w:tcPr>
                <w:p w14:paraId="00A87A47">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零排放</w:t>
                  </w:r>
                </w:p>
              </w:tc>
            </w:tr>
            <w:tr w14:paraId="5084F2C6">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106" w:hRule="atLeast"/>
                <w:jc w:val="center"/>
              </w:trPr>
              <w:tc>
                <w:tcPr>
                  <w:tcW w:w="440" w:type="pct"/>
                  <w:vMerge w:val="continue"/>
                  <w:noWrap w:val="0"/>
                  <w:vAlign w:val="center"/>
                </w:tcPr>
                <w:p w14:paraId="6D9928EE">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p>
              </w:tc>
              <w:tc>
                <w:tcPr>
                  <w:tcW w:w="1454" w:type="pct"/>
                  <w:vMerge w:val="continue"/>
                  <w:noWrap w:val="0"/>
                  <w:vAlign w:val="center"/>
                </w:tcPr>
                <w:p w14:paraId="525F4C26">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p>
              </w:tc>
              <w:tc>
                <w:tcPr>
                  <w:tcW w:w="1666" w:type="pct"/>
                  <w:gridSpan w:val="2"/>
                  <w:noWrap w:val="0"/>
                  <w:vAlign w:val="center"/>
                </w:tcPr>
                <w:p w14:paraId="135C1C3B">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建设1座</w:t>
                  </w:r>
                  <w:r>
                    <w:rPr>
                      <w:rFonts w:hint="eastAsia" w:ascii="宋体" w:hAnsi="宋体" w:eastAsia="宋体" w:cs="宋体"/>
                      <w:sz w:val="21"/>
                      <w:lang w:eastAsia="zh-CN"/>
                    </w:rPr>
                    <w:t>危废暂存间</w:t>
                  </w:r>
                  <w:r>
                    <w:rPr>
                      <w:rFonts w:hint="eastAsia" w:ascii="宋体" w:hAnsi="宋体" w:eastAsia="宋体" w:cs="宋体"/>
                      <w:sz w:val="21"/>
                    </w:rPr>
                    <w:t>（</w:t>
                  </w:r>
                  <w:r>
                    <w:rPr>
                      <w:rFonts w:hint="eastAsia" w:ascii="宋体" w:hAnsi="宋体" w:eastAsia="宋体" w:cs="宋体"/>
                      <w:sz w:val="21"/>
                      <w:lang w:val="en-US" w:eastAsia="zh-CN"/>
                    </w:rPr>
                    <w:t>20</w:t>
                  </w:r>
                  <w:r>
                    <w:rPr>
                      <w:rFonts w:hint="eastAsia" w:ascii="宋体" w:hAnsi="宋体" w:eastAsia="宋体" w:cs="宋体"/>
                      <w:sz w:val="21"/>
                    </w:rPr>
                    <w:t>m</w:t>
                  </w:r>
                  <w:r>
                    <w:rPr>
                      <w:rFonts w:hint="eastAsia" w:ascii="宋体" w:hAnsi="宋体" w:eastAsia="宋体" w:cs="宋体"/>
                      <w:sz w:val="21"/>
                      <w:vertAlign w:val="superscript"/>
                    </w:rPr>
                    <w:t>2</w:t>
                  </w:r>
                  <w:r>
                    <w:rPr>
                      <w:rFonts w:hint="eastAsia" w:ascii="宋体" w:hAnsi="宋体" w:eastAsia="宋体" w:cs="宋体"/>
                      <w:sz w:val="21"/>
                    </w:rPr>
                    <w:t>），定期委托有资质单位处置</w:t>
                  </w:r>
                </w:p>
              </w:tc>
              <w:tc>
                <w:tcPr>
                  <w:tcW w:w="1438" w:type="pct"/>
                  <w:noWrap w:val="0"/>
                  <w:vAlign w:val="center"/>
                </w:tcPr>
                <w:p w14:paraId="65AE0E2C">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零排放</w:t>
                  </w:r>
                </w:p>
              </w:tc>
            </w:tr>
            <w:tr w14:paraId="19CFC989">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106" w:hRule="atLeast"/>
                <w:jc w:val="center"/>
              </w:trPr>
              <w:tc>
                <w:tcPr>
                  <w:tcW w:w="440" w:type="pct"/>
                  <w:vMerge w:val="continue"/>
                  <w:noWrap w:val="0"/>
                  <w:vAlign w:val="center"/>
                </w:tcPr>
                <w:p w14:paraId="09F27B07">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p>
              </w:tc>
              <w:tc>
                <w:tcPr>
                  <w:tcW w:w="1454" w:type="pct"/>
                  <w:noWrap w:val="0"/>
                  <w:vAlign w:val="center"/>
                </w:tcPr>
                <w:p w14:paraId="29F17073">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噪声</w:t>
                  </w:r>
                </w:p>
              </w:tc>
              <w:tc>
                <w:tcPr>
                  <w:tcW w:w="1666" w:type="pct"/>
                  <w:gridSpan w:val="2"/>
                  <w:noWrap w:val="0"/>
                  <w:vAlign w:val="center"/>
                </w:tcPr>
                <w:p w14:paraId="0FD591D1">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室内隔声、吸声，设备隔振等</w:t>
                  </w:r>
                </w:p>
              </w:tc>
              <w:tc>
                <w:tcPr>
                  <w:tcW w:w="1438" w:type="pct"/>
                  <w:noWrap w:val="0"/>
                  <w:vAlign w:val="center"/>
                </w:tcPr>
                <w:p w14:paraId="77996AC3">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厂界达标</w:t>
                  </w:r>
                </w:p>
              </w:tc>
            </w:tr>
            <w:tr w14:paraId="4BF2A5F0">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267" w:hRule="atLeast"/>
                <w:jc w:val="center"/>
              </w:trPr>
              <w:tc>
                <w:tcPr>
                  <w:tcW w:w="440" w:type="pct"/>
                  <w:vMerge w:val="restart"/>
                  <w:noWrap w:val="0"/>
                  <w:vAlign w:val="center"/>
                </w:tcPr>
                <w:p w14:paraId="313D0346">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储运</w:t>
                  </w:r>
                </w:p>
                <w:p w14:paraId="65C6A9F2">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工程</w:t>
                  </w:r>
                </w:p>
              </w:tc>
              <w:tc>
                <w:tcPr>
                  <w:tcW w:w="1454" w:type="pct"/>
                  <w:noWrap w:val="0"/>
                  <w:vAlign w:val="center"/>
                </w:tcPr>
                <w:p w14:paraId="3F313D7D">
                  <w:pPr>
                    <w:pStyle w:val="63"/>
                    <w:keepNext w:val="0"/>
                    <w:keepLines w:val="0"/>
                    <w:suppressLineNumbers w:val="0"/>
                    <w:adjustRightInd w:val="0"/>
                    <w:snapToGrid w:val="0"/>
                    <w:spacing w:before="0" w:beforeAutospacing="0" w:after="0" w:afterAutospacing="0" w:line="240" w:lineRule="atLeast"/>
                    <w:ind w:left="0" w:leftChars="0" w:right="0" w:rightChars="0"/>
                    <w:rPr>
                      <w:rFonts w:hint="eastAsia" w:ascii="宋体" w:hAnsi="宋体" w:eastAsia="宋体" w:cs="宋体"/>
                      <w:sz w:val="21"/>
                    </w:rPr>
                  </w:pPr>
                  <w:r>
                    <w:rPr>
                      <w:rFonts w:hint="eastAsia" w:ascii="宋体" w:hAnsi="宋体" w:eastAsia="宋体" w:cs="宋体"/>
                      <w:sz w:val="21"/>
                      <w:lang w:val="en-US" w:eastAsia="zh-CN"/>
                    </w:rPr>
                    <w:t>原</w:t>
                  </w:r>
                  <w:r>
                    <w:rPr>
                      <w:rFonts w:hint="eastAsia" w:ascii="宋体" w:hAnsi="宋体" w:eastAsia="宋体" w:cs="宋体"/>
                      <w:sz w:val="21"/>
                    </w:rPr>
                    <w:t>料仓库</w:t>
                  </w:r>
                </w:p>
              </w:tc>
              <w:tc>
                <w:tcPr>
                  <w:tcW w:w="1666" w:type="pct"/>
                  <w:gridSpan w:val="2"/>
                  <w:noWrap w:val="0"/>
                  <w:vAlign w:val="center"/>
                </w:tcPr>
                <w:p w14:paraId="0201DBD0">
                  <w:pPr>
                    <w:pStyle w:val="63"/>
                    <w:keepNext w:val="0"/>
                    <w:keepLines w:val="0"/>
                    <w:suppressLineNumbers w:val="0"/>
                    <w:adjustRightInd w:val="0"/>
                    <w:snapToGrid w:val="0"/>
                    <w:spacing w:before="0" w:beforeAutospacing="0" w:after="0" w:afterAutospacing="0" w:line="240" w:lineRule="atLeast"/>
                    <w:ind w:left="0" w:leftChars="0" w:right="0" w:rightChars="0"/>
                    <w:rPr>
                      <w:rFonts w:hint="eastAsia" w:ascii="宋体" w:hAnsi="宋体" w:eastAsia="宋体" w:cs="宋体"/>
                      <w:sz w:val="21"/>
                    </w:rPr>
                  </w:pPr>
                  <w:r>
                    <w:rPr>
                      <w:rFonts w:hint="eastAsia" w:ascii="宋体" w:hAnsi="宋体" w:eastAsia="宋体" w:cs="宋体"/>
                      <w:sz w:val="21"/>
                      <w:lang w:val="en-US" w:eastAsia="zh-CN"/>
                    </w:rPr>
                    <w:t>2</w:t>
                  </w:r>
                  <w:r>
                    <w:rPr>
                      <w:rFonts w:hint="eastAsia" w:ascii="宋体" w:hAnsi="宋体" w:eastAsia="宋体" w:cs="宋体"/>
                      <w:sz w:val="21"/>
                    </w:rPr>
                    <w:t>0m</w:t>
                  </w:r>
                  <w:r>
                    <w:rPr>
                      <w:rFonts w:hint="eastAsia" w:ascii="宋体" w:hAnsi="宋体" w:eastAsia="宋体" w:cs="宋体"/>
                      <w:sz w:val="21"/>
                      <w:vertAlign w:val="superscript"/>
                    </w:rPr>
                    <w:t>2</w:t>
                  </w:r>
                </w:p>
              </w:tc>
              <w:tc>
                <w:tcPr>
                  <w:tcW w:w="1438" w:type="pct"/>
                  <w:noWrap w:val="0"/>
                  <w:vAlign w:val="center"/>
                </w:tcPr>
                <w:p w14:paraId="79744CC1">
                  <w:pPr>
                    <w:pStyle w:val="63"/>
                    <w:keepNext w:val="0"/>
                    <w:keepLines w:val="0"/>
                    <w:suppressLineNumbers w:val="0"/>
                    <w:adjustRightInd w:val="0"/>
                    <w:snapToGrid w:val="0"/>
                    <w:spacing w:before="0" w:beforeAutospacing="0" w:after="0" w:afterAutospacing="0" w:line="240" w:lineRule="atLeast"/>
                    <w:ind w:left="0" w:leftChars="0" w:right="0" w:rightChars="0"/>
                    <w:rPr>
                      <w:rFonts w:hint="eastAsia" w:ascii="宋体" w:hAnsi="宋体" w:eastAsia="宋体" w:cs="宋体"/>
                      <w:color w:val="auto"/>
                      <w:sz w:val="21"/>
                    </w:rPr>
                  </w:pPr>
                  <w:r>
                    <w:rPr>
                      <w:rFonts w:hint="eastAsia" w:ascii="宋体" w:hAnsi="宋体" w:eastAsia="宋体" w:cs="宋体"/>
                      <w:color w:val="auto"/>
                      <w:sz w:val="21"/>
                    </w:rPr>
                    <w:t>位于</w:t>
                  </w:r>
                  <w:r>
                    <w:rPr>
                      <w:rFonts w:hint="eastAsia" w:ascii="宋体" w:hAnsi="宋体" w:eastAsia="宋体" w:cs="宋体"/>
                      <w:color w:val="auto"/>
                      <w:sz w:val="21"/>
                      <w:lang w:val="en-US" w:eastAsia="zh-CN"/>
                    </w:rPr>
                    <w:t>车间</w:t>
                  </w:r>
                  <w:r>
                    <w:rPr>
                      <w:rFonts w:hint="eastAsia" w:ascii="宋体" w:hAnsi="宋体" w:eastAsia="宋体" w:cs="宋体"/>
                      <w:color w:val="auto"/>
                      <w:sz w:val="21"/>
                    </w:rPr>
                    <w:t>一层东侧</w:t>
                  </w:r>
                </w:p>
              </w:tc>
            </w:tr>
            <w:tr w14:paraId="0073C4F4">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267" w:hRule="atLeast"/>
                <w:jc w:val="center"/>
              </w:trPr>
              <w:tc>
                <w:tcPr>
                  <w:tcW w:w="440" w:type="pct"/>
                  <w:vMerge w:val="continue"/>
                  <w:noWrap w:val="0"/>
                  <w:vAlign w:val="center"/>
                </w:tcPr>
                <w:p w14:paraId="0BAC1E34">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p>
              </w:tc>
              <w:tc>
                <w:tcPr>
                  <w:tcW w:w="1454" w:type="pct"/>
                  <w:noWrap w:val="0"/>
                  <w:vAlign w:val="center"/>
                </w:tcPr>
                <w:p w14:paraId="06C08BDD">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原料堆场</w:t>
                  </w:r>
                </w:p>
              </w:tc>
              <w:tc>
                <w:tcPr>
                  <w:tcW w:w="1666" w:type="pct"/>
                  <w:gridSpan w:val="2"/>
                  <w:noWrap w:val="0"/>
                  <w:vAlign w:val="center"/>
                </w:tcPr>
                <w:p w14:paraId="3915F21E">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100m</w:t>
                  </w:r>
                  <w:r>
                    <w:rPr>
                      <w:rFonts w:hint="eastAsia" w:ascii="宋体" w:hAnsi="宋体" w:eastAsia="宋体" w:cs="宋体"/>
                      <w:sz w:val="21"/>
                      <w:vertAlign w:val="superscript"/>
                    </w:rPr>
                    <w:t>2</w:t>
                  </w:r>
                </w:p>
              </w:tc>
              <w:tc>
                <w:tcPr>
                  <w:tcW w:w="1438" w:type="pct"/>
                  <w:noWrap w:val="0"/>
                  <w:vAlign w:val="center"/>
                </w:tcPr>
                <w:p w14:paraId="31D85AA0">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color w:val="auto"/>
                      <w:sz w:val="21"/>
                    </w:rPr>
                  </w:pPr>
                  <w:r>
                    <w:rPr>
                      <w:rFonts w:hint="eastAsia" w:ascii="宋体" w:hAnsi="宋体" w:eastAsia="宋体" w:cs="宋体"/>
                      <w:color w:val="auto"/>
                      <w:sz w:val="21"/>
                    </w:rPr>
                    <w:t>位于</w:t>
                  </w:r>
                  <w:r>
                    <w:rPr>
                      <w:rFonts w:hint="eastAsia" w:ascii="宋体" w:hAnsi="宋体" w:eastAsia="宋体" w:cs="宋体"/>
                      <w:color w:val="auto"/>
                      <w:sz w:val="21"/>
                      <w:lang w:val="en-US" w:eastAsia="zh-CN"/>
                    </w:rPr>
                    <w:t>车间</w:t>
                  </w:r>
                  <w:r>
                    <w:rPr>
                      <w:rFonts w:hint="eastAsia" w:ascii="宋体" w:hAnsi="宋体" w:eastAsia="宋体" w:cs="宋体"/>
                      <w:color w:val="auto"/>
                      <w:sz w:val="21"/>
                    </w:rPr>
                    <w:t>一层</w:t>
                  </w:r>
                  <w:r>
                    <w:rPr>
                      <w:rFonts w:hint="eastAsia" w:ascii="宋体" w:hAnsi="宋体" w:eastAsia="宋体" w:cs="宋体"/>
                      <w:color w:val="auto"/>
                      <w:sz w:val="21"/>
                      <w:lang w:val="en-US" w:eastAsia="zh-CN"/>
                    </w:rPr>
                    <w:t>东</w:t>
                  </w:r>
                  <w:r>
                    <w:rPr>
                      <w:rFonts w:hint="eastAsia" w:ascii="宋体" w:hAnsi="宋体" w:eastAsia="宋体" w:cs="宋体"/>
                      <w:color w:val="auto"/>
                      <w:sz w:val="21"/>
                    </w:rPr>
                    <w:t>侧</w:t>
                  </w:r>
                </w:p>
              </w:tc>
            </w:tr>
            <w:tr w14:paraId="62AF9A3F">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267" w:hRule="atLeast"/>
                <w:jc w:val="center"/>
              </w:trPr>
              <w:tc>
                <w:tcPr>
                  <w:tcW w:w="440" w:type="pct"/>
                  <w:vMerge w:val="continue"/>
                  <w:noWrap w:val="0"/>
                  <w:vAlign w:val="center"/>
                </w:tcPr>
                <w:p w14:paraId="7ECA160D">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p>
              </w:tc>
              <w:tc>
                <w:tcPr>
                  <w:tcW w:w="1454" w:type="pct"/>
                  <w:noWrap w:val="0"/>
                  <w:vAlign w:val="center"/>
                </w:tcPr>
                <w:p w14:paraId="454375D5">
                  <w:pPr>
                    <w:pStyle w:val="63"/>
                    <w:keepNext w:val="0"/>
                    <w:keepLines w:val="0"/>
                    <w:suppressLineNumbers w:val="0"/>
                    <w:adjustRightInd w:val="0"/>
                    <w:snapToGrid w:val="0"/>
                    <w:spacing w:before="0" w:beforeAutospacing="0" w:after="0" w:afterAutospacing="0" w:line="240" w:lineRule="atLeast"/>
                    <w:ind w:left="0" w:right="0"/>
                    <w:rPr>
                      <w:rFonts w:hint="default" w:ascii="宋体" w:hAnsi="宋体" w:eastAsia="宋体" w:cs="宋体"/>
                      <w:sz w:val="21"/>
                    </w:rPr>
                  </w:pPr>
                  <w:r>
                    <w:rPr>
                      <w:rFonts w:hint="eastAsia" w:ascii="宋体" w:hAnsi="宋体" w:eastAsia="宋体" w:cs="宋体"/>
                      <w:sz w:val="21"/>
                    </w:rPr>
                    <w:t>产品堆场</w:t>
                  </w:r>
                </w:p>
              </w:tc>
              <w:tc>
                <w:tcPr>
                  <w:tcW w:w="1666" w:type="pct"/>
                  <w:gridSpan w:val="2"/>
                  <w:noWrap w:val="0"/>
                  <w:vAlign w:val="center"/>
                </w:tcPr>
                <w:p w14:paraId="22D98971">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lang w:val="en-US" w:eastAsia="zh-CN"/>
                    </w:rPr>
                    <w:t>5</w:t>
                  </w:r>
                  <w:r>
                    <w:rPr>
                      <w:rFonts w:hint="eastAsia" w:ascii="宋体" w:hAnsi="宋体" w:eastAsia="宋体" w:cs="宋体"/>
                      <w:sz w:val="21"/>
                    </w:rPr>
                    <w:t>00m</w:t>
                  </w:r>
                  <w:r>
                    <w:rPr>
                      <w:rFonts w:hint="eastAsia" w:ascii="宋体" w:hAnsi="宋体" w:eastAsia="宋体" w:cs="宋体"/>
                      <w:sz w:val="21"/>
                      <w:vertAlign w:val="superscript"/>
                    </w:rPr>
                    <w:t>2</w:t>
                  </w:r>
                </w:p>
              </w:tc>
              <w:tc>
                <w:tcPr>
                  <w:tcW w:w="1438" w:type="pct"/>
                  <w:noWrap w:val="0"/>
                  <w:vAlign w:val="center"/>
                </w:tcPr>
                <w:p w14:paraId="5C8CD4A5">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color w:val="auto"/>
                      <w:sz w:val="21"/>
                    </w:rPr>
                  </w:pPr>
                  <w:r>
                    <w:rPr>
                      <w:rFonts w:hint="eastAsia" w:ascii="宋体" w:hAnsi="宋体" w:eastAsia="宋体" w:cs="宋体"/>
                      <w:color w:val="auto"/>
                      <w:sz w:val="21"/>
                    </w:rPr>
                    <w:t>位于</w:t>
                  </w:r>
                  <w:r>
                    <w:rPr>
                      <w:rFonts w:hint="eastAsia" w:ascii="宋体" w:hAnsi="宋体" w:eastAsia="宋体" w:cs="宋体"/>
                      <w:color w:val="auto"/>
                      <w:sz w:val="21"/>
                      <w:lang w:val="en-US" w:eastAsia="zh-CN"/>
                    </w:rPr>
                    <w:t>车间</w:t>
                  </w:r>
                  <w:r>
                    <w:rPr>
                      <w:rFonts w:hint="eastAsia" w:ascii="宋体" w:hAnsi="宋体" w:eastAsia="宋体" w:cs="宋体"/>
                      <w:color w:val="auto"/>
                      <w:sz w:val="21"/>
                      <w:lang w:eastAsia="zh-CN"/>
                    </w:rPr>
                    <w:t>二</w:t>
                  </w:r>
                  <w:r>
                    <w:rPr>
                      <w:rFonts w:hint="eastAsia" w:ascii="宋体" w:hAnsi="宋体" w:eastAsia="宋体" w:cs="宋体"/>
                      <w:color w:val="auto"/>
                      <w:sz w:val="21"/>
                    </w:rPr>
                    <w:t>层南侧</w:t>
                  </w:r>
                </w:p>
              </w:tc>
            </w:tr>
          </w:tbl>
          <w:p w14:paraId="0DD2E791">
            <w:pPr>
              <w:keepNext w:val="0"/>
              <w:keepLines w:val="0"/>
              <w:suppressLineNumbers w:val="0"/>
              <w:adjustRightInd w:val="0"/>
              <w:snapToGrid w:val="0"/>
              <w:spacing w:before="0" w:beforeAutospacing="0" w:after="0" w:afterAutospacing="0"/>
              <w:ind w:left="0" w:right="0"/>
              <w:rPr>
                <w:rFonts w:hint="eastAsia" w:ascii="宋体" w:hAnsi="宋体" w:eastAsia="宋体" w:cs="宋体"/>
                <w:bCs/>
              </w:rPr>
            </w:pPr>
          </w:p>
          <w:p w14:paraId="0D1521BF">
            <w:pPr>
              <w:keepNext w:val="0"/>
              <w:keepLines w:val="0"/>
              <w:suppressLineNumbers w:val="0"/>
              <w:adjustRightInd w:val="0"/>
              <w:snapToGrid w:val="0"/>
              <w:spacing w:before="0" w:beforeAutospacing="0" w:after="0" w:afterAutospacing="0"/>
              <w:ind w:left="0" w:right="0"/>
              <w:rPr>
                <w:rFonts w:hint="eastAsia" w:ascii="宋体" w:hAnsi="宋体" w:eastAsia="宋体" w:cs="宋体"/>
                <w:b/>
                <w:bCs w:val="0"/>
              </w:rPr>
            </w:pPr>
            <w:r>
              <w:rPr>
                <w:rFonts w:hint="eastAsia" w:ascii="宋体" w:hAnsi="宋体" w:eastAsia="宋体" w:cs="宋体"/>
                <w:bCs/>
              </w:rPr>
              <w:t>3、项目主要原辅材料</w:t>
            </w:r>
            <w:r>
              <w:rPr>
                <w:rFonts w:hint="eastAsia" w:ascii="宋体" w:hAnsi="宋体" w:eastAsia="宋体" w:cs="宋体"/>
                <w:bCs/>
                <w:lang w:val="en-US" w:eastAsia="zh-CN"/>
              </w:rPr>
              <w:t xml:space="preserve">  </w:t>
            </w:r>
          </w:p>
          <w:p w14:paraId="149653FD">
            <w:pPr>
              <w:keepNext w:val="0"/>
              <w:keepLines w:val="0"/>
              <w:suppressLineNumbers w:val="0"/>
              <w:adjustRightInd w:val="0"/>
              <w:snapToGrid w:val="0"/>
              <w:spacing w:before="0" w:beforeAutospacing="0" w:after="0" w:afterAutospacing="0"/>
              <w:ind w:left="0" w:right="0" w:firstLine="241" w:firstLineChars="100"/>
              <w:jc w:val="center"/>
              <w:rPr>
                <w:rFonts w:hint="eastAsia" w:ascii="宋体" w:hAnsi="宋体" w:eastAsia="宋体" w:cs="宋体"/>
                <w:bCs/>
              </w:rPr>
            </w:pPr>
            <w:r>
              <w:rPr>
                <w:rFonts w:hint="eastAsia" w:ascii="宋体" w:hAnsi="宋体" w:eastAsia="宋体" w:cs="宋体"/>
                <w:b/>
                <w:bCs w:val="0"/>
              </w:rPr>
              <w:t>表2-</w:t>
            </w:r>
            <w:r>
              <w:rPr>
                <w:rFonts w:hint="eastAsia" w:ascii="宋体" w:hAnsi="宋体" w:eastAsia="宋体" w:cs="宋体"/>
                <w:b/>
                <w:bCs w:val="0"/>
                <w:lang w:val="en-US" w:eastAsia="zh-CN"/>
              </w:rPr>
              <w:t>4</w:t>
            </w:r>
            <w:r>
              <w:rPr>
                <w:rFonts w:hint="eastAsia" w:ascii="宋体" w:hAnsi="宋体" w:eastAsia="宋体" w:cs="宋体"/>
                <w:b/>
                <w:bCs w:val="0"/>
              </w:rPr>
              <w:t xml:space="preserve">  原辅材料一览表</w:t>
            </w:r>
          </w:p>
          <w:tbl>
            <w:tblPr>
              <w:tblStyle w:val="30"/>
              <w:tblW w:w="828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338"/>
              <w:gridCol w:w="1607"/>
              <w:gridCol w:w="783"/>
              <w:gridCol w:w="846"/>
              <w:gridCol w:w="943"/>
              <w:gridCol w:w="964"/>
              <w:gridCol w:w="1081"/>
            </w:tblGrid>
            <w:tr w14:paraId="6107F1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5" w:hRule="exact"/>
                <w:jc w:val="center"/>
              </w:trPr>
              <w:tc>
                <w:tcPr>
                  <w:tcW w:w="719" w:type="dxa"/>
                  <w:noWrap w:val="0"/>
                  <w:vAlign w:val="center"/>
                </w:tcPr>
                <w:p w14:paraId="4316DB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1338" w:type="dxa"/>
                  <w:noWrap w:val="0"/>
                  <w:vAlign w:val="center"/>
                </w:tcPr>
                <w:p w14:paraId="35D409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名称</w:t>
                  </w:r>
                </w:p>
              </w:tc>
              <w:tc>
                <w:tcPr>
                  <w:tcW w:w="1607" w:type="dxa"/>
                  <w:noWrap w:val="0"/>
                  <w:vAlign w:val="center"/>
                </w:tcPr>
                <w:p w14:paraId="3993FF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规格、组分</w:t>
                  </w:r>
                </w:p>
              </w:tc>
              <w:tc>
                <w:tcPr>
                  <w:tcW w:w="783" w:type="dxa"/>
                  <w:noWrap w:val="0"/>
                  <w:vAlign w:val="center"/>
                </w:tcPr>
                <w:p w14:paraId="3DB883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单位</w:t>
                  </w:r>
                </w:p>
              </w:tc>
              <w:tc>
                <w:tcPr>
                  <w:tcW w:w="846" w:type="dxa"/>
                  <w:noWrap w:val="0"/>
                  <w:vAlign w:val="center"/>
                </w:tcPr>
                <w:p w14:paraId="233752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bCs/>
                      <w:color w:val="auto"/>
                      <w:sz w:val="21"/>
                      <w:szCs w:val="21"/>
                      <w:lang w:val="zh-CN" w:bidi="zh-CN"/>
                    </w:rPr>
                  </w:pPr>
                  <w:r>
                    <w:rPr>
                      <w:rFonts w:hint="eastAsia" w:ascii="宋体" w:hAnsi="宋体" w:eastAsia="宋体" w:cs="宋体"/>
                      <w:b/>
                      <w:bCs/>
                      <w:color w:val="auto"/>
                      <w:sz w:val="21"/>
                      <w:szCs w:val="21"/>
                    </w:rPr>
                    <w:t>消耗量</w:t>
                  </w:r>
                </w:p>
              </w:tc>
              <w:tc>
                <w:tcPr>
                  <w:tcW w:w="943" w:type="dxa"/>
                  <w:noWrap w:val="0"/>
                  <w:vAlign w:val="center"/>
                </w:tcPr>
                <w:p w14:paraId="7F4706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最大储存量t</w:t>
                  </w:r>
                </w:p>
              </w:tc>
              <w:tc>
                <w:tcPr>
                  <w:tcW w:w="964" w:type="dxa"/>
                  <w:noWrap w:val="0"/>
                  <w:vAlign w:val="center"/>
                </w:tcPr>
                <w:p w14:paraId="38D00A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存放</w:t>
                  </w:r>
                </w:p>
                <w:p w14:paraId="0FB85A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地点</w:t>
                  </w:r>
                </w:p>
              </w:tc>
              <w:tc>
                <w:tcPr>
                  <w:tcW w:w="1081" w:type="dxa"/>
                  <w:noWrap w:val="0"/>
                  <w:vAlign w:val="center"/>
                </w:tcPr>
                <w:p w14:paraId="38940C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包装规格</w:t>
                  </w:r>
                </w:p>
              </w:tc>
            </w:tr>
            <w:tr w14:paraId="1F9FC8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719" w:type="dxa"/>
                  <w:noWrap w:val="0"/>
                  <w:vAlign w:val="center"/>
                </w:tcPr>
                <w:p w14:paraId="363928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338" w:type="dxa"/>
                  <w:noWrap w:val="0"/>
                  <w:vAlign w:val="center"/>
                </w:tcPr>
                <w:p w14:paraId="24B0EC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钢材</w:t>
                  </w:r>
                </w:p>
              </w:tc>
              <w:tc>
                <w:tcPr>
                  <w:tcW w:w="1607" w:type="dxa"/>
                  <w:noWrap w:val="0"/>
                  <w:vAlign w:val="center"/>
                </w:tcPr>
                <w:p w14:paraId="5CBB67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783" w:type="dxa"/>
                  <w:noWrap w:val="0"/>
                  <w:vAlign w:val="center"/>
                </w:tcPr>
                <w:p w14:paraId="63639A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吨/年</w:t>
                  </w:r>
                </w:p>
              </w:tc>
              <w:tc>
                <w:tcPr>
                  <w:tcW w:w="846" w:type="dxa"/>
                  <w:noWrap w:val="0"/>
                  <w:vAlign w:val="center"/>
                </w:tcPr>
                <w:p w14:paraId="3036D7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1000</w:t>
                  </w:r>
                </w:p>
              </w:tc>
              <w:tc>
                <w:tcPr>
                  <w:tcW w:w="943" w:type="dxa"/>
                  <w:noWrap w:val="0"/>
                  <w:vAlign w:val="center"/>
                </w:tcPr>
                <w:p w14:paraId="15C326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100</w:t>
                  </w:r>
                </w:p>
              </w:tc>
              <w:tc>
                <w:tcPr>
                  <w:tcW w:w="964" w:type="dxa"/>
                  <w:noWrap w:val="0"/>
                  <w:vAlign w:val="center"/>
                </w:tcPr>
                <w:p w14:paraId="6EB1CC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原料</w:t>
                  </w:r>
                </w:p>
                <w:p w14:paraId="35EFB0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堆场</w:t>
                  </w:r>
                </w:p>
              </w:tc>
              <w:tc>
                <w:tcPr>
                  <w:tcW w:w="1081" w:type="dxa"/>
                  <w:noWrap w:val="0"/>
                  <w:vAlign w:val="center"/>
                </w:tcPr>
                <w:p w14:paraId="31D555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bidi="zh-CN"/>
                    </w:rPr>
                  </w:pPr>
                  <w:r>
                    <w:rPr>
                      <w:rFonts w:hint="eastAsia" w:ascii="宋体" w:hAnsi="宋体" w:eastAsia="宋体" w:cs="宋体"/>
                      <w:color w:val="auto"/>
                      <w:sz w:val="21"/>
                      <w:szCs w:val="21"/>
                      <w:lang w:bidi="zh-CN"/>
                    </w:rPr>
                    <w:t>散装</w:t>
                  </w:r>
                </w:p>
              </w:tc>
            </w:tr>
            <w:tr w14:paraId="2693FD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719" w:type="dxa"/>
                  <w:noWrap w:val="0"/>
                  <w:vAlign w:val="center"/>
                </w:tcPr>
                <w:p w14:paraId="3A612C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338" w:type="dxa"/>
                  <w:noWrap w:val="0"/>
                  <w:vAlign w:val="center"/>
                </w:tcPr>
                <w:p w14:paraId="3E3483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无磷</w:t>
                  </w:r>
                  <w:r>
                    <w:rPr>
                      <w:rFonts w:hint="eastAsia" w:ascii="宋体" w:hAnsi="宋体" w:eastAsia="宋体" w:cs="宋体"/>
                      <w:color w:val="auto"/>
                      <w:sz w:val="21"/>
                      <w:szCs w:val="21"/>
                    </w:rPr>
                    <w:t>脱脂剂</w:t>
                  </w:r>
                </w:p>
              </w:tc>
              <w:tc>
                <w:tcPr>
                  <w:tcW w:w="1607" w:type="dxa"/>
                  <w:noWrap w:val="0"/>
                  <w:vAlign w:val="center"/>
                </w:tcPr>
                <w:p w14:paraId="6B39BD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氢氧化钠28%、葡萄糖酸钠2%、氢氧化钾10%、水60%</w:t>
                  </w:r>
                </w:p>
              </w:tc>
              <w:tc>
                <w:tcPr>
                  <w:tcW w:w="783" w:type="dxa"/>
                  <w:noWrap w:val="0"/>
                  <w:vAlign w:val="center"/>
                </w:tcPr>
                <w:p w14:paraId="4F0DD6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吨/年</w:t>
                  </w:r>
                </w:p>
              </w:tc>
              <w:tc>
                <w:tcPr>
                  <w:tcW w:w="846" w:type="dxa"/>
                  <w:noWrap w:val="0"/>
                  <w:vAlign w:val="center"/>
                </w:tcPr>
                <w:p w14:paraId="0F0F96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default" w:ascii="宋体" w:hAnsi="宋体" w:eastAsia="宋体" w:cs="宋体"/>
                      <w:color w:val="auto"/>
                      <w:sz w:val="21"/>
                      <w:szCs w:val="21"/>
                      <w:lang w:val="en-US"/>
                    </w:rPr>
                  </w:pPr>
                  <w:r>
                    <w:rPr>
                      <w:rFonts w:hint="eastAsia" w:ascii="宋体" w:hAnsi="宋体" w:eastAsia="宋体" w:cs="宋体"/>
                      <w:color w:val="auto"/>
                      <w:sz w:val="21"/>
                      <w:szCs w:val="21"/>
                      <w:lang w:val="en-US" w:eastAsia="zh-CN"/>
                    </w:rPr>
                    <w:t>0.3</w:t>
                  </w:r>
                </w:p>
              </w:tc>
              <w:tc>
                <w:tcPr>
                  <w:tcW w:w="943" w:type="dxa"/>
                  <w:noWrap w:val="0"/>
                  <w:vAlign w:val="center"/>
                </w:tcPr>
                <w:p w14:paraId="1622F5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0.1</w:t>
                  </w:r>
                </w:p>
              </w:tc>
              <w:tc>
                <w:tcPr>
                  <w:tcW w:w="964" w:type="dxa"/>
                  <w:noWrap w:val="0"/>
                  <w:vAlign w:val="center"/>
                </w:tcPr>
                <w:p w14:paraId="2A1A6A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原料</w:t>
                  </w:r>
                </w:p>
                <w:p w14:paraId="405973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仓库</w:t>
                  </w:r>
                </w:p>
              </w:tc>
              <w:tc>
                <w:tcPr>
                  <w:tcW w:w="1081" w:type="dxa"/>
                  <w:noWrap w:val="0"/>
                  <w:vAlign w:val="center"/>
                </w:tcPr>
                <w:p w14:paraId="0747B9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eastAsia" w:ascii="宋体" w:hAnsi="宋体" w:eastAsia="宋体" w:cs="宋体"/>
                      <w:color w:val="auto"/>
                      <w:sz w:val="21"/>
                      <w:szCs w:val="21"/>
                      <w:lang w:bidi="zh-CN"/>
                    </w:rPr>
                  </w:pPr>
                  <w:r>
                    <w:rPr>
                      <w:rFonts w:hint="eastAsia" w:ascii="宋体" w:hAnsi="宋体" w:eastAsia="宋体" w:cs="宋体"/>
                      <w:color w:val="auto"/>
                      <w:sz w:val="21"/>
                      <w:szCs w:val="21"/>
                      <w:lang w:bidi="zh-CN"/>
                    </w:rPr>
                    <w:t>桶装，</w:t>
                  </w:r>
                  <w:r>
                    <w:rPr>
                      <w:rFonts w:hint="eastAsia" w:ascii="宋体" w:hAnsi="宋体" w:eastAsia="宋体" w:cs="宋体"/>
                      <w:color w:val="auto"/>
                      <w:sz w:val="21"/>
                      <w:szCs w:val="21"/>
                      <w:lang w:val="en-US" w:bidi="zh-CN"/>
                    </w:rPr>
                    <w:t>25</w:t>
                  </w:r>
                  <w:r>
                    <w:rPr>
                      <w:rFonts w:hint="eastAsia" w:ascii="宋体" w:hAnsi="宋体" w:eastAsia="宋体" w:cs="宋体"/>
                      <w:color w:val="auto"/>
                      <w:sz w:val="21"/>
                      <w:szCs w:val="21"/>
                      <w:lang w:bidi="zh-CN"/>
                    </w:rPr>
                    <w:t>kg/桶</w:t>
                  </w:r>
                </w:p>
              </w:tc>
            </w:tr>
            <w:tr w14:paraId="1E97B9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719" w:type="dxa"/>
                  <w:noWrap w:val="0"/>
                  <w:vAlign w:val="center"/>
                </w:tcPr>
                <w:p w14:paraId="62355A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338" w:type="dxa"/>
                  <w:noWrap w:val="0"/>
                  <w:vAlign w:val="center"/>
                </w:tcPr>
                <w:p w14:paraId="2BFD43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硅烷处理剂</w:t>
                  </w:r>
                </w:p>
              </w:tc>
              <w:tc>
                <w:tcPr>
                  <w:tcW w:w="1607" w:type="dxa"/>
                  <w:noWrap w:val="0"/>
                  <w:vAlign w:val="center"/>
                </w:tcPr>
                <w:p w14:paraId="544122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eastAsia="zh-CN"/>
                    </w:rPr>
                    <w:t>碳酸锆2.5%、氟锆酸3%、硝酸锆1%、碳酸铵2%、3-氨基丙基三乙氧基硅烷0.5%、水91%</w:t>
                  </w:r>
                </w:p>
              </w:tc>
              <w:tc>
                <w:tcPr>
                  <w:tcW w:w="783" w:type="dxa"/>
                  <w:noWrap w:val="0"/>
                  <w:vAlign w:val="center"/>
                </w:tcPr>
                <w:p w14:paraId="12475D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吨/年</w:t>
                  </w:r>
                </w:p>
              </w:tc>
              <w:tc>
                <w:tcPr>
                  <w:tcW w:w="846" w:type="dxa"/>
                  <w:noWrap w:val="0"/>
                  <w:vAlign w:val="center"/>
                </w:tcPr>
                <w:p w14:paraId="20C122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0.3</w:t>
                  </w:r>
                </w:p>
              </w:tc>
              <w:tc>
                <w:tcPr>
                  <w:tcW w:w="943" w:type="dxa"/>
                  <w:noWrap w:val="0"/>
                  <w:vAlign w:val="center"/>
                </w:tcPr>
                <w:p w14:paraId="45238F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0.</w:t>
                  </w:r>
                  <w:r>
                    <w:rPr>
                      <w:rFonts w:hint="eastAsia" w:ascii="宋体" w:hAnsi="宋体" w:eastAsia="宋体" w:cs="宋体"/>
                      <w:color w:val="auto"/>
                      <w:sz w:val="21"/>
                      <w:szCs w:val="21"/>
                    </w:rPr>
                    <w:t>1</w:t>
                  </w:r>
                </w:p>
              </w:tc>
              <w:tc>
                <w:tcPr>
                  <w:tcW w:w="964" w:type="dxa"/>
                  <w:noWrap w:val="0"/>
                  <w:vAlign w:val="center"/>
                </w:tcPr>
                <w:p w14:paraId="068D48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原料</w:t>
                  </w:r>
                </w:p>
                <w:p w14:paraId="280332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仓库</w:t>
                  </w:r>
                </w:p>
              </w:tc>
              <w:tc>
                <w:tcPr>
                  <w:tcW w:w="1081" w:type="dxa"/>
                  <w:noWrap w:val="0"/>
                  <w:vAlign w:val="center"/>
                </w:tcPr>
                <w:p w14:paraId="186962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bidi="zh-CN"/>
                    </w:rPr>
                  </w:pPr>
                  <w:r>
                    <w:rPr>
                      <w:rFonts w:hint="eastAsia" w:ascii="宋体" w:hAnsi="宋体" w:eastAsia="宋体" w:cs="宋体"/>
                      <w:color w:val="auto"/>
                      <w:sz w:val="21"/>
                      <w:szCs w:val="21"/>
                      <w:lang w:bidi="zh-CN"/>
                    </w:rPr>
                    <w:t>桶装，</w:t>
                  </w:r>
                  <w:r>
                    <w:rPr>
                      <w:rFonts w:hint="eastAsia" w:ascii="宋体" w:hAnsi="宋体" w:eastAsia="宋体" w:cs="宋体"/>
                      <w:color w:val="auto"/>
                      <w:sz w:val="21"/>
                      <w:szCs w:val="21"/>
                      <w:lang w:val="en-US" w:bidi="zh-CN"/>
                    </w:rPr>
                    <w:t>25</w:t>
                  </w:r>
                  <w:r>
                    <w:rPr>
                      <w:rFonts w:hint="eastAsia" w:ascii="宋体" w:hAnsi="宋体" w:eastAsia="宋体" w:cs="宋体"/>
                      <w:color w:val="auto"/>
                      <w:sz w:val="21"/>
                      <w:szCs w:val="21"/>
                      <w:lang w:bidi="zh-CN"/>
                    </w:rPr>
                    <w:t>kg/桶</w:t>
                  </w:r>
                </w:p>
              </w:tc>
            </w:tr>
            <w:tr w14:paraId="426339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719" w:type="dxa"/>
                  <w:noWrap w:val="0"/>
                  <w:vAlign w:val="center"/>
                </w:tcPr>
                <w:p w14:paraId="0C65FA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p>
              </w:tc>
              <w:tc>
                <w:tcPr>
                  <w:tcW w:w="1338" w:type="dxa"/>
                  <w:noWrap w:val="0"/>
                  <w:vAlign w:val="center"/>
                </w:tcPr>
                <w:p w14:paraId="5181A3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树脂粉末</w:t>
                  </w:r>
                </w:p>
              </w:tc>
              <w:tc>
                <w:tcPr>
                  <w:tcW w:w="1607" w:type="dxa"/>
                  <w:noWrap w:val="0"/>
                  <w:vAlign w:val="center"/>
                </w:tcPr>
                <w:p w14:paraId="239912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纯聚酯60%、固化剂4.6%、助剂2.8%、钛白粉3.2%、填料28.04%、颜料1.36%</w:t>
                  </w:r>
                </w:p>
              </w:tc>
              <w:tc>
                <w:tcPr>
                  <w:tcW w:w="783" w:type="dxa"/>
                  <w:noWrap w:val="0"/>
                  <w:vAlign w:val="center"/>
                </w:tcPr>
                <w:p w14:paraId="53FA75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吨/年</w:t>
                  </w:r>
                </w:p>
              </w:tc>
              <w:tc>
                <w:tcPr>
                  <w:tcW w:w="846" w:type="dxa"/>
                  <w:noWrap w:val="0"/>
                  <w:vAlign w:val="center"/>
                </w:tcPr>
                <w:p w14:paraId="27DDD7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0</w:t>
                  </w:r>
                </w:p>
              </w:tc>
              <w:tc>
                <w:tcPr>
                  <w:tcW w:w="943" w:type="dxa"/>
                  <w:noWrap w:val="0"/>
                  <w:vAlign w:val="center"/>
                </w:tcPr>
                <w:p w14:paraId="07C389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964" w:type="dxa"/>
                  <w:noWrap w:val="0"/>
                  <w:vAlign w:val="center"/>
                </w:tcPr>
                <w:p w14:paraId="753199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原料</w:t>
                  </w:r>
                </w:p>
                <w:p w14:paraId="6ACF2F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仓库</w:t>
                  </w:r>
                </w:p>
              </w:tc>
              <w:tc>
                <w:tcPr>
                  <w:tcW w:w="1081" w:type="dxa"/>
                  <w:noWrap w:val="0"/>
                  <w:vAlign w:val="center"/>
                </w:tcPr>
                <w:p w14:paraId="7F3E77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bidi="zh-CN"/>
                    </w:rPr>
                  </w:pPr>
                  <w:r>
                    <w:rPr>
                      <w:rFonts w:hint="eastAsia" w:ascii="宋体" w:hAnsi="宋体" w:eastAsia="宋体" w:cs="宋体"/>
                      <w:color w:val="auto"/>
                      <w:sz w:val="21"/>
                      <w:szCs w:val="21"/>
                      <w:lang w:bidi="zh-CN"/>
                    </w:rPr>
                    <w:t>桶装，</w:t>
                  </w:r>
                  <w:r>
                    <w:rPr>
                      <w:rFonts w:hint="eastAsia" w:ascii="宋体" w:hAnsi="宋体" w:eastAsia="宋体" w:cs="宋体"/>
                      <w:color w:val="auto"/>
                      <w:sz w:val="21"/>
                      <w:szCs w:val="21"/>
                      <w:lang w:val="en-US" w:bidi="zh-CN"/>
                    </w:rPr>
                    <w:t>30</w:t>
                  </w:r>
                  <w:r>
                    <w:rPr>
                      <w:rFonts w:hint="eastAsia" w:ascii="宋体" w:hAnsi="宋体" w:eastAsia="宋体" w:cs="宋体"/>
                      <w:color w:val="auto"/>
                      <w:sz w:val="21"/>
                      <w:szCs w:val="21"/>
                      <w:lang w:bidi="zh-CN"/>
                    </w:rPr>
                    <w:t>kg/桶</w:t>
                  </w:r>
                </w:p>
              </w:tc>
            </w:tr>
            <w:tr w14:paraId="4520E8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9" w:type="dxa"/>
                  <w:noWrap w:val="0"/>
                  <w:vAlign w:val="center"/>
                </w:tcPr>
                <w:p w14:paraId="54B611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w:t>
                  </w:r>
                </w:p>
              </w:tc>
              <w:tc>
                <w:tcPr>
                  <w:tcW w:w="1338" w:type="dxa"/>
                  <w:noWrap w:val="0"/>
                  <w:vAlign w:val="center"/>
                </w:tcPr>
                <w:p w14:paraId="08AD05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金刚砂</w:t>
                  </w:r>
                </w:p>
              </w:tc>
              <w:tc>
                <w:tcPr>
                  <w:tcW w:w="1607" w:type="dxa"/>
                  <w:noWrap w:val="0"/>
                  <w:vAlign w:val="center"/>
                </w:tcPr>
                <w:p w14:paraId="31A8F1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783" w:type="dxa"/>
                  <w:noWrap w:val="0"/>
                  <w:vAlign w:val="center"/>
                </w:tcPr>
                <w:p w14:paraId="1A124E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吨</w:t>
                  </w:r>
                  <w:r>
                    <w:rPr>
                      <w:rFonts w:hint="eastAsia" w:ascii="宋体" w:hAnsi="宋体" w:eastAsia="宋体" w:cs="宋体"/>
                      <w:color w:val="auto"/>
                      <w:sz w:val="21"/>
                      <w:szCs w:val="21"/>
                    </w:rPr>
                    <w:t>/年</w:t>
                  </w:r>
                </w:p>
              </w:tc>
              <w:tc>
                <w:tcPr>
                  <w:tcW w:w="846" w:type="dxa"/>
                  <w:noWrap w:val="0"/>
                  <w:vAlign w:val="center"/>
                </w:tcPr>
                <w:p w14:paraId="525EDE70">
                  <w:pPr>
                    <w:keepNext w:val="0"/>
                    <w:keepLines w:val="0"/>
                    <w:pageBreakBefore w:val="0"/>
                    <w:widowControl w:val="0"/>
                    <w:suppressLineNumbers w:val="0"/>
                    <w:tabs>
                      <w:tab w:val="left" w:pos="446"/>
                      <w:tab w:val="center" w:pos="727"/>
                    </w:tabs>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0.2</w:t>
                  </w:r>
                </w:p>
              </w:tc>
              <w:tc>
                <w:tcPr>
                  <w:tcW w:w="943" w:type="dxa"/>
                  <w:noWrap w:val="0"/>
                  <w:vAlign w:val="center"/>
                </w:tcPr>
                <w:p w14:paraId="07A67056">
                  <w:pPr>
                    <w:keepNext w:val="0"/>
                    <w:keepLines w:val="0"/>
                    <w:pageBreakBefore w:val="0"/>
                    <w:widowControl w:val="0"/>
                    <w:suppressLineNumbers w:val="0"/>
                    <w:tabs>
                      <w:tab w:val="left" w:pos="446"/>
                      <w:tab w:val="center" w:pos="727"/>
                    </w:tabs>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0.1</w:t>
                  </w:r>
                </w:p>
              </w:tc>
              <w:tc>
                <w:tcPr>
                  <w:tcW w:w="964" w:type="dxa"/>
                  <w:noWrap w:val="0"/>
                  <w:vAlign w:val="center"/>
                </w:tcPr>
                <w:p w14:paraId="195C64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原料</w:t>
                  </w:r>
                </w:p>
                <w:p w14:paraId="41D04C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仓库</w:t>
                  </w:r>
                </w:p>
              </w:tc>
              <w:tc>
                <w:tcPr>
                  <w:tcW w:w="1081" w:type="dxa"/>
                  <w:noWrap w:val="0"/>
                  <w:vAlign w:val="center"/>
                </w:tcPr>
                <w:p w14:paraId="367A83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bidi="zh-CN"/>
                    </w:rPr>
                    <w:t>袋装，</w:t>
                  </w:r>
                  <w:r>
                    <w:rPr>
                      <w:rFonts w:hint="eastAsia" w:ascii="宋体" w:hAnsi="宋体" w:eastAsia="宋体" w:cs="宋体"/>
                      <w:color w:val="auto"/>
                      <w:sz w:val="21"/>
                      <w:szCs w:val="21"/>
                      <w:lang w:val="en-US" w:bidi="zh-CN"/>
                    </w:rPr>
                    <w:t>20</w:t>
                  </w:r>
                  <w:r>
                    <w:rPr>
                      <w:rFonts w:hint="eastAsia" w:ascii="宋体" w:hAnsi="宋体" w:eastAsia="宋体" w:cs="宋体"/>
                      <w:color w:val="auto"/>
                      <w:sz w:val="21"/>
                      <w:szCs w:val="21"/>
                      <w:lang w:bidi="zh-CN"/>
                    </w:rPr>
                    <w:t>kg/袋</w:t>
                  </w:r>
                </w:p>
              </w:tc>
            </w:tr>
            <w:tr w14:paraId="125C00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3" w:hRule="exact"/>
                <w:jc w:val="center"/>
              </w:trPr>
              <w:tc>
                <w:tcPr>
                  <w:tcW w:w="719" w:type="dxa"/>
                  <w:noWrap w:val="0"/>
                  <w:vAlign w:val="center"/>
                </w:tcPr>
                <w:p w14:paraId="314921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w:t>
                  </w:r>
                </w:p>
              </w:tc>
              <w:tc>
                <w:tcPr>
                  <w:tcW w:w="1338" w:type="dxa"/>
                  <w:noWrap w:val="0"/>
                  <w:vAlign w:val="center"/>
                </w:tcPr>
                <w:p w14:paraId="23E0EB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天然气</w:t>
                  </w:r>
                </w:p>
              </w:tc>
              <w:tc>
                <w:tcPr>
                  <w:tcW w:w="1607" w:type="dxa"/>
                  <w:noWrap w:val="0"/>
                  <w:vAlign w:val="center"/>
                </w:tcPr>
                <w:p w14:paraId="49D510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甲烷</w:t>
                  </w:r>
                </w:p>
              </w:tc>
              <w:tc>
                <w:tcPr>
                  <w:tcW w:w="783" w:type="dxa"/>
                  <w:noWrap w:val="0"/>
                  <w:vAlign w:val="center"/>
                </w:tcPr>
                <w:p w14:paraId="38F1B2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立方/年</w:t>
                  </w:r>
                </w:p>
              </w:tc>
              <w:tc>
                <w:tcPr>
                  <w:tcW w:w="846" w:type="dxa"/>
                  <w:noWrap w:val="0"/>
                  <w:vAlign w:val="center"/>
                </w:tcPr>
                <w:p w14:paraId="19B648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0万</w:t>
                  </w:r>
                </w:p>
              </w:tc>
              <w:tc>
                <w:tcPr>
                  <w:tcW w:w="943" w:type="dxa"/>
                  <w:noWrap w:val="0"/>
                  <w:vAlign w:val="center"/>
                </w:tcPr>
                <w:p w14:paraId="008427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964" w:type="dxa"/>
                  <w:noWrap w:val="0"/>
                  <w:vAlign w:val="center"/>
                </w:tcPr>
                <w:p w14:paraId="7551EF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管道</w:t>
                  </w:r>
                </w:p>
              </w:tc>
              <w:tc>
                <w:tcPr>
                  <w:tcW w:w="1081" w:type="dxa"/>
                  <w:noWrap w:val="0"/>
                  <w:vAlign w:val="center"/>
                </w:tcPr>
                <w:p w14:paraId="5F3191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14:paraId="2C8869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3" w:hRule="exact"/>
                <w:jc w:val="center"/>
              </w:trPr>
              <w:tc>
                <w:tcPr>
                  <w:tcW w:w="719" w:type="dxa"/>
                  <w:noWrap w:val="0"/>
                  <w:vAlign w:val="center"/>
                </w:tcPr>
                <w:p w14:paraId="3069E8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w:t>
                  </w:r>
                </w:p>
              </w:tc>
              <w:tc>
                <w:tcPr>
                  <w:tcW w:w="1338" w:type="dxa"/>
                  <w:noWrap w:val="0"/>
                  <w:vAlign w:val="center"/>
                </w:tcPr>
                <w:p w14:paraId="0A4ADDE4">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聚合氯化铝</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PAC</w:t>
                  </w:r>
                  <w:r>
                    <w:rPr>
                      <w:rFonts w:hint="eastAsia" w:ascii="宋体" w:hAnsi="宋体" w:eastAsia="宋体" w:cs="宋体"/>
                      <w:sz w:val="21"/>
                      <w:szCs w:val="21"/>
                      <w:lang w:eastAsia="zh-CN"/>
                    </w:rPr>
                    <w:t>）</w:t>
                  </w:r>
                </w:p>
              </w:tc>
              <w:tc>
                <w:tcPr>
                  <w:tcW w:w="1607" w:type="dxa"/>
                  <w:noWrap w:val="0"/>
                  <w:vAlign w:val="center"/>
                </w:tcPr>
                <w:p w14:paraId="6D6D47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783" w:type="dxa"/>
                  <w:noWrap w:val="0"/>
                  <w:vAlign w:val="center"/>
                </w:tcPr>
                <w:p w14:paraId="73F9F3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吨</w:t>
                  </w:r>
                  <w:r>
                    <w:rPr>
                      <w:rFonts w:hint="eastAsia" w:ascii="宋体" w:hAnsi="宋体" w:eastAsia="宋体" w:cs="宋体"/>
                      <w:color w:val="auto"/>
                      <w:sz w:val="21"/>
                      <w:szCs w:val="21"/>
                    </w:rPr>
                    <w:t>/年</w:t>
                  </w:r>
                </w:p>
              </w:tc>
              <w:tc>
                <w:tcPr>
                  <w:tcW w:w="846" w:type="dxa"/>
                  <w:noWrap w:val="0"/>
                  <w:vAlign w:val="center"/>
                </w:tcPr>
                <w:p w14:paraId="4392C9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0.2</w:t>
                  </w:r>
                </w:p>
              </w:tc>
              <w:tc>
                <w:tcPr>
                  <w:tcW w:w="943" w:type="dxa"/>
                  <w:noWrap w:val="0"/>
                  <w:vAlign w:val="center"/>
                </w:tcPr>
                <w:p w14:paraId="4ED30E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0.1</w:t>
                  </w:r>
                </w:p>
              </w:tc>
              <w:tc>
                <w:tcPr>
                  <w:tcW w:w="964" w:type="dxa"/>
                  <w:noWrap w:val="0"/>
                  <w:vAlign w:val="center"/>
                </w:tcPr>
                <w:p w14:paraId="3A9AA4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原料</w:t>
                  </w:r>
                </w:p>
                <w:p w14:paraId="2A2818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仓库</w:t>
                  </w:r>
                </w:p>
              </w:tc>
              <w:tc>
                <w:tcPr>
                  <w:tcW w:w="1081" w:type="dxa"/>
                  <w:noWrap w:val="0"/>
                  <w:vAlign w:val="center"/>
                </w:tcPr>
                <w:p w14:paraId="41CA42AA">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袋装，</w:t>
                  </w:r>
                  <w:r>
                    <w:rPr>
                      <w:rFonts w:hint="eastAsia" w:ascii="宋体" w:hAnsi="宋体" w:eastAsia="宋体" w:cs="宋体"/>
                      <w:sz w:val="21"/>
                      <w:szCs w:val="21"/>
                      <w:lang w:val="en-US" w:eastAsia="zh-CN"/>
                    </w:rPr>
                    <w:t>10</w:t>
                  </w:r>
                  <w:r>
                    <w:rPr>
                      <w:rFonts w:hint="eastAsia" w:ascii="宋体" w:hAnsi="宋体" w:eastAsia="宋体" w:cs="宋体"/>
                      <w:sz w:val="21"/>
                      <w:szCs w:val="21"/>
                    </w:rPr>
                    <w:t>kg/袋</w:t>
                  </w:r>
                </w:p>
              </w:tc>
            </w:tr>
            <w:tr w14:paraId="38B458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3" w:hRule="exact"/>
                <w:jc w:val="center"/>
              </w:trPr>
              <w:tc>
                <w:tcPr>
                  <w:tcW w:w="719" w:type="dxa"/>
                  <w:noWrap w:val="0"/>
                  <w:vAlign w:val="center"/>
                </w:tcPr>
                <w:p w14:paraId="12EFD6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w:t>
                  </w:r>
                </w:p>
              </w:tc>
              <w:tc>
                <w:tcPr>
                  <w:tcW w:w="1338" w:type="dxa"/>
                  <w:noWrap w:val="0"/>
                  <w:vAlign w:val="center"/>
                </w:tcPr>
                <w:p w14:paraId="0FE28113">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聚丙烯酰胺</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PAM</w:t>
                  </w:r>
                  <w:r>
                    <w:rPr>
                      <w:rFonts w:hint="eastAsia" w:ascii="宋体" w:hAnsi="宋体" w:eastAsia="宋体" w:cs="宋体"/>
                      <w:sz w:val="21"/>
                      <w:szCs w:val="21"/>
                      <w:lang w:eastAsia="zh-CN"/>
                    </w:rPr>
                    <w:t>）</w:t>
                  </w:r>
                </w:p>
              </w:tc>
              <w:tc>
                <w:tcPr>
                  <w:tcW w:w="1607" w:type="dxa"/>
                  <w:noWrap w:val="0"/>
                  <w:vAlign w:val="center"/>
                </w:tcPr>
                <w:p w14:paraId="07A51D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783" w:type="dxa"/>
                  <w:noWrap w:val="0"/>
                  <w:vAlign w:val="center"/>
                </w:tcPr>
                <w:p w14:paraId="5DF882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吨</w:t>
                  </w:r>
                  <w:r>
                    <w:rPr>
                      <w:rFonts w:hint="eastAsia" w:ascii="宋体" w:hAnsi="宋体" w:eastAsia="宋体" w:cs="宋体"/>
                      <w:color w:val="auto"/>
                      <w:sz w:val="21"/>
                      <w:szCs w:val="21"/>
                    </w:rPr>
                    <w:t>/年</w:t>
                  </w:r>
                </w:p>
              </w:tc>
              <w:tc>
                <w:tcPr>
                  <w:tcW w:w="846" w:type="dxa"/>
                  <w:noWrap w:val="0"/>
                  <w:vAlign w:val="center"/>
                </w:tcPr>
                <w:p w14:paraId="121088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0.01</w:t>
                  </w:r>
                </w:p>
              </w:tc>
              <w:tc>
                <w:tcPr>
                  <w:tcW w:w="943" w:type="dxa"/>
                  <w:noWrap w:val="0"/>
                  <w:vAlign w:val="center"/>
                </w:tcPr>
                <w:p w14:paraId="151440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0.01</w:t>
                  </w:r>
                </w:p>
              </w:tc>
              <w:tc>
                <w:tcPr>
                  <w:tcW w:w="964" w:type="dxa"/>
                  <w:noWrap w:val="0"/>
                  <w:vAlign w:val="center"/>
                </w:tcPr>
                <w:p w14:paraId="09D3FC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原料</w:t>
                  </w:r>
                </w:p>
                <w:p w14:paraId="5EA561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仓库</w:t>
                  </w:r>
                </w:p>
              </w:tc>
              <w:tc>
                <w:tcPr>
                  <w:tcW w:w="1081" w:type="dxa"/>
                  <w:noWrap w:val="0"/>
                  <w:vAlign w:val="center"/>
                </w:tcPr>
                <w:p w14:paraId="17AD5858">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袋装，</w:t>
                  </w:r>
                  <w:r>
                    <w:rPr>
                      <w:rFonts w:hint="eastAsia" w:ascii="宋体" w:hAnsi="宋体" w:eastAsia="宋体" w:cs="宋体"/>
                      <w:sz w:val="21"/>
                      <w:szCs w:val="21"/>
                      <w:lang w:val="en-US" w:eastAsia="zh-CN"/>
                    </w:rPr>
                    <w:t>10</w:t>
                  </w:r>
                  <w:r>
                    <w:rPr>
                      <w:rFonts w:hint="eastAsia" w:ascii="宋体" w:hAnsi="宋体" w:eastAsia="宋体" w:cs="宋体"/>
                      <w:sz w:val="21"/>
                      <w:szCs w:val="21"/>
                    </w:rPr>
                    <w:t>kg/袋</w:t>
                  </w:r>
                </w:p>
              </w:tc>
            </w:tr>
          </w:tbl>
          <w:p w14:paraId="225AADF0">
            <w:pPr>
              <w:keepNext w:val="0"/>
              <w:keepLines w:val="0"/>
              <w:suppressLineNumbers w:val="0"/>
              <w:tabs>
                <w:tab w:val="left" w:pos="3540"/>
              </w:tabs>
              <w:adjustRightInd w:val="0"/>
              <w:snapToGrid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b/>
                <w:bCs/>
                <w:szCs w:val="21"/>
              </w:rPr>
              <w:t>表2-</w:t>
            </w:r>
            <w:r>
              <w:rPr>
                <w:rFonts w:hint="eastAsia" w:ascii="宋体" w:hAnsi="宋体" w:eastAsia="宋体" w:cs="宋体"/>
                <w:b/>
                <w:bCs/>
                <w:szCs w:val="21"/>
                <w:lang w:val="en-US" w:eastAsia="zh-CN"/>
              </w:rPr>
              <w:t>5</w:t>
            </w:r>
            <w:r>
              <w:rPr>
                <w:rFonts w:hint="eastAsia" w:ascii="宋体" w:hAnsi="宋体" w:eastAsia="宋体" w:cs="宋体"/>
                <w:b/>
                <w:bCs/>
                <w:szCs w:val="21"/>
              </w:rPr>
              <w:t xml:space="preserve"> 原辅材料理化特性表</w:t>
            </w:r>
          </w:p>
          <w:tbl>
            <w:tblPr>
              <w:tblStyle w:val="30"/>
              <w:tblW w:w="83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2"/>
              <w:gridCol w:w="3896"/>
              <w:gridCol w:w="1439"/>
              <w:gridCol w:w="2061"/>
            </w:tblGrid>
            <w:tr w14:paraId="4623F7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2" w:type="dxa"/>
                  <w:noWrap w:val="0"/>
                  <w:vAlign w:val="center"/>
                </w:tcPr>
                <w:p w14:paraId="6133D3A0">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名称</w:t>
                  </w:r>
                </w:p>
              </w:tc>
              <w:tc>
                <w:tcPr>
                  <w:tcW w:w="3896" w:type="dxa"/>
                  <w:noWrap w:val="0"/>
                  <w:vAlign w:val="center"/>
                </w:tcPr>
                <w:p w14:paraId="0316F243">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理化性质</w:t>
                  </w:r>
                </w:p>
              </w:tc>
              <w:tc>
                <w:tcPr>
                  <w:tcW w:w="1439" w:type="dxa"/>
                  <w:noWrap w:val="0"/>
                  <w:vAlign w:val="center"/>
                </w:tcPr>
                <w:p w14:paraId="4D3792EF">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燃烧爆炸性</w:t>
                  </w:r>
                </w:p>
              </w:tc>
              <w:tc>
                <w:tcPr>
                  <w:tcW w:w="2061" w:type="dxa"/>
                  <w:noWrap w:val="0"/>
                  <w:vAlign w:val="center"/>
                </w:tcPr>
                <w:p w14:paraId="593F0152">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毒理毒性</w:t>
                  </w:r>
                </w:p>
              </w:tc>
            </w:tr>
            <w:tr w14:paraId="7A4D9B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2" w:type="dxa"/>
                  <w:noWrap w:val="0"/>
                  <w:vAlign w:val="center"/>
                </w:tcPr>
                <w:p w14:paraId="07638F63">
                  <w:pPr>
                    <w:keepNext w:val="0"/>
                    <w:keepLines w:val="0"/>
                    <w:widowControl/>
                    <w:suppressLineNumbers w:val="0"/>
                    <w:kinsoku w:val="0"/>
                    <w:autoSpaceDE w:val="0"/>
                    <w:autoSpaceDN w:val="0"/>
                    <w:adjustRightInd w:val="0"/>
                    <w:snapToGrid w:val="0"/>
                    <w:spacing w:before="0" w:beforeAutospacing="0" w:after="0" w:afterAutospacing="0" w:line="240" w:lineRule="atLeast"/>
                    <w:ind w:left="0" w:right="0"/>
                    <w:jc w:val="center"/>
                    <w:textAlignment w:val="baseline"/>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氢氧化钠</w:t>
                  </w:r>
                </w:p>
              </w:tc>
              <w:tc>
                <w:tcPr>
                  <w:tcW w:w="3896" w:type="dxa"/>
                  <w:noWrap w:val="0"/>
                  <w:vAlign w:val="center"/>
                </w:tcPr>
                <w:p w14:paraId="074A4BA8">
                  <w:pPr>
                    <w:keepNext w:val="0"/>
                    <w:keepLines w:val="0"/>
                    <w:suppressLineNumbers w:val="0"/>
                    <w:autoSpaceDE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白色结晶性粉末，是一种无机化合物，化学式NaOH，相对分子量为39.9970。密度：2.130 g/cm³，熔点：318.4℃(591 K)</w:t>
                  </w:r>
                </w:p>
                <w:p w14:paraId="1CCB1902">
                  <w:pPr>
                    <w:keepNext w:val="0"/>
                    <w:keepLines w:val="0"/>
                    <w:suppressLineNumbers w:val="0"/>
                    <w:autoSpaceDE w:val="0"/>
                    <w:adjustRightInd w:val="0"/>
                    <w:snapToGrid w:val="0"/>
                    <w:spacing w:before="0" w:beforeAutospacing="0" w:after="0" w:afterAutospacing="0" w:line="240" w:lineRule="atLeast"/>
                    <w:ind w:left="0" w:leftChars="0" w:right="0" w:right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eastAsia="zh-CN"/>
                    </w:rPr>
                    <w:t>沸点：1390 ℃ (1663 K)，易溶于水、乙醇、甘油，不溶于丙酮、乙醚。具有强碱性，腐蚀性极强，可作酸中和剂、配合掩蔽剂、沉淀剂、沉淀掩蔽剂、显色剂、皂化剂、去皮剂、洗涤剂等。</w:t>
                  </w:r>
                </w:p>
              </w:tc>
              <w:tc>
                <w:tcPr>
                  <w:tcW w:w="1439" w:type="dxa"/>
                  <w:noWrap w:val="0"/>
                  <w:vAlign w:val="center"/>
                </w:tcPr>
                <w:p w14:paraId="59164D89">
                  <w:pPr>
                    <w:keepNext w:val="0"/>
                    <w:keepLines w:val="0"/>
                    <w:suppressLineNumbers w:val="0"/>
                    <w:autoSpaceDE w:val="0"/>
                    <w:adjustRightInd w:val="0"/>
                    <w:snapToGrid w:val="0"/>
                    <w:spacing w:before="0" w:beforeAutospacing="0" w:after="0" w:afterAutospacing="0" w:line="240" w:lineRule="atLeast"/>
                    <w:ind w:left="0" w:leftChars="0" w:right="0" w:right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w:t>
                  </w:r>
                </w:p>
              </w:tc>
              <w:tc>
                <w:tcPr>
                  <w:tcW w:w="2061" w:type="dxa"/>
                  <w:noWrap w:val="0"/>
                  <w:vAlign w:val="center"/>
                </w:tcPr>
                <w:p w14:paraId="179EACB2">
                  <w:pPr>
                    <w:keepNext w:val="0"/>
                    <w:keepLines w:val="0"/>
                    <w:suppressLineNumbers w:val="0"/>
                    <w:autoSpaceDE w:val="0"/>
                    <w:adjustRightInd w:val="0"/>
                    <w:snapToGrid w:val="0"/>
                    <w:spacing w:before="0" w:beforeAutospacing="0" w:after="0" w:afterAutospacing="0" w:line="240" w:lineRule="atLeast"/>
                    <w:ind w:left="0" w:leftChars="0" w:right="0" w:right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有强烈刺激和腐蚀性</w:t>
                  </w:r>
                </w:p>
              </w:tc>
            </w:tr>
            <w:tr w14:paraId="07FD98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2" w:type="dxa"/>
                  <w:noWrap w:val="0"/>
                  <w:vAlign w:val="center"/>
                </w:tcPr>
                <w:p w14:paraId="1C59A814">
                  <w:pPr>
                    <w:keepNext w:val="0"/>
                    <w:keepLines w:val="0"/>
                    <w:widowControl/>
                    <w:suppressLineNumbers w:val="0"/>
                    <w:kinsoku w:val="0"/>
                    <w:autoSpaceDE w:val="0"/>
                    <w:autoSpaceDN w:val="0"/>
                    <w:adjustRightInd w:val="0"/>
                    <w:snapToGrid w:val="0"/>
                    <w:spacing w:before="0" w:beforeAutospacing="0" w:after="0" w:afterAutospacing="0" w:line="240" w:lineRule="atLeast"/>
                    <w:ind w:left="0" w:leftChars="0" w:right="0" w:rightChars="0"/>
                    <w:jc w:val="center"/>
                    <w:textAlignment w:val="baseline"/>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GB" w:eastAsia="zh-CN"/>
                    </w:rPr>
                    <w:t>葡萄糖酸钠</w:t>
                  </w:r>
                </w:p>
              </w:tc>
              <w:tc>
                <w:tcPr>
                  <w:tcW w:w="3896" w:type="dxa"/>
                  <w:noWrap w:val="0"/>
                  <w:vAlign w:val="center"/>
                </w:tcPr>
                <w:p w14:paraId="79BC67EC">
                  <w:pPr>
                    <w:keepNext w:val="0"/>
                    <w:keepLines w:val="0"/>
                    <w:widowControl/>
                    <w:suppressLineNumbers w:val="0"/>
                    <w:kinsoku w:val="0"/>
                    <w:autoSpaceDE w:val="0"/>
                    <w:autoSpaceDN w:val="0"/>
                    <w:adjustRightInd w:val="0"/>
                    <w:snapToGrid w:val="0"/>
                    <w:spacing w:before="0" w:beforeAutospacing="0" w:after="0" w:afterAutospacing="0" w:line="240" w:lineRule="atLeast"/>
                    <w:ind w:left="0" w:leftChars="0" w:right="0" w:rightChars="0"/>
                    <w:jc w:val="center"/>
                    <w:textAlignment w:val="baseline"/>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一种有机物，白色结晶颗粒或粉末</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熔点</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206℃</w:t>
                  </w:r>
                  <w:r>
                    <w:rPr>
                      <w:rFonts w:hint="eastAsia" w:ascii="宋体" w:hAnsi="宋体" w:eastAsia="宋体" w:cs="宋体"/>
                      <w:color w:val="auto"/>
                      <w:sz w:val="21"/>
                      <w:szCs w:val="21"/>
                      <w:lang w:eastAsia="zh-CN"/>
                    </w:rPr>
                    <w:t>，极易溶于水，略溶于酒精，不能够溶于乙醚。</w:t>
                  </w:r>
                  <w:r>
                    <w:rPr>
                      <w:rFonts w:hint="eastAsia" w:ascii="宋体" w:hAnsi="宋体" w:eastAsia="宋体" w:cs="宋体"/>
                      <w:color w:val="auto"/>
                      <w:sz w:val="21"/>
                      <w:szCs w:val="21"/>
                    </w:rPr>
                    <w:t>可以在建筑、纺织印染和金属表面处理以及水处理等行业作高效螯合剂，钢铁表面清洗剂，玻瓶清洗剂，电镀工业铝氧着色，在混凝土行业用作高效缓凝剂、高效减水剂等。</w:t>
                  </w:r>
                </w:p>
              </w:tc>
              <w:tc>
                <w:tcPr>
                  <w:tcW w:w="1439" w:type="dxa"/>
                  <w:noWrap w:val="0"/>
                  <w:vAlign w:val="center"/>
                </w:tcPr>
                <w:p w14:paraId="78141AC9">
                  <w:pPr>
                    <w:keepNext w:val="0"/>
                    <w:keepLines w:val="0"/>
                    <w:widowControl/>
                    <w:suppressLineNumbers w:val="0"/>
                    <w:kinsoku w:val="0"/>
                    <w:autoSpaceDE w:val="0"/>
                    <w:autoSpaceDN w:val="0"/>
                    <w:adjustRightInd w:val="0"/>
                    <w:snapToGrid w:val="0"/>
                    <w:spacing w:before="0" w:beforeAutospacing="0" w:after="0" w:afterAutospacing="0" w:line="240" w:lineRule="atLeast"/>
                    <w:ind w:left="0" w:leftChars="0" w:right="0" w:rightChars="0"/>
                    <w:jc w:val="center"/>
                    <w:textAlignment w:val="baseline"/>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w:t>
                  </w:r>
                </w:p>
              </w:tc>
              <w:tc>
                <w:tcPr>
                  <w:tcW w:w="2061" w:type="dxa"/>
                  <w:noWrap w:val="0"/>
                  <w:vAlign w:val="center"/>
                </w:tcPr>
                <w:p w14:paraId="23536746">
                  <w:pPr>
                    <w:keepNext w:val="0"/>
                    <w:keepLines w:val="0"/>
                    <w:widowControl/>
                    <w:suppressLineNumbers w:val="0"/>
                    <w:kinsoku w:val="0"/>
                    <w:autoSpaceDE w:val="0"/>
                    <w:autoSpaceDN w:val="0"/>
                    <w:adjustRightInd w:val="0"/>
                    <w:snapToGrid w:val="0"/>
                    <w:spacing w:before="0" w:beforeAutospacing="0" w:after="0" w:afterAutospacing="0" w:line="240" w:lineRule="atLeast"/>
                    <w:ind w:left="0" w:leftChars="0" w:right="0" w:rightChars="0"/>
                    <w:jc w:val="center"/>
                    <w:textAlignment w:val="baseline"/>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兔子经静脉LD</w:t>
                  </w:r>
                  <w:r>
                    <w:rPr>
                      <w:rFonts w:hint="eastAsia" w:ascii="宋体" w:hAnsi="宋体" w:eastAsia="宋体" w:cs="宋体"/>
                      <w:color w:val="auto"/>
                      <w:sz w:val="21"/>
                      <w:szCs w:val="21"/>
                      <w:vertAlign w:val="subscript"/>
                    </w:rPr>
                    <w:t>Lo</w:t>
                  </w:r>
                  <w:r>
                    <w:rPr>
                      <w:rFonts w:hint="eastAsia" w:ascii="宋体" w:hAnsi="宋体" w:eastAsia="宋体" w:cs="宋体"/>
                      <w:color w:val="auto"/>
                      <w:sz w:val="21"/>
                      <w:szCs w:val="21"/>
                    </w:rPr>
                    <w:t>：7630mg/kg</w:t>
                  </w:r>
                </w:p>
              </w:tc>
            </w:tr>
            <w:tr w14:paraId="5F1952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2" w:type="dxa"/>
                  <w:noWrap w:val="0"/>
                  <w:vAlign w:val="center"/>
                </w:tcPr>
                <w:p w14:paraId="0A3F4CA8">
                  <w:pPr>
                    <w:keepNext w:val="0"/>
                    <w:keepLines w:val="0"/>
                    <w:widowControl/>
                    <w:suppressLineNumbers w:val="0"/>
                    <w:kinsoku w:val="0"/>
                    <w:autoSpaceDE w:val="0"/>
                    <w:autoSpaceDN w:val="0"/>
                    <w:adjustRightInd w:val="0"/>
                    <w:snapToGrid w:val="0"/>
                    <w:spacing w:before="0" w:beforeAutospacing="0" w:after="0" w:afterAutospacing="0" w:line="240" w:lineRule="atLeast"/>
                    <w:ind w:left="0" w:right="0"/>
                    <w:jc w:val="center"/>
                    <w:textAlignment w:val="baseline"/>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氢氧化钾</w:t>
                  </w:r>
                </w:p>
              </w:tc>
              <w:tc>
                <w:tcPr>
                  <w:tcW w:w="3896" w:type="dxa"/>
                  <w:noWrap w:val="0"/>
                  <w:vAlign w:val="center"/>
                </w:tcPr>
                <w:p w14:paraId="0BB3FEC7">
                  <w:pPr>
                    <w:keepNext w:val="0"/>
                    <w:keepLines w:val="0"/>
                    <w:widowControl/>
                    <w:suppressLineNumbers w:val="0"/>
                    <w:kinsoku w:val="0"/>
                    <w:autoSpaceDE w:val="0"/>
                    <w:autoSpaceDN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白色结晶性粉末</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一种无机化合物，化学式为KOH，是常见的无机碱，具有强碱性，熔点</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361℃</w:t>
                  </w:r>
                  <w:r>
                    <w:rPr>
                      <w:rFonts w:hint="eastAsia" w:ascii="宋体" w:hAnsi="宋体" w:eastAsia="宋体" w:cs="宋体"/>
                      <w:color w:val="auto"/>
                      <w:sz w:val="21"/>
                      <w:szCs w:val="21"/>
                      <w:lang w:eastAsia="zh-CN"/>
                    </w:rPr>
                    <w:t>，沸点：1320℃，密度1.450 g/cm³，</w:t>
                  </w:r>
                  <w:r>
                    <w:rPr>
                      <w:rFonts w:hint="eastAsia" w:ascii="宋体" w:hAnsi="宋体" w:eastAsia="宋体" w:cs="宋体"/>
                      <w:color w:val="auto"/>
                      <w:sz w:val="21"/>
                      <w:szCs w:val="21"/>
                    </w:rPr>
                    <w:t>溶于水、乙醇</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微溶于乙醚，极易吸收空气中水分而潮解，吸收二氧化碳而成碳酸钾，主要用作生产钾盐的原料，也可用于电镀、印染等。</w:t>
                  </w:r>
                </w:p>
              </w:tc>
              <w:tc>
                <w:tcPr>
                  <w:tcW w:w="1439" w:type="dxa"/>
                  <w:noWrap w:val="0"/>
                  <w:vAlign w:val="center"/>
                </w:tcPr>
                <w:p w14:paraId="20192B7B">
                  <w:pPr>
                    <w:keepNext w:val="0"/>
                    <w:keepLines w:val="0"/>
                    <w:widowControl/>
                    <w:suppressLineNumbers w:val="0"/>
                    <w:kinsoku w:val="0"/>
                    <w:autoSpaceDE w:val="0"/>
                    <w:autoSpaceDN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2061" w:type="dxa"/>
                  <w:noWrap w:val="0"/>
                  <w:vAlign w:val="center"/>
                </w:tcPr>
                <w:p w14:paraId="79990A6A">
                  <w:pPr>
                    <w:keepNext w:val="0"/>
                    <w:keepLines w:val="0"/>
                    <w:widowControl/>
                    <w:suppressLineNumbers w:val="0"/>
                    <w:kinsoku w:val="0"/>
                    <w:autoSpaceDE w:val="0"/>
                    <w:autoSpaceDN w:val="0"/>
                    <w:adjustRightInd w:val="0"/>
                    <w:snapToGrid w:val="0"/>
                    <w:spacing w:before="0" w:beforeAutospacing="0" w:after="0" w:afterAutospacing="0" w:line="240" w:lineRule="atLeast"/>
                    <w:ind w:left="0" w:right="0"/>
                    <w:jc w:val="center"/>
                    <w:textAlignment w:val="baseline"/>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LD</w:t>
                  </w:r>
                  <w:r>
                    <w:rPr>
                      <w:rFonts w:hint="eastAsia" w:ascii="宋体" w:hAnsi="宋体" w:eastAsia="宋体" w:cs="宋体"/>
                      <w:color w:val="auto"/>
                      <w:sz w:val="21"/>
                      <w:szCs w:val="21"/>
                      <w:vertAlign w:val="subscript"/>
                      <w:lang w:val="en-US" w:eastAsia="zh-CN"/>
                    </w:rPr>
                    <w:t>50</w:t>
                  </w:r>
                  <w:r>
                    <w:rPr>
                      <w:rFonts w:hint="eastAsia" w:ascii="宋体" w:hAnsi="宋体" w:eastAsia="宋体" w:cs="宋体"/>
                      <w:color w:val="auto"/>
                      <w:sz w:val="21"/>
                      <w:szCs w:val="21"/>
                    </w:rPr>
                    <w:t>：</w:t>
                  </w:r>
                  <w:r>
                    <w:rPr>
                      <w:rFonts w:hint="default" w:ascii="宋体" w:hAnsi="宋体" w:eastAsia="宋体" w:cs="宋体"/>
                      <w:color w:val="auto"/>
                      <w:sz w:val="21"/>
                      <w:szCs w:val="21"/>
                      <w:lang w:val="en-US" w:eastAsia="zh-CN"/>
                    </w:rPr>
                    <w:t>273mg/kg（大鼠经口）</w:t>
                  </w:r>
                </w:p>
              </w:tc>
            </w:tr>
            <w:tr w14:paraId="080DFD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2" w:type="dxa"/>
                  <w:noWrap w:val="0"/>
                  <w:vAlign w:val="center"/>
                </w:tcPr>
                <w:p w14:paraId="7773F4F0">
                  <w:pPr>
                    <w:keepNext w:val="0"/>
                    <w:keepLines w:val="0"/>
                    <w:widowControl/>
                    <w:suppressLineNumbers w:val="0"/>
                    <w:kinsoku w:val="0"/>
                    <w:autoSpaceDE w:val="0"/>
                    <w:autoSpaceDN w:val="0"/>
                    <w:adjustRightInd w:val="0"/>
                    <w:snapToGrid w:val="0"/>
                    <w:spacing w:before="0" w:beforeAutospacing="0" w:after="0" w:afterAutospacing="0" w:line="240" w:lineRule="atLeast"/>
                    <w:ind w:left="0" w:right="0"/>
                    <w:jc w:val="center"/>
                    <w:textAlignment w:val="baseline"/>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碳酸锆</w:t>
                  </w:r>
                </w:p>
              </w:tc>
              <w:tc>
                <w:tcPr>
                  <w:tcW w:w="3896" w:type="dxa"/>
                  <w:noWrap w:val="0"/>
                  <w:vAlign w:val="center"/>
                </w:tcPr>
                <w:p w14:paraId="08F34391">
                  <w:pPr>
                    <w:keepNext w:val="0"/>
                    <w:keepLines/>
                    <w:pageBreakBefore w:val="0"/>
                    <w:widowControl/>
                    <w:suppressLineNumbers w:val="0"/>
                    <w:kinsoku/>
                    <w:wordWrap w:val="0"/>
                    <w:overflowPunct/>
                    <w:topLinePunct w:val="0"/>
                    <w:autoSpaceDE w:val="0"/>
                    <w:autoSpaceDN w:val="0"/>
                    <w:bidi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分子量为195.2424，熔点（℃）：135</w:t>
                  </w:r>
                  <w:r>
                    <w:rPr>
                      <w:rFonts w:hint="eastAsia" w:ascii="宋体" w:hAnsi="宋体" w:eastAsia="宋体" w:cs="宋体"/>
                      <w:color w:val="auto"/>
                      <w:sz w:val="21"/>
                      <w:szCs w:val="21"/>
                      <w:lang w:eastAsia="zh-CN"/>
                    </w:rPr>
                    <w:t>。</w:t>
                  </w:r>
                </w:p>
              </w:tc>
              <w:tc>
                <w:tcPr>
                  <w:tcW w:w="1439" w:type="dxa"/>
                  <w:noWrap w:val="0"/>
                  <w:vAlign w:val="center"/>
                </w:tcPr>
                <w:p w14:paraId="2C35ACEF">
                  <w:pPr>
                    <w:keepNext w:val="0"/>
                    <w:keepLines w:val="0"/>
                    <w:widowControl/>
                    <w:suppressLineNumbers w:val="0"/>
                    <w:kinsoku w:val="0"/>
                    <w:autoSpaceDE w:val="0"/>
                    <w:autoSpaceDN w:val="0"/>
                    <w:adjustRightInd w:val="0"/>
                    <w:snapToGrid w:val="0"/>
                    <w:spacing w:before="0" w:beforeAutospacing="0" w:after="0" w:afterAutospacing="0" w:line="240" w:lineRule="atLeast"/>
                    <w:ind w:left="0" w:right="0"/>
                    <w:jc w:val="center"/>
                    <w:textAlignment w:val="baseline"/>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2061" w:type="dxa"/>
                  <w:noWrap w:val="0"/>
                  <w:vAlign w:val="center"/>
                </w:tcPr>
                <w:p w14:paraId="2F7A00AA">
                  <w:pPr>
                    <w:keepNext w:val="0"/>
                    <w:keepLines w:val="0"/>
                    <w:widowControl/>
                    <w:suppressLineNumbers w:val="0"/>
                    <w:kinsoku w:val="0"/>
                    <w:autoSpaceDE w:val="0"/>
                    <w:autoSpaceDN w:val="0"/>
                    <w:adjustRightInd w:val="0"/>
                    <w:snapToGrid w:val="0"/>
                    <w:spacing w:before="0" w:beforeAutospacing="0" w:after="0" w:afterAutospacing="0" w:line="240" w:lineRule="atLeast"/>
                    <w:ind w:left="0" w:right="0"/>
                    <w:jc w:val="center"/>
                    <w:textAlignment w:val="baseline"/>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r>
            <w:tr w14:paraId="76AFA8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2" w:type="dxa"/>
                  <w:noWrap w:val="0"/>
                  <w:vAlign w:val="center"/>
                </w:tcPr>
                <w:p w14:paraId="10AD357C">
                  <w:pPr>
                    <w:keepNext w:val="0"/>
                    <w:keepLines w:val="0"/>
                    <w:widowControl/>
                    <w:suppressLineNumbers w:val="0"/>
                    <w:kinsoku w:val="0"/>
                    <w:autoSpaceDE w:val="0"/>
                    <w:autoSpaceDN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氟锆酸</w:t>
                  </w:r>
                </w:p>
              </w:tc>
              <w:tc>
                <w:tcPr>
                  <w:tcW w:w="3896" w:type="dxa"/>
                  <w:noWrap w:val="0"/>
                  <w:vAlign w:val="center"/>
                </w:tcPr>
                <w:p w14:paraId="7D46DE16">
                  <w:pPr>
                    <w:keepNext w:val="0"/>
                    <w:keepLines/>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分子式是H</w:t>
                  </w:r>
                  <w:r>
                    <w:rPr>
                      <w:rFonts w:hint="eastAsia" w:ascii="宋体" w:hAnsi="宋体" w:eastAsia="宋体" w:cs="宋体"/>
                      <w:color w:val="auto"/>
                      <w:sz w:val="21"/>
                      <w:szCs w:val="21"/>
                      <w:vertAlign w:val="subscript"/>
                      <w:lang w:eastAsia="zh-CN"/>
                    </w:rPr>
                    <w:t>2</w:t>
                  </w:r>
                  <w:r>
                    <w:rPr>
                      <w:rFonts w:hint="eastAsia" w:ascii="宋体" w:hAnsi="宋体" w:eastAsia="宋体" w:cs="宋体"/>
                      <w:color w:val="auto"/>
                      <w:sz w:val="21"/>
                      <w:szCs w:val="21"/>
                      <w:lang w:eastAsia="zh-CN"/>
                    </w:rPr>
                    <w:t>F</w:t>
                  </w:r>
                  <w:r>
                    <w:rPr>
                      <w:rFonts w:hint="eastAsia" w:ascii="宋体" w:hAnsi="宋体" w:eastAsia="宋体" w:cs="宋体"/>
                      <w:color w:val="auto"/>
                      <w:sz w:val="21"/>
                      <w:szCs w:val="21"/>
                      <w:vertAlign w:val="subscript"/>
                      <w:lang w:eastAsia="zh-CN"/>
                    </w:rPr>
                    <w:t>6</w:t>
                  </w:r>
                  <w:r>
                    <w:rPr>
                      <w:rFonts w:hint="eastAsia" w:ascii="宋体" w:hAnsi="宋体" w:eastAsia="宋体" w:cs="宋体"/>
                      <w:color w:val="auto"/>
                      <w:sz w:val="21"/>
                      <w:szCs w:val="21"/>
                      <w:lang w:eastAsia="zh-CN"/>
                    </w:rPr>
                    <w:t>Zr，分子量是207.2。无色透明液体，呈酸性，比重约为1.48。具有较高的溶解度和强酸性，能与水反应生成氟氧锆酸和氢氟酸。它具有良好的热稳定性和化学稳定性，在高温下不易分解。</w:t>
                  </w:r>
                </w:p>
              </w:tc>
              <w:tc>
                <w:tcPr>
                  <w:tcW w:w="1439" w:type="dxa"/>
                  <w:noWrap w:val="0"/>
                  <w:vAlign w:val="center"/>
                </w:tcPr>
                <w:p w14:paraId="41FF668B">
                  <w:pPr>
                    <w:keepNext w:val="0"/>
                    <w:keepLines w:val="0"/>
                    <w:widowControl/>
                    <w:suppressLineNumbers w:val="0"/>
                    <w:kinsoku w:val="0"/>
                    <w:autoSpaceDE w:val="0"/>
                    <w:autoSpaceDN w:val="0"/>
                    <w:adjustRightInd w:val="0"/>
                    <w:snapToGrid w:val="0"/>
                    <w:spacing w:before="0" w:beforeAutospacing="0" w:after="0" w:afterAutospacing="0" w:line="240" w:lineRule="atLeast"/>
                    <w:ind w:left="0" w:right="0"/>
                    <w:jc w:val="center"/>
                    <w:textAlignment w:val="baseline"/>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2061" w:type="dxa"/>
                  <w:noWrap w:val="0"/>
                  <w:vAlign w:val="center"/>
                </w:tcPr>
                <w:p w14:paraId="7965CBDD">
                  <w:pPr>
                    <w:keepNext w:val="0"/>
                    <w:keepLines w:val="0"/>
                    <w:widowControl/>
                    <w:suppressLineNumbers w:val="0"/>
                    <w:kinsoku w:val="0"/>
                    <w:autoSpaceDE w:val="0"/>
                    <w:autoSpaceDN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color w:val="auto"/>
                      <w:sz w:val="21"/>
                      <w:szCs w:val="21"/>
                      <w:lang w:eastAsia="zh-CN"/>
                    </w:rPr>
                  </w:pPr>
                  <w:r>
                    <w:rPr>
                      <w:rFonts w:hint="eastAsia" w:ascii="宋体" w:hAnsi="宋体" w:eastAsia="宋体" w:cs="宋体"/>
                      <w:color w:val="auto"/>
                      <w:sz w:val="21"/>
                      <w:szCs w:val="21"/>
                    </w:rPr>
                    <w:t>腐蚀性物质，</w:t>
                  </w:r>
                  <w:r>
                    <w:rPr>
                      <w:rFonts w:hint="eastAsia" w:ascii="宋体" w:hAnsi="宋体" w:eastAsia="宋体" w:cs="宋体"/>
                      <w:color w:val="auto"/>
                      <w:sz w:val="21"/>
                      <w:szCs w:val="21"/>
                      <w:lang w:eastAsia="zh-CN"/>
                    </w:rPr>
                    <w:t>遇酸释放有毒气体。</w:t>
                  </w:r>
                </w:p>
              </w:tc>
            </w:tr>
            <w:tr w14:paraId="023CC2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2" w:type="dxa"/>
                  <w:noWrap w:val="0"/>
                  <w:vAlign w:val="center"/>
                </w:tcPr>
                <w:p w14:paraId="27A77F9A">
                  <w:pPr>
                    <w:keepNext w:val="0"/>
                    <w:keepLines w:val="0"/>
                    <w:widowControl/>
                    <w:suppressLineNumbers w:val="0"/>
                    <w:kinsoku w:val="0"/>
                    <w:autoSpaceDE w:val="0"/>
                    <w:autoSpaceDN w:val="0"/>
                    <w:adjustRightInd w:val="0"/>
                    <w:snapToGrid w:val="0"/>
                    <w:spacing w:before="0" w:beforeAutospacing="0" w:after="0" w:afterAutospacing="0" w:line="240" w:lineRule="atLeast"/>
                    <w:ind w:left="0" w:right="0"/>
                    <w:jc w:val="center"/>
                    <w:textAlignment w:val="baseline"/>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硝酸锆</w:t>
                  </w:r>
                </w:p>
              </w:tc>
              <w:tc>
                <w:tcPr>
                  <w:tcW w:w="3896" w:type="dxa"/>
                  <w:noWrap w:val="0"/>
                  <w:vAlign w:val="center"/>
                </w:tcPr>
                <w:p w14:paraId="14A3E779">
                  <w:pPr>
                    <w:keepNext w:val="0"/>
                    <w:keepLines/>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一种无机化合物，化学式为Zr(NO</w:t>
                  </w:r>
                  <w:r>
                    <w:rPr>
                      <w:rFonts w:hint="eastAsia" w:ascii="宋体" w:hAnsi="宋体" w:eastAsia="宋体" w:cs="宋体"/>
                      <w:color w:val="auto"/>
                      <w:sz w:val="21"/>
                      <w:szCs w:val="21"/>
                      <w:vertAlign w:val="subscript"/>
                      <w:lang w:eastAsia="zh-CN"/>
                    </w:rPr>
                    <w:t>3</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vertAlign w:val="subscript"/>
                      <w:lang w:eastAsia="zh-CN"/>
                    </w:rPr>
                    <w:t>4</w:t>
                  </w:r>
                  <w:r>
                    <w:rPr>
                      <w:rFonts w:hint="eastAsia" w:ascii="宋体" w:hAnsi="宋体" w:eastAsia="宋体" w:cs="宋体"/>
                      <w:color w:val="auto"/>
                      <w:sz w:val="21"/>
                      <w:szCs w:val="21"/>
                      <w:lang w:eastAsia="zh-CN"/>
                    </w:rPr>
                    <w:t>，为白色结晶性粉末，密度：1.40g/cm</w:t>
                  </w:r>
                  <w:r>
                    <w:rPr>
                      <w:rFonts w:hint="eastAsia" w:ascii="宋体" w:hAnsi="宋体" w:eastAsia="宋体" w:cs="宋体"/>
                      <w:color w:val="auto"/>
                      <w:sz w:val="21"/>
                      <w:szCs w:val="21"/>
                      <w:vertAlign w:val="superscript"/>
                      <w:lang w:eastAsia="zh-CN"/>
                    </w:rPr>
                    <w:t>3</w:t>
                  </w:r>
                  <w:r>
                    <w:rPr>
                      <w:rFonts w:hint="eastAsia" w:ascii="宋体" w:hAnsi="宋体" w:eastAsia="宋体" w:cs="宋体"/>
                      <w:color w:val="auto"/>
                      <w:sz w:val="21"/>
                      <w:szCs w:val="21"/>
                      <w:lang w:eastAsia="zh-CN"/>
                    </w:rPr>
                    <w:t>，熔点：100℃（分解），溶于水、乙醇，主要用作防腐剂、试剂、催化剂，也可用于锆盐的制造。</w:t>
                  </w:r>
                </w:p>
              </w:tc>
              <w:tc>
                <w:tcPr>
                  <w:tcW w:w="1439" w:type="dxa"/>
                  <w:noWrap w:val="0"/>
                  <w:vAlign w:val="center"/>
                </w:tcPr>
                <w:p w14:paraId="53A82A8F">
                  <w:pPr>
                    <w:keepNext w:val="0"/>
                    <w:keepLines w:val="0"/>
                    <w:widowControl/>
                    <w:suppressLineNumbers w:val="0"/>
                    <w:kinsoku w:val="0"/>
                    <w:autoSpaceDE w:val="0"/>
                    <w:autoSpaceDN w:val="0"/>
                    <w:adjustRightInd w:val="0"/>
                    <w:snapToGrid w:val="0"/>
                    <w:spacing w:before="0" w:beforeAutospacing="0" w:after="0" w:afterAutospacing="0" w:line="240" w:lineRule="atLeast"/>
                    <w:ind w:left="0" w:right="0"/>
                    <w:jc w:val="center"/>
                    <w:textAlignment w:val="baseline"/>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2061" w:type="dxa"/>
                  <w:noWrap w:val="0"/>
                  <w:vAlign w:val="center"/>
                </w:tcPr>
                <w:p w14:paraId="66F6CEE7">
                  <w:pPr>
                    <w:keepNext w:val="0"/>
                    <w:keepLines w:val="0"/>
                    <w:widowControl/>
                    <w:suppressLineNumbers w:val="0"/>
                    <w:kinsoku w:val="0"/>
                    <w:autoSpaceDE w:val="0"/>
                    <w:autoSpaceDN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LD</w:t>
                  </w:r>
                  <w:r>
                    <w:rPr>
                      <w:rFonts w:hint="eastAsia" w:ascii="宋体" w:hAnsi="宋体" w:eastAsia="宋体" w:cs="宋体"/>
                      <w:color w:val="auto"/>
                      <w:sz w:val="21"/>
                      <w:szCs w:val="21"/>
                      <w:vertAlign w:val="subscript"/>
                    </w:rPr>
                    <w:t>50</w:t>
                  </w:r>
                  <w:r>
                    <w:rPr>
                      <w:rFonts w:hint="eastAsia" w:ascii="宋体" w:hAnsi="宋体" w:eastAsia="宋体" w:cs="宋体"/>
                      <w:color w:val="auto"/>
                      <w:sz w:val="21"/>
                      <w:szCs w:val="21"/>
                    </w:rPr>
                    <w:t>：3170mg/kg（大鼠经口）</w:t>
                  </w:r>
                </w:p>
              </w:tc>
            </w:tr>
            <w:tr w14:paraId="011862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2" w:type="dxa"/>
                  <w:noWrap w:val="0"/>
                  <w:vAlign w:val="center"/>
                </w:tcPr>
                <w:p w14:paraId="7DB644FE">
                  <w:pPr>
                    <w:keepNext w:val="0"/>
                    <w:keepLines w:val="0"/>
                    <w:widowControl/>
                    <w:suppressLineNumbers w:val="0"/>
                    <w:kinsoku w:val="0"/>
                    <w:autoSpaceDE w:val="0"/>
                    <w:autoSpaceDN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碳酸铵</w:t>
                  </w:r>
                </w:p>
              </w:tc>
              <w:tc>
                <w:tcPr>
                  <w:tcW w:w="3896" w:type="dxa"/>
                  <w:noWrap w:val="0"/>
                  <w:vAlign w:val="center"/>
                </w:tcPr>
                <w:p w14:paraId="59A34B1A">
                  <w:pPr>
                    <w:keepNext w:val="0"/>
                    <w:keepLines/>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一种无机化合物，化学式为(NH</w:t>
                  </w:r>
                  <w:r>
                    <w:rPr>
                      <w:rFonts w:hint="eastAsia" w:ascii="宋体" w:hAnsi="宋体" w:eastAsia="宋体" w:cs="宋体"/>
                      <w:color w:val="auto"/>
                      <w:sz w:val="21"/>
                      <w:szCs w:val="21"/>
                      <w:vertAlign w:val="subscript"/>
                      <w:lang w:eastAsia="zh-CN"/>
                    </w:rPr>
                    <w:t>4</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vertAlign w:val="subscript"/>
                      <w:lang w:eastAsia="zh-CN"/>
                    </w:rPr>
                    <w:t>2</w:t>
                  </w:r>
                  <w:r>
                    <w:rPr>
                      <w:rFonts w:hint="eastAsia" w:ascii="宋体" w:hAnsi="宋体" w:eastAsia="宋体" w:cs="宋体"/>
                      <w:color w:val="auto"/>
                      <w:sz w:val="21"/>
                      <w:szCs w:val="21"/>
                      <w:lang w:eastAsia="zh-CN"/>
                    </w:rPr>
                    <w:t>CO</w:t>
                  </w:r>
                  <w:r>
                    <w:rPr>
                      <w:rFonts w:hint="eastAsia" w:ascii="宋体" w:hAnsi="宋体" w:eastAsia="宋体" w:cs="宋体"/>
                      <w:color w:val="auto"/>
                      <w:sz w:val="21"/>
                      <w:szCs w:val="21"/>
                      <w:vertAlign w:val="subscript"/>
                      <w:lang w:eastAsia="zh-CN"/>
                    </w:rPr>
                    <w:t>3</w:t>
                  </w:r>
                  <w:r>
                    <w:rPr>
                      <w:rFonts w:hint="eastAsia" w:ascii="宋体" w:hAnsi="宋体" w:eastAsia="宋体" w:cs="宋体"/>
                      <w:color w:val="auto"/>
                      <w:sz w:val="21"/>
                      <w:szCs w:val="21"/>
                      <w:lang w:eastAsia="zh-CN"/>
                    </w:rPr>
                    <w:t>。为无色立方晶体，熔点：58℃，密度：1.5kg/m³，易溶于水，水溶液呈碱性，不溶于乙醇、二硫化碳及浓氨水。对光和热均不稳定，稍有吸湿性。</w:t>
                  </w:r>
                </w:p>
              </w:tc>
              <w:tc>
                <w:tcPr>
                  <w:tcW w:w="1439" w:type="dxa"/>
                  <w:noWrap w:val="0"/>
                  <w:vAlign w:val="center"/>
                </w:tcPr>
                <w:p w14:paraId="588DDDA6">
                  <w:pPr>
                    <w:keepNext w:val="0"/>
                    <w:keepLines w:val="0"/>
                    <w:widowControl/>
                    <w:suppressLineNumbers w:val="0"/>
                    <w:kinsoku w:val="0"/>
                    <w:autoSpaceDE w:val="0"/>
                    <w:autoSpaceDN w:val="0"/>
                    <w:adjustRightInd w:val="0"/>
                    <w:snapToGrid w:val="0"/>
                    <w:spacing w:before="0" w:beforeAutospacing="0" w:after="0" w:afterAutospacing="0" w:line="240" w:lineRule="atLeast"/>
                    <w:ind w:left="0" w:right="0"/>
                    <w:jc w:val="center"/>
                    <w:textAlignment w:val="baseline"/>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2061" w:type="dxa"/>
                  <w:noWrap w:val="0"/>
                  <w:vAlign w:val="center"/>
                </w:tcPr>
                <w:p w14:paraId="244ECF2C">
                  <w:pPr>
                    <w:keepNext w:val="0"/>
                    <w:keepLines w:val="0"/>
                    <w:widowControl/>
                    <w:suppressLineNumbers w:val="0"/>
                    <w:kinsoku w:val="0"/>
                    <w:autoSpaceDE w:val="0"/>
                    <w:autoSpaceDN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兔子经静脉LD</w:t>
                  </w:r>
                  <w:r>
                    <w:rPr>
                      <w:rFonts w:hint="eastAsia" w:ascii="宋体" w:hAnsi="宋体" w:eastAsia="宋体" w:cs="宋体"/>
                      <w:color w:val="auto"/>
                      <w:sz w:val="21"/>
                      <w:szCs w:val="21"/>
                      <w:vertAlign w:val="subscript"/>
                    </w:rPr>
                    <w:t>Lo</w:t>
                  </w:r>
                  <w:r>
                    <w:rPr>
                      <w:rFonts w:hint="eastAsia" w:ascii="宋体" w:hAnsi="宋体" w:eastAsia="宋体" w:cs="宋体"/>
                      <w:color w:val="auto"/>
                      <w:sz w:val="21"/>
                      <w:szCs w:val="21"/>
                    </w:rPr>
                    <w:t>：200mg/kg</w:t>
                  </w:r>
                </w:p>
              </w:tc>
            </w:tr>
            <w:tr w14:paraId="243157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2" w:type="dxa"/>
                  <w:noWrap w:val="0"/>
                  <w:vAlign w:val="center"/>
                </w:tcPr>
                <w:p w14:paraId="65D23312">
                  <w:pPr>
                    <w:keepNext w:val="0"/>
                    <w:keepLines w:val="0"/>
                    <w:widowControl/>
                    <w:suppressLineNumbers w:val="0"/>
                    <w:kinsoku w:val="0"/>
                    <w:autoSpaceDE w:val="0"/>
                    <w:autoSpaceDN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3-氨基丙基三乙氧基硅烷</w:t>
                  </w:r>
                </w:p>
              </w:tc>
              <w:tc>
                <w:tcPr>
                  <w:tcW w:w="3896" w:type="dxa"/>
                  <w:noWrap w:val="0"/>
                  <w:vAlign w:val="center"/>
                </w:tcPr>
                <w:p w14:paraId="05682AB4">
                  <w:pPr>
                    <w:keepNext w:val="0"/>
                    <w:keepLines/>
                    <w:pageBreakBefore w:val="0"/>
                    <w:widowControl/>
                    <w:suppressLineNumbers w:val="0"/>
                    <w:kinsoku/>
                    <w:wordWrap w:val="0"/>
                    <w:overflowPunct/>
                    <w:topLinePunct/>
                    <w:autoSpaceDE w:val="0"/>
                    <w:autoSpaceDN w:val="0"/>
                    <w:bidi w:val="0"/>
                    <w:adjustRightInd w:val="0"/>
                    <w:snapToGrid w:val="0"/>
                    <w:spacing w:before="0" w:beforeAutospacing="0" w:after="0" w:afterAutospacing="0" w:line="240" w:lineRule="atLeast"/>
                    <w:ind w:left="0" w:right="0"/>
                    <w:jc w:val="center"/>
                    <w:textAlignment w:val="baseline"/>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熔点：-70℃，沸点：217℃(lit.)，密度：0.946g/mL at 25℃(lit.)。</w:t>
                  </w:r>
                  <w:r>
                    <w:rPr>
                      <w:rFonts w:hint="eastAsia" w:ascii="宋体" w:hAnsi="宋体" w:eastAsia="宋体" w:cs="宋体"/>
                      <w:color w:val="auto"/>
                      <w:sz w:val="21"/>
                      <w:szCs w:val="21"/>
                      <w:lang w:val="en-US" w:eastAsia="zh-CN"/>
                    </w:rPr>
                    <w:t>用作硅烷偶联剂。</w:t>
                  </w:r>
                </w:p>
              </w:tc>
              <w:tc>
                <w:tcPr>
                  <w:tcW w:w="1439" w:type="dxa"/>
                  <w:noWrap w:val="0"/>
                  <w:vAlign w:val="center"/>
                </w:tcPr>
                <w:p w14:paraId="33E89131">
                  <w:pPr>
                    <w:keepNext w:val="0"/>
                    <w:keepLines w:val="0"/>
                    <w:widowControl/>
                    <w:suppressLineNumbers w:val="0"/>
                    <w:kinsoku w:val="0"/>
                    <w:autoSpaceDE w:val="0"/>
                    <w:autoSpaceDN w:val="0"/>
                    <w:adjustRightInd w:val="0"/>
                    <w:snapToGrid w:val="0"/>
                    <w:spacing w:before="0" w:beforeAutospacing="0" w:after="0" w:afterAutospacing="0" w:line="240" w:lineRule="atLeast"/>
                    <w:ind w:left="0" w:right="0"/>
                    <w:jc w:val="center"/>
                    <w:textAlignment w:val="baseline"/>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2061" w:type="dxa"/>
                  <w:noWrap w:val="0"/>
                  <w:vAlign w:val="center"/>
                </w:tcPr>
                <w:p w14:paraId="707FBD00">
                  <w:pPr>
                    <w:keepNext w:val="0"/>
                    <w:keepLines w:val="0"/>
                    <w:widowControl/>
                    <w:suppressLineNumbers w:val="0"/>
                    <w:kinsoku w:val="0"/>
                    <w:autoSpaceDE w:val="0"/>
                    <w:autoSpaceDN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r>
            <w:tr w14:paraId="6BC760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922" w:type="dxa"/>
                  <w:noWrap w:val="0"/>
                  <w:vAlign w:val="center"/>
                </w:tcPr>
                <w:p w14:paraId="62E3A407">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钛白粉</w:t>
                  </w:r>
                </w:p>
              </w:tc>
              <w:tc>
                <w:tcPr>
                  <w:tcW w:w="3896" w:type="dxa"/>
                  <w:noWrap w:val="0"/>
                  <w:vAlign w:val="center"/>
                </w:tcPr>
                <w:p w14:paraId="1C56A863">
                  <w:pPr>
                    <w:keepNext w:val="0"/>
                    <w:keepLines w:val="0"/>
                    <w:suppressLineNumbers w:val="0"/>
                    <w:autoSpaceDE w:val="0"/>
                    <w:adjustRightInd w:val="0"/>
                    <w:snapToGrid w:val="0"/>
                    <w:spacing w:before="0" w:beforeAutospacing="0" w:after="0" w:afterAutospacing="0" w:line="240" w:lineRule="atLeast"/>
                    <w:ind w:left="0" w:leftChars="0" w:right="0" w:right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一种重要的无机化工颜料，主要成分为二氧化钛。密度：4.23g/cm</w:t>
                  </w:r>
                  <w:r>
                    <w:rPr>
                      <w:rFonts w:hint="eastAsia" w:ascii="宋体" w:hAnsi="宋体" w:eastAsia="宋体" w:cs="宋体"/>
                      <w:color w:val="auto"/>
                      <w:sz w:val="21"/>
                      <w:szCs w:val="21"/>
                      <w:vertAlign w:val="superscript"/>
                      <w:lang w:val="en-US" w:eastAsia="zh-CN"/>
                    </w:rPr>
                    <w:t>3</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沸点：2900℃</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熔点：1855℃</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化学性质极为稳定，是一种偏酸性的两性氧化物。常温下几乎不与其他元素和化合物反应，对氧、氨、氮、硫化氢、二氧化碳、二氧化硫都不起作用，不溶于水、脂肪，也不溶于稀酸及无机酸、碱，只溶于氢氟酸。</w:t>
                  </w:r>
                </w:p>
              </w:tc>
              <w:tc>
                <w:tcPr>
                  <w:tcW w:w="1439" w:type="dxa"/>
                  <w:noWrap w:val="0"/>
                  <w:vAlign w:val="center"/>
                </w:tcPr>
                <w:p w14:paraId="6C3E0A48">
                  <w:pPr>
                    <w:keepNext w:val="0"/>
                    <w:keepLines w:val="0"/>
                    <w:suppressLineNumbers w:val="0"/>
                    <w:autoSpaceDE w:val="0"/>
                    <w:adjustRightInd w:val="0"/>
                    <w:snapToGrid w:val="0"/>
                    <w:spacing w:before="0" w:beforeAutospacing="0" w:after="0" w:afterAutospacing="0" w:line="240" w:lineRule="atLeast"/>
                    <w:ind w:left="0" w:leftChars="0" w:right="0" w:right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w:t>
                  </w:r>
                </w:p>
              </w:tc>
              <w:tc>
                <w:tcPr>
                  <w:tcW w:w="2061" w:type="dxa"/>
                  <w:noWrap w:val="0"/>
                  <w:vAlign w:val="center"/>
                </w:tcPr>
                <w:p w14:paraId="67A6FE96">
                  <w:pPr>
                    <w:keepNext w:val="0"/>
                    <w:keepLines w:val="0"/>
                    <w:suppressLineNumbers w:val="0"/>
                    <w:autoSpaceDE w:val="0"/>
                    <w:adjustRightInd w:val="0"/>
                    <w:snapToGrid w:val="0"/>
                    <w:spacing w:before="0" w:beforeAutospacing="0" w:after="0" w:afterAutospacing="0" w:line="240" w:lineRule="atLeast"/>
                    <w:ind w:left="0" w:leftChars="0" w:right="0" w:right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w:t>
                  </w:r>
                </w:p>
              </w:tc>
            </w:tr>
            <w:tr w14:paraId="61798C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922" w:type="dxa"/>
                  <w:noWrap w:val="0"/>
                  <w:vAlign w:val="center"/>
                </w:tcPr>
                <w:p w14:paraId="1B610FAF">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天然气（甲烷）</w:t>
                  </w:r>
                </w:p>
              </w:tc>
              <w:tc>
                <w:tcPr>
                  <w:tcW w:w="3896" w:type="dxa"/>
                  <w:noWrap w:val="0"/>
                  <w:vAlign w:val="top"/>
                </w:tcPr>
                <w:p w14:paraId="08B6C8C6">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一种无色、无味、无毒的气体，在常温下为无定形晶体，密度较大</w:t>
                  </w:r>
                  <w:r>
                    <w:rPr>
                      <w:rFonts w:hint="eastAsia" w:ascii="宋体" w:hAnsi="宋体" w:eastAsia="宋体" w:cs="宋体"/>
                      <w:color w:val="auto"/>
                      <w:sz w:val="21"/>
                      <w:szCs w:val="21"/>
                      <w:lang w:eastAsia="zh-CN"/>
                    </w:rPr>
                    <w:t>，微溶于水，溶于乙醇、乙醚等有机溶剂。</w:t>
                  </w:r>
                  <w:r>
                    <w:rPr>
                      <w:rFonts w:hint="eastAsia" w:ascii="宋体" w:hAnsi="宋体" w:eastAsia="宋体" w:cs="宋体"/>
                      <w:color w:val="auto"/>
                      <w:sz w:val="21"/>
                      <w:szCs w:val="21"/>
                    </w:rPr>
                    <w:t>具有低沸点和燃烧性，易溶于非极性溶剂。甲烷是一种稳定的化合物，不与大多数常见物质发生反应。</w:t>
                  </w:r>
                  <w:r>
                    <w:rPr>
                      <w:rFonts w:hint="eastAsia" w:ascii="宋体" w:hAnsi="宋体" w:eastAsia="宋体" w:cs="宋体"/>
                      <w:color w:val="auto"/>
                      <w:sz w:val="21"/>
                      <w:szCs w:val="21"/>
                      <w:lang w:val="en-US" w:eastAsia="zh-CN"/>
                    </w:rPr>
                    <w:t>熔点：−183℃(lit.)，沸点：−161℃(lit.)，闪电：-188℃，水溶性：24.4mg/L(25 ºC)。</w:t>
                  </w:r>
                </w:p>
              </w:tc>
              <w:tc>
                <w:tcPr>
                  <w:tcW w:w="1439" w:type="dxa"/>
                  <w:noWrap w:val="0"/>
                  <w:vAlign w:val="center"/>
                </w:tcPr>
                <w:p w14:paraId="1D43751F">
                  <w:pPr>
                    <w:keepNext w:val="0"/>
                    <w:keepLines w:val="0"/>
                    <w:suppressLineNumbers w:val="0"/>
                    <w:tabs>
                      <w:tab w:val="left" w:pos="3990"/>
                    </w:tabs>
                    <w:autoSpaceDE w:val="0"/>
                    <w:adjustRightInd w:val="0"/>
                    <w:snapToGrid w:val="0"/>
                    <w:spacing w:before="0" w:beforeAutospacing="0" w:after="0" w:afterAutospacing="0" w:line="240" w:lineRule="atLeast"/>
                    <w:ind w:left="0" w:leftChars="0" w:right="0" w:rightChars="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sz w:val="21"/>
                      <w:szCs w:val="21"/>
                      <w:lang w:val="en-US" w:eastAsia="zh-CN"/>
                    </w:rPr>
                    <w:t>易燃</w:t>
                  </w:r>
                </w:p>
              </w:tc>
              <w:tc>
                <w:tcPr>
                  <w:tcW w:w="2061" w:type="dxa"/>
                  <w:noWrap w:val="0"/>
                  <w:vAlign w:val="center"/>
                </w:tcPr>
                <w:p w14:paraId="5E5C2E21">
                  <w:pPr>
                    <w:keepNext w:val="0"/>
                    <w:keepLines w:val="0"/>
                    <w:suppressLineNumbers w:val="0"/>
                    <w:tabs>
                      <w:tab w:val="left" w:pos="3990"/>
                    </w:tabs>
                    <w:autoSpaceDE w:val="0"/>
                    <w:adjustRightInd w:val="0"/>
                    <w:snapToGrid w:val="0"/>
                    <w:spacing w:before="0" w:beforeAutospacing="0" w:after="0" w:afterAutospacing="0" w:line="240" w:lineRule="atLeast"/>
                    <w:ind w:left="0" w:leftChars="0" w:right="0" w:rightChars="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sz w:val="21"/>
                      <w:szCs w:val="21"/>
                      <w:lang w:val="en-US" w:eastAsia="zh-CN"/>
                    </w:rPr>
                    <w:t>/</w:t>
                  </w:r>
                </w:p>
              </w:tc>
            </w:tr>
            <w:tr w14:paraId="724736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2" w:type="dxa"/>
                  <w:noWrap w:val="0"/>
                  <w:vAlign w:val="center"/>
                </w:tcPr>
                <w:p w14:paraId="14F6B2FC">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聚合氯化铝</w:t>
                  </w:r>
                </w:p>
              </w:tc>
              <w:tc>
                <w:tcPr>
                  <w:tcW w:w="3896" w:type="dxa"/>
                  <w:noWrap w:val="0"/>
                  <w:vAlign w:val="center"/>
                </w:tcPr>
                <w:p w14:paraId="413D7224">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聚合氯化铝具有吸附、凝聚、沉淀等性能，其稳定性差，有腐蚀性。</w:t>
                  </w:r>
                </w:p>
              </w:tc>
              <w:tc>
                <w:tcPr>
                  <w:tcW w:w="1439" w:type="dxa"/>
                  <w:noWrap w:val="0"/>
                  <w:vAlign w:val="center"/>
                </w:tcPr>
                <w:p w14:paraId="67431E08">
                  <w:pPr>
                    <w:keepNext w:val="0"/>
                    <w:keepLines w:val="0"/>
                    <w:suppressLineNumbers w:val="0"/>
                    <w:tabs>
                      <w:tab w:val="left" w:pos="3990"/>
                    </w:tabs>
                    <w:autoSpaceDE w:val="0"/>
                    <w:adjustRightInd w:val="0"/>
                    <w:snapToGrid w:val="0"/>
                    <w:spacing w:before="0" w:beforeAutospacing="0" w:after="0" w:afterAutospacing="0" w:line="240" w:lineRule="atLeast"/>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bCs/>
                      <w:sz w:val="21"/>
                      <w:szCs w:val="21"/>
                    </w:rPr>
                    <w:t>/</w:t>
                  </w:r>
                </w:p>
              </w:tc>
              <w:tc>
                <w:tcPr>
                  <w:tcW w:w="2061" w:type="dxa"/>
                  <w:noWrap w:val="0"/>
                  <w:vAlign w:val="center"/>
                </w:tcPr>
                <w:p w14:paraId="0618ECFA">
                  <w:pPr>
                    <w:keepNext w:val="0"/>
                    <w:keepLines w:val="0"/>
                    <w:suppressLineNumbers w:val="0"/>
                    <w:tabs>
                      <w:tab w:val="left" w:pos="3990"/>
                    </w:tabs>
                    <w:autoSpaceDE w:val="0"/>
                    <w:adjustRightInd w:val="0"/>
                    <w:snapToGrid w:val="0"/>
                    <w:spacing w:before="0" w:beforeAutospacing="0" w:after="0" w:afterAutospacing="0" w:line="240" w:lineRule="atLeast"/>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bCs/>
                      <w:sz w:val="21"/>
                      <w:szCs w:val="21"/>
                    </w:rPr>
                    <w:t>/</w:t>
                  </w:r>
                </w:p>
              </w:tc>
            </w:tr>
            <w:tr w14:paraId="0C0783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2" w:type="dxa"/>
                  <w:noWrap w:val="0"/>
                  <w:vAlign w:val="center"/>
                </w:tcPr>
                <w:p w14:paraId="11059B8C">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聚丙烯酰胺</w:t>
                  </w:r>
                </w:p>
              </w:tc>
              <w:tc>
                <w:tcPr>
                  <w:tcW w:w="3896" w:type="dxa"/>
                  <w:noWrap w:val="0"/>
                  <w:vAlign w:val="top"/>
                </w:tcPr>
                <w:p w14:paraId="7885FF51">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聚丙烯酰胺是一种线状的有机高分子聚合物，同时也是一种高分子水处理絮凝剂产品，专门可以吸附水中的悬浮颗粒，在颗粒之间起链接架桥作用，使细颗粒形成比较大的絮团，并且加快了沉淀的速度。这一过程称之为絮凝，因其中良好的絮凝效果PAM作为水处理的絮凝剂并且被广泛用于污水处理。</w:t>
                  </w:r>
                </w:p>
              </w:tc>
              <w:tc>
                <w:tcPr>
                  <w:tcW w:w="1439" w:type="dxa"/>
                  <w:noWrap w:val="0"/>
                  <w:vAlign w:val="center"/>
                </w:tcPr>
                <w:p w14:paraId="4A219B35">
                  <w:pPr>
                    <w:keepNext w:val="0"/>
                    <w:keepLines w:val="0"/>
                    <w:suppressLineNumbers w:val="0"/>
                    <w:tabs>
                      <w:tab w:val="left" w:pos="3990"/>
                    </w:tabs>
                    <w:autoSpaceDE w:val="0"/>
                    <w:adjustRightInd w:val="0"/>
                    <w:snapToGrid w:val="0"/>
                    <w:spacing w:before="0" w:beforeAutospacing="0" w:after="0" w:afterAutospacing="0" w:line="240" w:lineRule="atLeast"/>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bCs/>
                      <w:sz w:val="21"/>
                      <w:szCs w:val="21"/>
                    </w:rPr>
                    <w:t>/</w:t>
                  </w:r>
                </w:p>
              </w:tc>
              <w:tc>
                <w:tcPr>
                  <w:tcW w:w="2061" w:type="dxa"/>
                  <w:noWrap w:val="0"/>
                  <w:vAlign w:val="center"/>
                </w:tcPr>
                <w:p w14:paraId="06A238A2">
                  <w:pPr>
                    <w:keepNext w:val="0"/>
                    <w:keepLines w:val="0"/>
                    <w:suppressLineNumbers w:val="0"/>
                    <w:tabs>
                      <w:tab w:val="left" w:pos="3990"/>
                    </w:tabs>
                    <w:autoSpaceDE w:val="0"/>
                    <w:adjustRightInd w:val="0"/>
                    <w:snapToGrid w:val="0"/>
                    <w:spacing w:before="0" w:beforeAutospacing="0" w:after="0" w:afterAutospacing="0" w:line="240" w:lineRule="atLeast"/>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bCs/>
                      <w:sz w:val="21"/>
                      <w:szCs w:val="21"/>
                    </w:rPr>
                    <w:t>/</w:t>
                  </w:r>
                </w:p>
              </w:tc>
            </w:tr>
          </w:tbl>
          <w:p w14:paraId="4AEE5C2E">
            <w:pPr>
              <w:keepNext w:val="0"/>
              <w:keepLines w:val="0"/>
              <w:suppressLineNumbers w:val="0"/>
              <w:adjustRightInd w:val="0"/>
              <w:snapToGrid w:val="0"/>
              <w:spacing w:before="0" w:beforeAutospacing="0" w:after="0" w:afterAutospacing="0"/>
              <w:ind w:left="0" w:right="0"/>
              <w:rPr>
                <w:rFonts w:hint="eastAsia" w:ascii="宋体" w:hAnsi="宋体" w:eastAsia="宋体" w:cs="宋体"/>
                <w:bCs/>
              </w:rPr>
            </w:pPr>
            <w:r>
              <w:rPr>
                <w:rFonts w:hint="eastAsia" w:ascii="宋体" w:hAnsi="宋体" w:eastAsia="宋体" w:cs="宋体"/>
                <w:bCs/>
              </w:rPr>
              <w:t>4、项目设备清单</w:t>
            </w:r>
          </w:p>
          <w:p w14:paraId="5A11AD08">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rPr>
            </w:pPr>
            <w:r>
              <w:rPr>
                <w:rFonts w:hint="eastAsia" w:ascii="宋体" w:hAnsi="宋体" w:eastAsia="宋体" w:cs="宋体"/>
                <w:b/>
                <w:bCs w:val="0"/>
              </w:rPr>
              <w:t>表2-</w:t>
            </w:r>
            <w:r>
              <w:rPr>
                <w:rFonts w:hint="eastAsia" w:ascii="宋体" w:hAnsi="宋体" w:eastAsia="宋体" w:cs="宋体"/>
                <w:b/>
                <w:bCs w:val="0"/>
                <w:lang w:val="en-US" w:eastAsia="zh-CN"/>
              </w:rPr>
              <w:t>6</w:t>
            </w:r>
            <w:r>
              <w:rPr>
                <w:rFonts w:hint="eastAsia" w:ascii="宋体" w:hAnsi="宋体" w:eastAsia="宋体" w:cs="宋体"/>
                <w:b/>
                <w:bCs w:val="0"/>
              </w:rPr>
              <w:t xml:space="preserve"> 设备清单一览表</w:t>
            </w:r>
          </w:p>
          <w:tbl>
            <w:tblPr>
              <w:tblStyle w:val="30"/>
              <w:tblW w:w="7851"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00"/>
              <w:gridCol w:w="880"/>
              <w:gridCol w:w="732"/>
              <w:gridCol w:w="1520"/>
              <w:gridCol w:w="2731"/>
              <w:gridCol w:w="1188"/>
            </w:tblGrid>
            <w:tr w14:paraId="5F3CB3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0" w:hRule="atLeast"/>
                <w:jc w:val="center"/>
              </w:trPr>
              <w:tc>
                <w:tcPr>
                  <w:tcW w:w="800" w:type="dxa"/>
                  <w:noWrap w:val="0"/>
                  <w:vAlign w:val="center"/>
                </w:tcPr>
                <w:p w14:paraId="287F068A">
                  <w:pPr>
                    <w:pStyle w:val="68"/>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szCs w:val="21"/>
                      <w:lang w:val="en-US"/>
                    </w:rPr>
                  </w:pPr>
                  <w:r>
                    <w:rPr>
                      <w:rFonts w:hint="eastAsia" w:ascii="宋体" w:hAnsi="宋体" w:eastAsia="宋体" w:cs="宋体"/>
                      <w:sz w:val="21"/>
                      <w:szCs w:val="21"/>
                      <w:lang w:val="en-US"/>
                    </w:rPr>
                    <w:t>序号</w:t>
                  </w:r>
                </w:p>
              </w:tc>
              <w:tc>
                <w:tcPr>
                  <w:tcW w:w="880" w:type="dxa"/>
                  <w:noWrap w:val="0"/>
                  <w:vAlign w:val="center"/>
                </w:tcPr>
                <w:p w14:paraId="2360DF63">
                  <w:pPr>
                    <w:pStyle w:val="68"/>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b/>
                      <w:sz w:val="21"/>
                      <w:szCs w:val="21"/>
                    </w:rPr>
                  </w:pPr>
                  <w:r>
                    <w:rPr>
                      <w:rFonts w:hint="eastAsia" w:ascii="宋体" w:hAnsi="宋体" w:eastAsia="宋体" w:cs="宋体"/>
                      <w:b/>
                      <w:sz w:val="21"/>
                      <w:szCs w:val="21"/>
                    </w:rPr>
                    <w:t>类别</w:t>
                  </w:r>
                </w:p>
              </w:tc>
              <w:tc>
                <w:tcPr>
                  <w:tcW w:w="2252" w:type="dxa"/>
                  <w:gridSpan w:val="2"/>
                  <w:noWrap w:val="0"/>
                  <w:vAlign w:val="center"/>
                </w:tcPr>
                <w:p w14:paraId="2D67DAFA">
                  <w:pPr>
                    <w:pStyle w:val="68"/>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b/>
                      <w:sz w:val="21"/>
                      <w:szCs w:val="21"/>
                    </w:rPr>
                  </w:pPr>
                  <w:r>
                    <w:rPr>
                      <w:rFonts w:hint="eastAsia" w:ascii="宋体" w:hAnsi="宋体" w:eastAsia="宋体" w:cs="宋体"/>
                      <w:b/>
                      <w:sz w:val="21"/>
                      <w:szCs w:val="21"/>
                    </w:rPr>
                    <w:t>名称</w:t>
                  </w:r>
                </w:p>
              </w:tc>
              <w:tc>
                <w:tcPr>
                  <w:tcW w:w="2731" w:type="dxa"/>
                  <w:noWrap w:val="0"/>
                  <w:vAlign w:val="center"/>
                </w:tcPr>
                <w:p w14:paraId="0CDBEE42">
                  <w:pPr>
                    <w:pStyle w:val="68"/>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规格型号</w:t>
                  </w:r>
                </w:p>
              </w:tc>
              <w:tc>
                <w:tcPr>
                  <w:tcW w:w="1188" w:type="dxa"/>
                  <w:noWrap w:val="0"/>
                  <w:vAlign w:val="center"/>
                </w:tcPr>
                <w:p w14:paraId="5171B49E">
                  <w:pPr>
                    <w:pStyle w:val="68"/>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b/>
                      <w:sz w:val="21"/>
                      <w:szCs w:val="21"/>
                    </w:rPr>
                  </w:pPr>
                  <w:r>
                    <w:rPr>
                      <w:rFonts w:hint="eastAsia" w:ascii="宋体" w:hAnsi="宋体" w:eastAsia="宋体" w:cs="宋体"/>
                      <w:b/>
                      <w:sz w:val="21"/>
                      <w:szCs w:val="21"/>
                    </w:rPr>
                    <w:t>数量（台</w:t>
                  </w:r>
                  <w:r>
                    <w:rPr>
                      <w:rFonts w:hint="eastAsia" w:ascii="宋体" w:hAnsi="宋体" w:eastAsia="宋体" w:cs="宋体"/>
                      <w:b/>
                      <w:sz w:val="21"/>
                      <w:szCs w:val="21"/>
                      <w:lang w:val="en-US"/>
                    </w:rPr>
                    <w:t>/套</w:t>
                  </w:r>
                  <w:r>
                    <w:rPr>
                      <w:rFonts w:hint="eastAsia" w:ascii="宋体" w:hAnsi="宋体" w:eastAsia="宋体" w:cs="宋体"/>
                      <w:b/>
                      <w:sz w:val="21"/>
                      <w:szCs w:val="21"/>
                    </w:rPr>
                    <w:t>）</w:t>
                  </w:r>
                </w:p>
              </w:tc>
            </w:tr>
            <w:tr w14:paraId="2D5092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1" w:hRule="atLeast"/>
                <w:jc w:val="center"/>
              </w:trPr>
              <w:tc>
                <w:tcPr>
                  <w:tcW w:w="800" w:type="dxa"/>
                  <w:noWrap w:val="0"/>
                  <w:vAlign w:val="center"/>
                </w:tcPr>
                <w:p w14:paraId="3DF25610">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1</w:t>
                  </w:r>
                </w:p>
              </w:tc>
              <w:tc>
                <w:tcPr>
                  <w:tcW w:w="880" w:type="dxa"/>
                  <w:vMerge w:val="restart"/>
                  <w:noWrap w:val="0"/>
                  <w:vAlign w:val="center"/>
                </w:tcPr>
                <w:p w14:paraId="5533FE38">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生产设备</w:t>
                  </w:r>
                </w:p>
              </w:tc>
              <w:tc>
                <w:tcPr>
                  <w:tcW w:w="2252" w:type="dxa"/>
                  <w:gridSpan w:val="2"/>
                  <w:noWrap w:val="0"/>
                  <w:vAlign w:val="center"/>
                </w:tcPr>
                <w:p w14:paraId="3CF0A852">
                  <w:pPr>
                    <w:pStyle w:val="68"/>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除尘打磨台</w:t>
                  </w:r>
                </w:p>
              </w:tc>
              <w:tc>
                <w:tcPr>
                  <w:tcW w:w="2731" w:type="dxa"/>
                  <w:noWrap w:val="0"/>
                  <w:vAlign w:val="center"/>
                </w:tcPr>
                <w:p w14:paraId="15D25D13">
                  <w:pPr>
                    <w:pStyle w:val="68"/>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20m</w:t>
                  </w:r>
                  <w:r>
                    <w:rPr>
                      <w:rFonts w:hint="eastAsia" w:ascii="宋体" w:hAnsi="宋体" w:eastAsia="宋体" w:cs="宋体"/>
                      <w:kern w:val="0"/>
                      <w:sz w:val="21"/>
                      <w:szCs w:val="21"/>
                      <w:vertAlign w:val="superscript"/>
                      <w:lang w:val="en-US" w:eastAsia="zh-CN" w:bidi="ar-SA"/>
                    </w:rPr>
                    <w:t>2</w:t>
                  </w:r>
                  <w:r>
                    <w:rPr>
                      <w:rFonts w:hint="eastAsia" w:ascii="宋体" w:hAnsi="宋体" w:eastAsia="宋体" w:cs="宋体"/>
                      <w:kern w:val="0"/>
                      <w:sz w:val="21"/>
                      <w:szCs w:val="21"/>
                      <w:lang w:val="en-US" w:eastAsia="zh-CN" w:bidi="ar-SA"/>
                    </w:rPr>
                    <w:t>/h</w:t>
                  </w:r>
                </w:p>
              </w:tc>
              <w:tc>
                <w:tcPr>
                  <w:tcW w:w="1188" w:type="dxa"/>
                  <w:noWrap w:val="0"/>
                  <w:vAlign w:val="center"/>
                </w:tcPr>
                <w:p w14:paraId="3056B9AA">
                  <w:pPr>
                    <w:pStyle w:val="68"/>
                    <w:keepNext w:val="0"/>
                    <w:keepLines w:val="0"/>
                    <w:suppressLineNumbers w:val="0"/>
                    <w:adjustRightInd w:val="0"/>
                    <w:snapToGrid w:val="0"/>
                    <w:spacing w:before="0" w:beforeAutospacing="0" w:after="0" w:afterAutospacing="0" w:line="240" w:lineRule="atLeast"/>
                    <w:ind w:left="0" w:leftChars="0" w:right="0" w:rightChars="0"/>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8</w:t>
                  </w:r>
                </w:p>
              </w:tc>
            </w:tr>
            <w:tr w14:paraId="07C26F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1" w:hRule="atLeast"/>
                <w:jc w:val="center"/>
              </w:trPr>
              <w:tc>
                <w:tcPr>
                  <w:tcW w:w="800" w:type="dxa"/>
                  <w:noWrap w:val="0"/>
                  <w:vAlign w:val="center"/>
                </w:tcPr>
                <w:p w14:paraId="454EBF28">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2</w:t>
                  </w:r>
                </w:p>
              </w:tc>
              <w:tc>
                <w:tcPr>
                  <w:tcW w:w="880" w:type="dxa"/>
                  <w:vMerge w:val="continue"/>
                  <w:noWrap w:val="0"/>
                  <w:vAlign w:val="center"/>
                </w:tcPr>
                <w:p w14:paraId="082E8A19">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2252" w:type="dxa"/>
                  <w:gridSpan w:val="2"/>
                  <w:noWrap w:val="0"/>
                  <w:vAlign w:val="center"/>
                </w:tcPr>
                <w:p w14:paraId="2D7E2746">
                  <w:pPr>
                    <w:pStyle w:val="68"/>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szCs w:val="21"/>
                      <w:lang w:val="en-US"/>
                    </w:rPr>
                  </w:pPr>
                  <w:r>
                    <w:rPr>
                      <w:rFonts w:hint="eastAsia" w:ascii="宋体" w:hAnsi="宋体" w:eastAsia="宋体" w:cs="宋体"/>
                      <w:sz w:val="21"/>
                      <w:szCs w:val="21"/>
                      <w:lang w:val="en-US" w:eastAsia="zh-CN"/>
                    </w:rPr>
                    <w:t>喷砂</w:t>
                  </w:r>
                  <w:r>
                    <w:rPr>
                      <w:rFonts w:hint="eastAsia" w:ascii="宋体" w:hAnsi="宋体" w:eastAsia="宋体" w:cs="宋体"/>
                      <w:sz w:val="21"/>
                      <w:szCs w:val="21"/>
                      <w:lang w:val="en-US"/>
                    </w:rPr>
                    <w:t>机</w:t>
                  </w:r>
                </w:p>
              </w:tc>
              <w:tc>
                <w:tcPr>
                  <w:tcW w:w="2731" w:type="dxa"/>
                  <w:noWrap w:val="0"/>
                  <w:vAlign w:val="center"/>
                </w:tcPr>
                <w:p w14:paraId="31A64C72">
                  <w:pPr>
                    <w:pStyle w:val="68"/>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130m</w:t>
                  </w:r>
                  <w:r>
                    <w:rPr>
                      <w:rFonts w:hint="eastAsia" w:ascii="宋体" w:hAnsi="宋体" w:eastAsia="宋体" w:cs="宋体"/>
                      <w:kern w:val="0"/>
                      <w:sz w:val="21"/>
                      <w:szCs w:val="21"/>
                      <w:vertAlign w:val="superscript"/>
                      <w:lang w:val="en-US" w:eastAsia="zh-CN" w:bidi="ar-SA"/>
                    </w:rPr>
                    <w:t>2</w:t>
                  </w:r>
                  <w:r>
                    <w:rPr>
                      <w:rFonts w:hint="eastAsia" w:ascii="宋体" w:hAnsi="宋体" w:eastAsia="宋体" w:cs="宋体"/>
                      <w:kern w:val="0"/>
                      <w:sz w:val="21"/>
                      <w:szCs w:val="21"/>
                      <w:lang w:val="en-US" w:eastAsia="zh-CN" w:bidi="ar-SA"/>
                    </w:rPr>
                    <w:t>/h</w:t>
                  </w:r>
                </w:p>
              </w:tc>
              <w:tc>
                <w:tcPr>
                  <w:tcW w:w="1188" w:type="dxa"/>
                  <w:noWrap w:val="0"/>
                  <w:vAlign w:val="center"/>
                </w:tcPr>
                <w:p w14:paraId="36463FBD">
                  <w:pPr>
                    <w:pStyle w:val="68"/>
                    <w:keepNext w:val="0"/>
                    <w:keepLines w:val="0"/>
                    <w:suppressLineNumbers w:val="0"/>
                    <w:adjustRightInd w:val="0"/>
                    <w:snapToGrid w:val="0"/>
                    <w:spacing w:before="0" w:beforeAutospacing="0" w:after="0" w:afterAutospacing="0" w:line="240" w:lineRule="atLeast"/>
                    <w:ind w:left="0" w:leftChars="0" w:right="0" w:rightChars="0"/>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1</w:t>
                  </w:r>
                </w:p>
              </w:tc>
            </w:tr>
            <w:tr w14:paraId="4F77FC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1" w:hRule="atLeast"/>
                <w:jc w:val="center"/>
              </w:trPr>
              <w:tc>
                <w:tcPr>
                  <w:tcW w:w="800" w:type="dxa"/>
                  <w:noWrap w:val="0"/>
                  <w:vAlign w:val="center"/>
                </w:tcPr>
                <w:p w14:paraId="71FDA8FE">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880" w:type="dxa"/>
                  <w:vMerge w:val="continue"/>
                  <w:noWrap w:val="0"/>
                  <w:vAlign w:val="center"/>
                </w:tcPr>
                <w:p w14:paraId="6DF580AD">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2252" w:type="dxa"/>
                  <w:gridSpan w:val="2"/>
                  <w:noWrap w:val="0"/>
                  <w:vAlign w:val="center"/>
                </w:tcPr>
                <w:p w14:paraId="663A1C26">
                  <w:pPr>
                    <w:pStyle w:val="68"/>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szCs w:val="21"/>
                      <w:lang w:val="en-US"/>
                    </w:rPr>
                  </w:pPr>
                  <w:r>
                    <w:rPr>
                      <w:rFonts w:hint="eastAsia" w:ascii="宋体" w:hAnsi="宋体" w:eastAsia="宋体" w:cs="宋体"/>
                      <w:sz w:val="21"/>
                      <w:szCs w:val="21"/>
                      <w:lang w:val="en-US"/>
                    </w:rPr>
                    <w:t>喷</w:t>
                  </w:r>
                  <w:r>
                    <w:rPr>
                      <w:rFonts w:hint="eastAsia" w:ascii="宋体" w:hAnsi="宋体" w:eastAsia="宋体" w:cs="宋体"/>
                      <w:sz w:val="21"/>
                      <w:szCs w:val="21"/>
                      <w:lang w:val="en-US" w:eastAsia="zh-CN"/>
                    </w:rPr>
                    <w:t>塑</w:t>
                  </w:r>
                  <w:r>
                    <w:rPr>
                      <w:rFonts w:hint="eastAsia" w:ascii="宋体" w:hAnsi="宋体" w:eastAsia="宋体" w:cs="宋体"/>
                      <w:sz w:val="21"/>
                      <w:szCs w:val="21"/>
                      <w:lang w:val="en-US"/>
                    </w:rPr>
                    <w:t>房</w:t>
                  </w:r>
                </w:p>
              </w:tc>
              <w:tc>
                <w:tcPr>
                  <w:tcW w:w="2731" w:type="dxa"/>
                  <w:noWrap w:val="0"/>
                  <w:vAlign w:val="center"/>
                </w:tcPr>
                <w:p w14:paraId="3F945D65">
                  <w:pPr>
                    <w:pStyle w:val="68"/>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SA"/>
                    </w:rPr>
                    <w:t>12000m</w:t>
                  </w:r>
                  <w:r>
                    <w:rPr>
                      <w:rFonts w:hint="eastAsia" w:ascii="宋体" w:hAnsi="宋体" w:eastAsia="宋体" w:cs="宋体"/>
                      <w:kern w:val="0"/>
                      <w:sz w:val="21"/>
                      <w:szCs w:val="21"/>
                      <w:vertAlign w:val="superscript"/>
                      <w:lang w:val="en-US" w:eastAsia="zh-CN" w:bidi="ar-SA"/>
                    </w:rPr>
                    <w:t>3</w:t>
                  </w:r>
                  <w:r>
                    <w:rPr>
                      <w:rFonts w:hint="eastAsia" w:ascii="宋体" w:hAnsi="宋体" w:eastAsia="宋体" w:cs="宋体"/>
                      <w:kern w:val="0"/>
                      <w:sz w:val="21"/>
                      <w:szCs w:val="21"/>
                      <w:lang w:val="en-US" w:eastAsia="zh-CN" w:bidi="ar-SA"/>
                    </w:rPr>
                    <w:t>/h</w:t>
                  </w:r>
                </w:p>
              </w:tc>
              <w:tc>
                <w:tcPr>
                  <w:tcW w:w="1188" w:type="dxa"/>
                  <w:noWrap w:val="0"/>
                  <w:vAlign w:val="center"/>
                </w:tcPr>
                <w:p w14:paraId="4E2D26EC">
                  <w:pPr>
                    <w:pStyle w:val="68"/>
                    <w:keepNext w:val="0"/>
                    <w:keepLines w:val="0"/>
                    <w:suppressLineNumbers w:val="0"/>
                    <w:adjustRightInd w:val="0"/>
                    <w:snapToGrid w:val="0"/>
                    <w:spacing w:before="0" w:beforeAutospacing="0" w:after="0" w:afterAutospacing="0" w:line="240" w:lineRule="atLeast"/>
                    <w:ind w:left="0" w:leftChars="0" w:right="0" w:rightChars="0"/>
                    <w:rPr>
                      <w:rFonts w:hint="eastAsia" w:ascii="宋体" w:hAnsi="宋体" w:eastAsia="宋体" w:cs="宋体"/>
                      <w:kern w:val="2"/>
                      <w:sz w:val="21"/>
                      <w:szCs w:val="21"/>
                      <w:lang w:val="en-US" w:eastAsia="zh-CN" w:bidi="zh-CN"/>
                    </w:rPr>
                  </w:pPr>
                  <w:r>
                    <w:rPr>
                      <w:rFonts w:hint="eastAsia" w:ascii="宋体" w:hAnsi="宋体" w:eastAsia="宋体" w:cs="宋体"/>
                      <w:sz w:val="21"/>
                      <w:szCs w:val="21"/>
                      <w:lang w:val="en-US" w:eastAsia="zh-CN"/>
                    </w:rPr>
                    <w:t>2</w:t>
                  </w:r>
                </w:p>
              </w:tc>
            </w:tr>
            <w:tr w14:paraId="4EA252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1" w:hRule="atLeast"/>
                <w:jc w:val="center"/>
              </w:trPr>
              <w:tc>
                <w:tcPr>
                  <w:tcW w:w="800" w:type="dxa"/>
                  <w:noWrap w:val="0"/>
                  <w:vAlign w:val="center"/>
                </w:tcPr>
                <w:p w14:paraId="074A59B0">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880" w:type="dxa"/>
                  <w:vMerge w:val="continue"/>
                  <w:noWrap w:val="0"/>
                  <w:vAlign w:val="center"/>
                </w:tcPr>
                <w:p w14:paraId="025160C4">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2252" w:type="dxa"/>
                  <w:gridSpan w:val="2"/>
                  <w:noWrap w:val="0"/>
                  <w:vAlign w:val="center"/>
                </w:tcPr>
                <w:p w14:paraId="0CAF1E64">
                  <w:pPr>
                    <w:pStyle w:val="68"/>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烘道</w:t>
                  </w:r>
                </w:p>
              </w:tc>
              <w:tc>
                <w:tcPr>
                  <w:tcW w:w="2731" w:type="dxa"/>
                  <w:noWrap w:val="0"/>
                  <w:vAlign w:val="center"/>
                </w:tcPr>
                <w:p w14:paraId="6F82BB5B">
                  <w:pPr>
                    <w:pStyle w:val="68"/>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color w:val="auto"/>
                      <w:sz w:val="21"/>
                      <w:szCs w:val="21"/>
                      <w:lang w:val="en-US" w:eastAsia="zh-CN"/>
                    </w:rPr>
                  </w:pPr>
                  <w:r>
                    <w:rPr>
                      <w:rFonts w:hint="eastAsia" w:cs="宋体"/>
                      <w:color w:val="auto"/>
                      <w:kern w:val="0"/>
                      <w:sz w:val="21"/>
                      <w:szCs w:val="21"/>
                      <w:lang w:val="en-US" w:eastAsia="zh-CN" w:bidi="ar-SA"/>
                    </w:rPr>
                    <w:t>150℃，</w:t>
                  </w:r>
                  <w:r>
                    <w:rPr>
                      <w:rFonts w:hint="eastAsia" w:ascii="宋体" w:hAnsi="宋体" w:eastAsia="宋体" w:cs="宋体"/>
                      <w:color w:val="auto"/>
                      <w:kern w:val="0"/>
                      <w:sz w:val="21"/>
                      <w:szCs w:val="21"/>
                      <w:lang w:val="en-US" w:eastAsia="zh-CN" w:bidi="ar-SA"/>
                    </w:rPr>
                    <w:t>10000m</w:t>
                  </w:r>
                  <w:r>
                    <w:rPr>
                      <w:rFonts w:hint="eastAsia" w:ascii="宋体" w:hAnsi="宋体" w:eastAsia="宋体" w:cs="宋体"/>
                      <w:color w:val="auto"/>
                      <w:kern w:val="0"/>
                      <w:sz w:val="21"/>
                      <w:szCs w:val="21"/>
                      <w:vertAlign w:val="superscript"/>
                      <w:lang w:val="en-US" w:eastAsia="zh-CN" w:bidi="ar-SA"/>
                    </w:rPr>
                    <w:t>3</w:t>
                  </w:r>
                  <w:r>
                    <w:rPr>
                      <w:rFonts w:hint="eastAsia" w:ascii="宋体" w:hAnsi="宋体" w:eastAsia="宋体" w:cs="宋体"/>
                      <w:color w:val="auto"/>
                      <w:kern w:val="0"/>
                      <w:sz w:val="21"/>
                      <w:szCs w:val="21"/>
                      <w:lang w:val="en-US" w:eastAsia="zh-CN" w:bidi="ar-SA"/>
                    </w:rPr>
                    <w:t>/h</w:t>
                  </w:r>
                </w:p>
              </w:tc>
              <w:tc>
                <w:tcPr>
                  <w:tcW w:w="1188" w:type="dxa"/>
                  <w:noWrap w:val="0"/>
                  <w:vAlign w:val="center"/>
                </w:tcPr>
                <w:p w14:paraId="555F5DC6">
                  <w:pPr>
                    <w:pStyle w:val="68"/>
                    <w:keepNext w:val="0"/>
                    <w:keepLines w:val="0"/>
                    <w:suppressLineNumbers w:val="0"/>
                    <w:adjustRightInd w:val="0"/>
                    <w:snapToGrid w:val="0"/>
                    <w:spacing w:before="0" w:beforeAutospacing="0" w:after="0" w:afterAutospacing="0" w:line="240" w:lineRule="atLeast"/>
                    <w:ind w:left="0" w:leftChars="0" w:right="0" w:rightChars="0"/>
                    <w:rPr>
                      <w:rFonts w:hint="eastAsia" w:ascii="宋体" w:hAnsi="宋体" w:eastAsia="宋体" w:cs="宋体"/>
                      <w:kern w:val="2"/>
                      <w:sz w:val="21"/>
                      <w:szCs w:val="21"/>
                      <w:lang w:val="en-US" w:eastAsia="zh-CN" w:bidi="zh-CN"/>
                    </w:rPr>
                  </w:pPr>
                  <w:r>
                    <w:rPr>
                      <w:rFonts w:hint="eastAsia" w:ascii="宋体" w:hAnsi="宋体" w:eastAsia="宋体" w:cs="宋体"/>
                      <w:sz w:val="21"/>
                      <w:szCs w:val="21"/>
                      <w:lang w:val="en-US" w:eastAsia="zh-CN"/>
                    </w:rPr>
                    <w:t>2</w:t>
                  </w:r>
                </w:p>
              </w:tc>
            </w:tr>
            <w:tr w14:paraId="3F946E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1" w:hRule="atLeast"/>
                <w:jc w:val="center"/>
              </w:trPr>
              <w:tc>
                <w:tcPr>
                  <w:tcW w:w="800" w:type="dxa"/>
                  <w:vMerge w:val="restart"/>
                  <w:noWrap w:val="0"/>
                  <w:vAlign w:val="center"/>
                </w:tcPr>
                <w:p w14:paraId="4201D854">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880" w:type="dxa"/>
                  <w:vMerge w:val="continue"/>
                  <w:noWrap w:val="0"/>
                  <w:vAlign w:val="center"/>
                </w:tcPr>
                <w:p w14:paraId="2CCC170A">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732" w:type="dxa"/>
                  <w:vMerge w:val="restart"/>
                  <w:noWrap w:val="0"/>
                  <w:vAlign w:val="center"/>
                </w:tcPr>
                <w:p w14:paraId="119AD266">
                  <w:pPr>
                    <w:pStyle w:val="68"/>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表面预处理线</w:t>
                  </w:r>
                </w:p>
              </w:tc>
              <w:tc>
                <w:tcPr>
                  <w:tcW w:w="1520" w:type="dxa"/>
                  <w:shd w:val="clear" w:color="auto" w:fill="auto"/>
                  <w:noWrap w:val="0"/>
                  <w:vAlign w:val="center"/>
                </w:tcPr>
                <w:p w14:paraId="162895DB">
                  <w:pPr>
                    <w:pStyle w:val="68"/>
                    <w:keepNext w:val="0"/>
                    <w:keepLines w:val="0"/>
                    <w:suppressLineNumbers w:val="0"/>
                    <w:adjustRightInd w:val="0"/>
                    <w:snapToGrid w:val="0"/>
                    <w:spacing w:before="0" w:beforeAutospacing="0" w:after="0" w:afterAutospacing="0" w:line="240" w:lineRule="atLeast"/>
                    <w:ind w:left="0" w:leftChars="0" w:right="0" w:rightChars="0"/>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rPr>
                    <w:t>脱脂槽</w:t>
                  </w:r>
                </w:p>
              </w:tc>
              <w:tc>
                <w:tcPr>
                  <w:tcW w:w="2731" w:type="dxa"/>
                  <w:noWrap w:val="0"/>
                  <w:vAlign w:val="center"/>
                </w:tcPr>
                <w:p w14:paraId="7C779FFD">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kern w:val="2"/>
                      <w:sz w:val="21"/>
                      <w:szCs w:val="21"/>
                      <w:lang w:val="en-US" w:eastAsia="zh-CN" w:bidi="ar-SA"/>
                    </w:rPr>
                    <w:t>1.92</w:t>
                  </w:r>
                  <w:r>
                    <w:rPr>
                      <w:rFonts w:hint="eastAsia" w:ascii="宋体" w:hAnsi="宋体" w:eastAsia="宋体" w:cs="宋体"/>
                      <w:color w:val="auto"/>
                      <w:kern w:val="0"/>
                      <w:sz w:val="21"/>
                      <w:szCs w:val="21"/>
                      <w:lang w:val="en-US" w:eastAsia="zh-CN" w:bidi="ar-SA"/>
                    </w:rPr>
                    <w:t>m</w:t>
                  </w:r>
                  <w:r>
                    <w:rPr>
                      <w:rFonts w:hint="eastAsia" w:ascii="宋体" w:hAnsi="宋体" w:eastAsia="宋体" w:cs="宋体"/>
                      <w:color w:val="auto"/>
                      <w:kern w:val="0"/>
                      <w:sz w:val="21"/>
                      <w:szCs w:val="21"/>
                      <w:vertAlign w:val="superscript"/>
                      <w:lang w:val="en-US" w:eastAsia="zh-CN" w:bidi="ar-SA"/>
                    </w:rPr>
                    <w:t>3</w:t>
                  </w:r>
                  <w:r>
                    <w:rPr>
                      <w:rFonts w:hint="eastAsia" w:ascii="宋体" w:hAnsi="宋体" w:eastAsia="宋体" w:cs="宋体"/>
                      <w:color w:val="auto"/>
                      <w:kern w:val="0"/>
                      <w:sz w:val="21"/>
                      <w:szCs w:val="21"/>
                      <w:vertAlign w:val="baseline"/>
                      <w:lang w:val="en-US" w:eastAsia="zh-CN" w:bidi="ar-SA"/>
                    </w:rPr>
                    <w:t>（</w:t>
                  </w:r>
                  <w:r>
                    <w:rPr>
                      <w:rFonts w:hint="eastAsia" w:ascii="宋体" w:hAnsi="宋体" w:eastAsia="宋体" w:cs="宋体"/>
                      <w:color w:val="auto"/>
                      <w:sz w:val="21"/>
                      <w:szCs w:val="21"/>
                      <w:lang w:val="en-US" w:eastAsia="zh-CN"/>
                    </w:rPr>
                    <w:t>1.2</w:t>
                  </w:r>
                  <w:r>
                    <w:rPr>
                      <w:rFonts w:hint="eastAsia" w:ascii="宋体" w:hAnsi="宋体" w:eastAsia="宋体" w:cs="宋体"/>
                      <w:color w:val="auto"/>
                      <w:sz w:val="21"/>
                      <w:szCs w:val="21"/>
                      <w:lang w:val="en-US"/>
                    </w:rPr>
                    <w:t>m×</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val="en-US"/>
                    </w:rPr>
                    <w:t>m×</w:t>
                  </w:r>
                  <w:r>
                    <w:rPr>
                      <w:rFonts w:hint="eastAsia" w:ascii="宋体" w:hAnsi="宋体" w:eastAsia="宋体" w:cs="宋体"/>
                      <w:color w:val="auto"/>
                      <w:sz w:val="21"/>
                      <w:szCs w:val="21"/>
                      <w:lang w:val="en-US" w:eastAsia="zh-CN"/>
                    </w:rPr>
                    <w:t>0.8</w:t>
                  </w:r>
                  <w:r>
                    <w:rPr>
                      <w:rFonts w:hint="eastAsia" w:ascii="宋体" w:hAnsi="宋体" w:eastAsia="宋体" w:cs="宋体"/>
                      <w:color w:val="auto"/>
                      <w:sz w:val="21"/>
                      <w:szCs w:val="21"/>
                      <w:lang w:val="en-US"/>
                    </w:rPr>
                    <w:t>m</w:t>
                  </w:r>
                  <w:r>
                    <w:rPr>
                      <w:rFonts w:hint="eastAsia" w:ascii="宋体" w:hAnsi="宋体" w:eastAsia="宋体" w:cs="宋体"/>
                      <w:color w:val="auto"/>
                      <w:kern w:val="0"/>
                      <w:sz w:val="21"/>
                      <w:szCs w:val="21"/>
                      <w:vertAlign w:val="baseline"/>
                      <w:lang w:val="en-US" w:eastAsia="zh-CN" w:bidi="ar-SA"/>
                    </w:rPr>
                    <w:t>）</w:t>
                  </w:r>
                </w:p>
              </w:tc>
              <w:tc>
                <w:tcPr>
                  <w:tcW w:w="1188" w:type="dxa"/>
                  <w:noWrap w:val="0"/>
                  <w:vAlign w:val="center"/>
                </w:tcPr>
                <w:p w14:paraId="3A8D5396">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r>
            <w:tr w14:paraId="073EEE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1" w:hRule="atLeast"/>
                <w:jc w:val="center"/>
              </w:trPr>
              <w:tc>
                <w:tcPr>
                  <w:tcW w:w="800" w:type="dxa"/>
                  <w:vMerge w:val="continue"/>
                  <w:noWrap w:val="0"/>
                  <w:vAlign w:val="center"/>
                </w:tcPr>
                <w:p w14:paraId="28A76CFA">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880" w:type="dxa"/>
                  <w:vMerge w:val="continue"/>
                  <w:noWrap w:val="0"/>
                  <w:vAlign w:val="center"/>
                </w:tcPr>
                <w:p w14:paraId="6D9AB1B2">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732" w:type="dxa"/>
                  <w:vMerge w:val="continue"/>
                  <w:noWrap w:val="0"/>
                  <w:vAlign w:val="center"/>
                </w:tcPr>
                <w:p w14:paraId="03A11B2F">
                  <w:pPr>
                    <w:pStyle w:val="68"/>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color w:val="auto"/>
                      <w:kern w:val="2"/>
                      <w:sz w:val="21"/>
                      <w:szCs w:val="21"/>
                      <w:lang w:val="en-US" w:eastAsia="zh-CN" w:bidi="zh-CN"/>
                    </w:rPr>
                  </w:pPr>
                </w:p>
              </w:tc>
              <w:tc>
                <w:tcPr>
                  <w:tcW w:w="1520" w:type="dxa"/>
                  <w:shd w:val="clear" w:color="auto" w:fill="auto"/>
                  <w:noWrap w:val="0"/>
                  <w:vAlign w:val="center"/>
                </w:tcPr>
                <w:p w14:paraId="41310D78">
                  <w:pPr>
                    <w:pStyle w:val="68"/>
                    <w:keepNext w:val="0"/>
                    <w:keepLines w:val="0"/>
                    <w:suppressLineNumbers w:val="0"/>
                    <w:adjustRightInd w:val="0"/>
                    <w:snapToGrid w:val="0"/>
                    <w:spacing w:before="0" w:beforeAutospacing="0" w:after="0" w:afterAutospacing="0" w:line="240" w:lineRule="atLeast"/>
                    <w:ind w:left="0" w:leftChars="0" w:right="0" w:rightChars="0"/>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rPr>
                    <w:t>水洗槽1</w:t>
                  </w:r>
                </w:p>
              </w:tc>
              <w:tc>
                <w:tcPr>
                  <w:tcW w:w="2731" w:type="dxa"/>
                  <w:noWrap w:val="0"/>
                  <w:vAlign w:val="center"/>
                </w:tcPr>
                <w:p w14:paraId="451F9894">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kern w:val="0"/>
                      <w:sz w:val="21"/>
                      <w:szCs w:val="21"/>
                      <w:lang w:val="en-US" w:eastAsia="zh-CN" w:bidi="ar-SA"/>
                    </w:rPr>
                    <w:t>0.96m</w:t>
                  </w:r>
                  <w:r>
                    <w:rPr>
                      <w:rFonts w:hint="eastAsia" w:ascii="宋体" w:hAnsi="宋体" w:eastAsia="宋体" w:cs="宋体"/>
                      <w:color w:val="auto"/>
                      <w:kern w:val="0"/>
                      <w:sz w:val="21"/>
                      <w:szCs w:val="21"/>
                      <w:vertAlign w:val="superscript"/>
                      <w:lang w:val="en-US" w:eastAsia="zh-CN" w:bidi="ar-SA"/>
                    </w:rPr>
                    <w:t>3</w:t>
                  </w:r>
                  <w:r>
                    <w:rPr>
                      <w:rFonts w:hint="eastAsia" w:ascii="宋体" w:hAnsi="宋体" w:eastAsia="宋体" w:cs="宋体"/>
                      <w:color w:val="auto"/>
                      <w:kern w:val="0"/>
                      <w:sz w:val="21"/>
                      <w:szCs w:val="21"/>
                      <w:vertAlign w:val="baseline"/>
                      <w:lang w:val="en-US" w:eastAsia="zh-CN" w:bidi="ar-SA"/>
                    </w:rPr>
                    <w:t>（</w:t>
                  </w:r>
                  <w:r>
                    <w:rPr>
                      <w:rFonts w:hint="eastAsia" w:ascii="宋体" w:hAnsi="宋体" w:eastAsia="宋体" w:cs="宋体"/>
                      <w:color w:val="auto"/>
                      <w:sz w:val="21"/>
                      <w:szCs w:val="21"/>
                      <w:lang w:val="en-US" w:eastAsia="zh-CN"/>
                    </w:rPr>
                    <w:t>0.6</w:t>
                  </w:r>
                  <w:r>
                    <w:rPr>
                      <w:rFonts w:hint="eastAsia" w:ascii="宋体" w:hAnsi="宋体" w:eastAsia="宋体" w:cs="宋体"/>
                      <w:color w:val="auto"/>
                      <w:sz w:val="21"/>
                      <w:szCs w:val="21"/>
                    </w:rPr>
                    <w:t>m×</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m×</w:t>
                  </w:r>
                  <w:r>
                    <w:rPr>
                      <w:rFonts w:hint="eastAsia" w:ascii="宋体" w:hAnsi="宋体" w:eastAsia="宋体" w:cs="宋体"/>
                      <w:color w:val="auto"/>
                      <w:sz w:val="21"/>
                      <w:szCs w:val="21"/>
                      <w:lang w:val="en-US" w:eastAsia="zh-CN"/>
                    </w:rPr>
                    <w:t>0.8</w:t>
                  </w:r>
                  <w:r>
                    <w:rPr>
                      <w:rFonts w:hint="eastAsia" w:ascii="宋体" w:hAnsi="宋体" w:eastAsia="宋体" w:cs="宋体"/>
                      <w:color w:val="auto"/>
                      <w:sz w:val="21"/>
                      <w:szCs w:val="21"/>
                    </w:rPr>
                    <w:t>m</w:t>
                  </w:r>
                  <w:r>
                    <w:rPr>
                      <w:rFonts w:hint="eastAsia" w:ascii="宋体" w:hAnsi="宋体" w:eastAsia="宋体" w:cs="宋体"/>
                      <w:color w:val="auto"/>
                      <w:kern w:val="0"/>
                      <w:sz w:val="21"/>
                      <w:szCs w:val="21"/>
                      <w:vertAlign w:val="baseline"/>
                      <w:lang w:val="en-US" w:eastAsia="zh-CN" w:bidi="ar-SA"/>
                    </w:rPr>
                    <w:t>）</w:t>
                  </w:r>
                </w:p>
              </w:tc>
              <w:tc>
                <w:tcPr>
                  <w:tcW w:w="1188" w:type="dxa"/>
                  <w:noWrap w:val="0"/>
                  <w:vAlign w:val="center"/>
                </w:tcPr>
                <w:p w14:paraId="10019B7F">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r>
            <w:tr w14:paraId="0404D5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1" w:hRule="atLeast"/>
                <w:jc w:val="center"/>
              </w:trPr>
              <w:tc>
                <w:tcPr>
                  <w:tcW w:w="800" w:type="dxa"/>
                  <w:vMerge w:val="continue"/>
                  <w:noWrap w:val="0"/>
                  <w:vAlign w:val="center"/>
                </w:tcPr>
                <w:p w14:paraId="1CBD8ABC">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880" w:type="dxa"/>
                  <w:vMerge w:val="continue"/>
                  <w:noWrap w:val="0"/>
                  <w:vAlign w:val="center"/>
                </w:tcPr>
                <w:p w14:paraId="7AED885B">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732" w:type="dxa"/>
                  <w:vMerge w:val="continue"/>
                  <w:noWrap w:val="0"/>
                  <w:vAlign w:val="center"/>
                </w:tcPr>
                <w:p w14:paraId="7A5A80EA">
                  <w:pPr>
                    <w:pStyle w:val="68"/>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color w:val="auto"/>
                      <w:sz w:val="21"/>
                      <w:szCs w:val="21"/>
                      <w:lang w:val="en-US"/>
                    </w:rPr>
                  </w:pPr>
                </w:p>
              </w:tc>
              <w:tc>
                <w:tcPr>
                  <w:tcW w:w="1520" w:type="dxa"/>
                  <w:shd w:val="clear" w:color="auto" w:fill="auto"/>
                  <w:noWrap w:val="0"/>
                  <w:vAlign w:val="center"/>
                </w:tcPr>
                <w:p w14:paraId="13E3DB93">
                  <w:pPr>
                    <w:pStyle w:val="68"/>
                    <w:keepNext w:val="0"/>
                    <w:keepLines w:val="0"/>
                    <w:suppressLineNumbers w:val="0"/>
                    <w:adjustRightInd w:val="0"/>
                    <w:snapToGrid w:val="0"/>
                    <w:spacing w:before="0" w:beforeAutospacing="0" w:after="0" w:afterAutospacing="0" w:line="240" w:lineRule="atLeast"/>
                    <w:ind w:left="0" w:leftChars="0" w:right="0" w:rightChars="0"/>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rPr>
                    <w:t>水洗槽</w:t>
                  </w:r>
                  <w:r>
                    <w:rPr>
                      <w:rFonts w:hint="eastAsia" w:ascii="宋体" w:hAnsi="宋体" w:eastAsia="宋体" w:cs="宋体"/>
                      <w:color w:val="auto"/>
                      <w:sz w:val="21"/>
                      <w:szCs w:val="21"/>
                      <w:lang w:val="en-US" w:eastAsia="zh-CN"/>
                    </w:rPr>
                    <w:t>2</w:t>
                  </w:r>
                </w:p>
              </w:tc>
              <w:tc>
                <w:tcPr>
                  <w:tcW w:w="2731" w:type="dxa"/>
                  <w:noWrap w:val="0"/>
                  <w:vAlign w:val="center"/>
                </w:tcPr>
                <w:p w14:paraId="346FA7FD">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kern w:val="0"/>
                      <w:sz w:val="21"/>
                      <w:szCs w:val="21"/>
                      <w:lang w:val="en-US" w:eastAsia="zh-CN" w:bidi="ar-SA"/>
                    </w:rPr>
                    <w:t>0.96m</w:t>
                  </w:r>
                  <w:r>
                    <w:rPr>
                      <w:rFonts w:hint="eastAsia" w:ascii="宋体" w:hAnsi="宋体" w:eastAsia="宋体" w:cs="宋体"/>
                      <w:color w:val="auto"/>
                      <w:kern w:val="0"/>
                      <w:sz w:val="21"/>
                      <w:szCs w:val="21"/>
                      <w:vertAlign w:val="superscript"/>
                      <w:lang w:val="en-US" w:eastAsia="zh-CN" w:bidi="ar-SA"/>
                    </w:rPr>
                    <w:t>3</w:t>
                  </w:r>
                  <w:r>
                    <w:rPr>
                      <w:rFonts w:hint="eastAsia" w:ascii="宋体" w:hAnsi="宋体" w:eastAsia="宋体" w:cs="宋体"/>
                      <w:color w:val="auto"/>
                      <w:kern w:val="0"/>
                      <w:sz w:val="21"/>
                      <w:szCs w:val="21"/>
                      <w:vertAlign w:val="baseline"/>
                      <w:lang w:val="en-US" w:eastAsia="zh-CN" w:bidi="ar-SA"/>
                    </w:rPr>
                    <w:t>（</w:t>
                  </w:r>
                  <w:r>
                    <w:rPr>
                      <w:rFonts w:hint="eastAsia" w:ascii="宋体" w:hAnsi="宋体" w:eastAsia="宋体" w:cs="宋体"/>
                      <w:color w:val="auto"/>
                      <w:sz w:val="21"/>
                      <w:szCs w:val="21"/>
                      <w:lang w:val="en-US" w:eastAsia="zh-CN"/>
                    </w:rPr>
                    <w:t>0.6</w:t>
                  </w:r>
                  <w:r>
                    <w:rPr>
                      <w:rFonts w:hint="eastAsia" w:ascii="宋体" w:hAnsi="宋体" w:eastAsia="宋体" w:cs="宋体"/>
                      <w:color w:val="auto"/>
                      <w:sz w:val="21"/>
                      <w:szCs w:val="21"/>
                    </w:rPr>
                    <w:t>m×</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m×</w:t>
                  </w:r>
                  <w:r>
                    <w:rPr>
                      <w:rFonts w:hint="eastAsia" w:ascii="宋体" w:hAnsi="宋体" w:eastAsia="宋体" w:cs="宋体"/>
                      <w:color w:val="auto"/>
                      <w:sz w:val="21"/>
                      <w:szCs w:val="21"/>
                      <w:lang w:val="en-US" w:eastAsia="zh-CN"/>
                    </w:rPr>
                    <w:t>0.8</w:t>
                  </w:r>
                  <w:r>
                    <w:rPr>
                      <w:rFonts w:hint="eastAsia" w:ascii="宋体" w:hAnsi="宋体" w:eastAsia="宋体" w:cs="宋体"/>
                      <w:color w:val="auto"/>
                      <w:sz w:val="21"/>
                      <w:szCs w:val="21"/>
                    </w:rPr>
                    <w:t>m</w:t>
                  </w:r>
                  <w:r>
                    <w:rPr>
                      <w:rFonts w:hint="eastAsia" w:ascii="宋体" w:hAnsi="宋体" w:eastAsia="宋体" w:cs="宋体"/>
                      <w:color w:val="auto"/>
                      <w:kern w:val="0"/>
                      <w:sz w:val="21"/>
                      <w:szCs w:val="21"/>
                      <w:vertAlign w:val="baseline"/>
                      <w:lang w:val="en-US" w:eastAsia="zh-CN" w:bidi="ar-SA"/>
                    </w:rPr>
                    <w:t>）</w:t>
                  </w:r>
                </w:p>
              </w:tc>
              <w:tc>
                <w:tcPr>
                  <w:tcW w:w="1188" w:type="dxa"/>
                  <w:noWrap w:val="0"/>
                  <w:vAlign w:val="center"/>
                </w:tcPr>
                <w:p w14:paraId="187A7E6B">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r>
            <w:tr w14:paraId="494D3C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1" w:hRule="atLeast"/>
                <w:jc w:val="center"/>
              </w:trPr>
              <w:tc>
                <w:tcPr>
                  <w:tcW w:w="800" w:type="dxa"/>
                  <w:vMerge w:val="continue"/>
                  <w:noWrap w:val="0"/>
                  <w:vAlign w:val="center"/>
                </w:tcPr>
                <w:p w14:paraId="1914B523">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880" w:type="dxa"/>
                  <w:vMerge w:val="continue"/>
                  <w:noWrap w:val="0"/>
                  <w:vAlign w:val="center"/>
                </w:tcPr>
                <w:p w14:paraId="53DB1814">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732" w:type="dxa"/>
                  <w:vMerge w:val="continue"/>
                  <w:noWrap w:val="0"/>
                  <w:vAlign w:val="center"/>
                </w:tcPr>
                <w:p w14:paraId="5852D1FD">
                  <w:pPr>
                    <w:pStyle w:val="68"/>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color w:val="auto"/>
                      <w:sz w:val="21"/>
                      <w:szCs w:val="21"/>
                      <w:lang w:val="en-US"/>
                    </w:rPr>
                  </w:pPr>
                </w:p>
              </w:tc>
              <w:tc>
                <w:tcPr>
                  <w:tcW w:w="1520" w:type="dxa"/>
                  <w:shd w:val="clear" w:color="auto" w:fill="auto"/>
                  <w:noWrap w:val="0"/>
                  <w:vAlign w:val="center"/>
                </w:tcPr>
                <w:p w14:paraId="7D6A9C9B">
                  <w:pPr>
                    <w:pStyle w:val="68"/>
                    <w:keepNext w:val="0"/>
                    <w:keepLines w:val="0"/>
                    <w:suppressLineNumbers w:val="0"/>
                    <w:adjustRightInd w:val="0"/>
                    <w:snapToGrid w:val="0"/>
                    <w:spacing w:before="0" w:beforeAutospacing="0" w:after="0" w:afterAutospacing="0" w:line="240" w:lineRule="atLeast"/>
                    <w:ind w:left="0" w:leftChars="0" w:right="0" w:rightChars="0"/>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eastAsia="zh-CN"/>
                    </w:rPr>
                    <w:t>硅烷</w:t>
                  </w:r>
                  <w:r>
                    <w:rPr>
                      <w:rFonts w:hint="eastAsia" w:ascii="宋体" w:hAnsi="宋体" w:eastAsia="宋体" w:cs="宋体"/>
                      <w:color w:val="auto"/>
                      <w:sz w:val="21"/>
                      <w:szCs w:val="21"/>
                      <w:lang w:val="en-US"/>
                    </w:rPr>
                    <w:t>槽</w:t>
                  </w:r>
                </w:p>
              </w:tc>
              <w:tc>
                <w:tcPr>
                  <w:tcW w:w="2731" w:type="dxa"/>
                  <w:noWrap w:val="0"/>
                  <w:vAlign w:val="center"/>
                </w:tcPr>
                <w:p w14:paraId="6FFFEE3A">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vertAlign w:val="baseline"/>
                    </w:rPr>
                  </w:pPr>
                  <w:r>
                    <w:rPr>
                      <w:rFonts w:hint="eastAsia" w:ascii="宋体" w:hAnsi="宋体" w:eastAsia="宋体" w:cs="宋体"/>
                      <w:color w:val="auto"/>
                      <w:kern w:val="2"/>
                      <w:sz w:val="21"/>
                      <w:szCs w:val="21"/>
                      <w:lang w:val="en-US" w:eastAsia="zh-CN" w:bidi="ar-SA"/>
                    </w:rPr>
                    <w:t>1.92</w:t>
                  </w:r>
                  <w:r>
                    <w:rPr>
                      <w:rFonts w:hint="eastAsia" w:ascii="宋体" w:hAnsi="宋体" w:eastAsia="宋体" w:cs="宋体"/>
                      <w:color w:val="auto"/>
                      <w:kern w:val="0"/>
                      <w:sz w:val="21"/>
                      <w:szCs w:val="21"/>
                      <w:lang w:val="en-US" w:eastAsia="zh-CN" w:bidi="ar-SA"/>
                    </w:rPr>
                    <w:t>m</w:t>
                  </w:r>
                  <w:r>
                    <w:rPr>
                      <w:rFonts w:hint="eastAsia" w:ascii="宋体" w:hAnsi="宋体" w:eastAsia="宋体" w:cs="宋体"/>
                      <w:color w:val="auto"/>
                      <w:kern w:val="0"/>
                      <w:sz w:val="21"/>
                      <w:szCs w:val="21"/>
                      <w:vertAlign w:val="superscript"/>
                      <w:lang w:val="en-US" w:eastAsia="zh-CN" w:bidi="ar-SA"/>
                    </w:rPr>
                    <w:t>3</w:t>
                  </w:r>
                  <w:r>
                    <w:rPr>
                      <w:rFonts w:hint="eastAsia" w:ascii="宋体" w:hAnsi="宋体" w:eastAsia="宋体" w:cs="宋体"/>
                      <w:color w:val="auto"/>
                      <w:kern w:val="0"/>
                      <w:sz w:val="21"/>
                      <w:szCs w:val="21"/>
                      <w:vertAlign w:val="baseline"/>
                      <w:lang w:val="en-US" w:eastAsia="zh-CN" w:bidi="ar-SA"/>
                    </w:rPr>
                    <w:t>（</w:t>
                  </w:r>
                  <w:r>
                    <w:rPr>
                      <w:rFonts w:hint="eastAsia" w:ascii="宋体" w:hAnsi="宋体" w:eastAsia="宋体" w:cs="宋体"/>
                      <w:color w:val="auto"/>
                      <w:sz w:val="21"/>
                      <w:szCs w:val="21"/>
                      <w:lang w:val="en-US" w:eastAsia="zh-CN"/>
                    </w:rPr>
                    <w:t>1.2</w:t>
                  </w:r>
                  <w:r>
                    <w:rPr>
                      <w:rFonts w:hint="eastAsia" w:ascii="宋体" w:hAnsi="宋体" w:eastAsia="宋体" w:cs="宋体"/>
                      <w:color w:val="auto"/>
                      <w:sz w:val="21"/>
                      <w:szCs w:val="21"/>
                    </w:rPr>
                    <w:t>m×</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m×</w:t>
                  </w:r>
                  <w:r>
                    <w:rPr>
                      <w:rFonts w:hint="eastAsia" w:ascii="宋体" w:hAnsi="宋体" w:eastAsia="宋体" w:cs="宋体"/>
                      <w:color w:val="auto"/>
                      <w:sz w:val="21"/>
                      <w:szCs w:val="21"/>
                      <w:lang w:val="en-US" w:eastAsia="zh-CN"/>
                    </w:rPr>
                    <w:t>0.8</w:t>
                  </w:r>
                  <w:r>
                    <w:rPr>
                      <w:rFonts w:hint="eastAsia" w:ascii="宋体" w:hAnsi="宋体" w:eastAsia="宋体" w:cs="宋体"/>
                      <w:color w:val="auto"/>
                      <w:sz w:val="21"/>
                      <w:szCs w:val="21"/>
                    </w:rPr>
                    <w:t>m</w:t>
                  </w:r>
                  <w:r>
                    <w:rPr>
                      <w:rFonts w:hint="eastAsia" w:ascii="宋体" w:hAnsi="宋体" w:eastAsia="宋体" w:cs="宋体"/>
                      <w:color w:val="auto"/>
                      <w:kern w:val="0"/>
                      <w:sz w:val="21"/>
                      <w:szCs w:val="21"/>
                      <w:vertAlign w:val="baseline"/>
                      <w:lang w:val="en-US" w:eastAsia="zh-CN" w:bidi="ar-SA"/>
                    </w:rPr>
                    <w:t>）</w:t>
                  </w:r>
                </w:p>
              </w:tc>
              <w:tc>
                <w:tcPr>
                  <w:tcW w:w="1188" w:type="dxa"/>
                  <w:noWrap w:val="0"/>
                  <w:vAlign w:val="center"/>
                </w:tcPr>
                <w:p w14:paraId="1248E55C">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r>
            <w:tr w14:paraId="046C0D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1" w:hRule="atLeast"/>
                <w:jc w:val="center"/>
              </w:trPr>
              <w:tc>
                <w:tcPr>
                  <w:tcW w:w="800" w:type="dxa"/>
                  <w:vMerge w:val="continue"/>
                  <w:noWrap w:val="0"/>
                  <w:vAlign w:val="center"/>
                </w:tcPr>
                <w:p w14:paraId="0FA60F14">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880" w:type="dxa"/>
                  <w:vMerge w:val="continue"/>
                  <w:noWrap w:val="0"/>
                  <w:vAlign w:val="center"/>
                </w:tcPr>
                <w:p w14:paraId="7CEB9905">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732" w:type="dxa"/>
                  <w:vMerge w:val="continue"/>
                  <w:noWrap w:val="0"/>
                  <w:vAlign w:val="center"/>
                </w:tcPr>
                <w:p w14:paraId="1978BEBC">
                  <w:pPr>
                    <w:pStyle w:val="68"/>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color w:val="auto"/>
                      <w:sz w:val="21"/>
                      <w:szCs w:val="21"/>
                      <w:lang w:val="en-US" w:eastAsia="zh-CN"/>
                    </w:rPr>
                  </w:pPr>
                </w:p>
              </w:tc>
              <w:tc>
                <w:tcPr>
                  <w:tcW w:w="1520" w:type="dxa"/>
                  <w:shd w:val="clear" w:color="auto" w:fill="auto"/>
                  <w:noWrap w:val="0"/>
                  <w:vAlign w:val="center"/>
                </w:tcPr>
                <w:p w14:paraId="68D43DD6">
                  <w:pPr>
                    <w:pStyle w:val="68"/>
                    <w:keepNext w:val="0"/>
                    <w:keepLines w:val="0"/>
                    <w:suppressLineNumbers w:val="0"/>
                    <w:adjustRightInd w:val="0"/>
                    <w:snapToGrid w:val="0"/>
                    <w:spacing w:before="0" w:beforeAutospacing="0" w:after="0" w:afterAutospacing="0" w:line="240" w:lineRule="atLeast"/>
                    <w:ind w:left="0" w:leftChars="0" w:right="0" w:rightChars="0"/>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sz w:val="21"/>
                      <w:szCs w:val="21"/>
                      <w:lang w:val="en-US"/>
                    </w:rPr>
                    <w:t>水洗槽</w:t>
                  </w:r>
                  <w:r>
                    <w:rPr>
                      <w:rFonts w:hint="eastAsia" w:ascii="宋体" w:hAnsi="宋体" w:eastAsia="宋体" w:cs="宋体"/>
                      <w:color w:val="auto"/>
                      <w:sz w:val="21"/>
                      <w:szCs w:val="21"/>
                      <w:lang w:val="en-US" w:eastAsia="zh-CN"/>
                    </w:rPr>
                    <w:t>3</w:t>
                  </w:r>
                </w:p>
              </w:tc>
              <w:tc>
                <w:tcPr>
                  <w:tcW w:w="2731" w:type="dxa"/>
                  <w:noWrap w:val="0"/>
                  <w:vAlign w:val="center"/>
                </w:tcPr>
                <w:p w14:paraId="10B7B38C">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vertAlign w:val="baseline"/>
                    </w:rPr>
                  </w:pPr>
                  <w:r>
                    <w:rPr>
                      <w:rFonts w:hint="eastAsia" w:ascii="宋体" w:hAnsi="宋体" w:eastAsia="宋体" w:cs="宋体"/>
                      <w:color w:val="auto"/>
                      <w:kern w:val="0"/>
                      <w:sz w:val="21"/>
                      <w:szCs w:val="21"/>
                      <w:lang w:val="en-US" w:eastAsia="zh-CN" w:bidi="ar-SA"/>
                    </w:rPr>
                    <w:t>0.96m</w:t>
                  </w:r>
                  <w:r>
                    <w:rPr>
                      <w:rFonts w:hint="eastAsia" w:ascii="宋体" w:hAnsi="宋体" w:eastAsia="宋体" w:cs="宋体"/>
                      <w:color w:val="auto"/>
                      <w:kern w:val="0"/>
                      <w:sz w:val="21"/>
                      <w:szCs w:val="21"/>
                      <w:vertAlign w:val="superscript"/>
                      <w:lang w:val="en-US" w:eastAsia="zh-CN" w:bidi="ar-SA"/>
                    </w:rPr>
                    <w:t>3</w:t>
                  </w:r>
                  <w:r>
                    <w:rPr>
                      <w:rFonts w:hint="eastAsia" w:ascii="宋体" w:hAnsi="宋体" w:eastAsia="宋体" w:cs="宋体"/>
                      <w:color w:val="auto"/>
                      <w:kern w:val="0"/>
                      <w:sz w:val="21"/>
                      <w:szCs w:val="21"/>
                      <w:vertAlign w:val="baseline"/>
                      <w:lang w:val="en-US" w:eastAsia="zh-CN" w:bidi="ar-SA"/>
                    </w:rPr>
                    <w:t>（</w:t>
                  </w:r>
                  <w:r>
                    <w:rPr>
                      <w:rFonts w:hint="eastAsia" w:ascii="宋体" w:hAnsi="宋体" w:eastAsia="宋体" w:cs="宋体"/>
                      <w:color w:val="auto"/>
                      <w:sz w:val="21"/>
                      <w:szCs w:val="21"/>
                      <w:lang w:val="en-US" w:eastAsia="zh-CN"/>
                    </w:rPr>
                    <w:t>0.6</w:t>
                  </w:r>
                  <w:r>
                    <w:rPr>
                      <w:rFonts w:hint="eastAsia" w:ascii="宋体" w:hAnsi="宋体" w:eastAsia="宋体" w:cs="宋体"/>
                      <w:color w:val="auto"/>
                      <w:sz w:val="21"/>
                      <w:szCs w:val="21"/>
                    </w:rPr>
                    <w:t>m×</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m×</w:t>
                  </w:r>
                  <w:r>
                    <w:rPr>
                      <w:rFonts w:hint="eastAsia" w:ascii="宋体" w:hAnsi="宋体" w:eastAsia="宋体" w:cs="宋体"/>
                      <w:color w:val="auto"/>
                      <w:sz w:val="21"/>
                      <w:szCs w:val="21"/>
                      <w:lang w:val="en-US" w:eastAsia="zh-CN"/>
                    </w:rPr>
                    <w:t>0.8</w:t>
                  </w:r>
                  <w:r>
                    <w:rPr>
                      <w:rFonts w:hint="eastAsia" w:ascii="宋体" w:hAnsi="宋体" w:eastAsia="宋体" w:cs="宋体"/>
                      <w:color w:val="auto"/>
                      <w:sz w:val="21"/>
                      <w:szCs w:val="21"/>
                    </w:rPr>
                    <w:t>m</w:t>
                  </w:r>
                  <w:r>
                    <w:rPr>
                      <w:rFonts w:hint="eastAsia" w:ascii="宋体" w:hAnsi="宋体" w:eastAsia="宋体" w:cs="宋体"/>
                      <w:color w:val="auto"/>
                      <w:kern w:val="0"/>
                      <w:sz w:val="21"/>
                      <w:szCs w:val="21"/>
                      <w:vertAlign w:val="baseline"/>
                      <w:lang w:val="en-US" w:eastAsia="zh-CN" w:bidi="ar-SA"/>
                    </w:rPr>
                    <w:t>）</w:t>
                  </w:r>
                </w:p>
              </w:tc>
              <w:tc>
                <w:tcPr>
                  <w:tcW w:w="1188" w:type="dxa"/>
                  <w:noWrap w:val="0"/>
                  <w:vAlign w:val="center"/>
                </w:tcPr>
                <w:p w14:paraId="61E9CBD7">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r>
            <w:tr w14:paraId="38B1FB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00" w:type="dxa"/>
                  <w:noWrap w:val="0"/>
                  <w:vAlign w:val="center"/>
                </w:tcPr>
                <w:p w14:paraId="7C3CA4BA">
                  <w:pPr>
                    <w:pStyle w:val="68"/>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kern w:val="2"/>
                      <w:sz w:val="21"/>
                      <w:szCs w:val="21"/>
                      <w:lang w:val="en-US" w:eastAsia="zh-CN" w:bidi="zh-CN"/>
                    </w:rPr>
                  </w:pPr>
                  <w:r>
                    <w:rPr>
                      <w:rFonts w:hint="eastAsia" w:ascii="宋体" w:hAnsi="宋体" w:eastAsia="宋体" w:cs="宋体"/>
                      <w:kern w:val="2"/>
                      <w:sz w:val="21"/>
                      <w:szCs w:val="21"/>
                      <w:lang w:val="en-US" w:eastAsia="zh-CN" w:bidi="zh-CN"/>
                    </w:rPr>
                    <w:t>6</w:t>
                  </w:r>
                </w:p>
              </w:tc>
              <w:tc>
                <w:tcPr>
                  <w:tcW w:w="880" w:type="dxa"/>
                  <w:vMerge w:val="restart"/>
                  <w:noWrap w:val="0"/>
                  <w:vAlign w:val="center"/>
                </w:tcPr>
                <w:p w14:paraId="49E8850D">
                  <w:pPr>
                    <w:pStyle w:val="68"/>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szCs w:val="21"/>
                    </w:rPr>
                  </w:pPr>
                  <w:r>
                    <w:rPr>
                      <w:rFonts w:hint="eastAsia" w:ascii="宋体" w:hAnsi="宋体" w:eastAsia="宋体" w:cs="宋体"/>
                      <w:sz w:val="21"/>
                      <w:szCs w:val="21"/>
                    </w:rPr>
                    <w:t>公辅设备</w:t>
                  </w:r>
                </w:p>
              </w:tc>
              <w:tc>
                <w:tcPr>
                  <w:tcW w:w="2252" w:type="dxa"/>
                  <w:gridSpan w:val="2"/>
                  <w:noWrap w:val="0"/>
                  <w:vAlign w:val="center"/>
                </w:tcPr>
                <w:p w14:paraId="59131602">
                  <w:pPr>
                    <w:pStyle w:val="68"/>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color w:val="auto"/>
                      <w:sz w:val="21"/>
                      <w:szCs w:val="21"/>
                    </w:rPr>
                  </w:pPr>
                  <w:r>
                    <w:rPr>
                      <w:rFonts w:hint="eastAsia" w:ascii="宋体" w:hAnsi="宋体" w:eastAsia="宋体" w:cs="宋体"/>
                      <w:color w:val="auto"/>
                      <w:sz w:val="21"/>
                      <w:szCs w:val="21"/>
                    </w:rPr>
                    <w:t>风机</w:t>
                  </w:r>
                </w:p>
              </w:tc>
              <w:tc>
                <w:tcPr>
                  <w:tcW w:w="2731" w:type="dxa"/>
                  <w:noWrap w:val="0"/>
                  <w:vAlign w:val="center"/>
                </w:tcPr>
                <w:p w14:paraId="42E3B550">
                  <w:pPr>
                    <w:pStyle w:val="68"/>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10KW</w:t>
                  </w:r>
                </w:p>
              </w:tc>
              <w:tc>
                <w:tcPr>
                  <w:tcW w:w="1188" w:type="dxa"/>
                  <w:noWrap w:val="0"/>
                  <w:vAlign w:val="center"/>
                </w:tcPr>
                <w:p w14:paraId="326BB622">
                  <w:pPr>
                    <w:pStyle w:val="68"/>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5</w:t>
                  </w:r>
                </w:p>
              </w:tc>
            </w:tr>
            <w:tr w14:paraId="5CFF25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00" w:type="dxa"/>
                  <w:noWrap w:val="0"/>
                  <w:vAlign w:val="center"/>
                </w:tcPr>
                <w:p w14:paraId="67CB6F25">
                  <w:pPr>
                    <w:pStyle w:val="68"/>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kern w:val="2"/>
                      <w:sz w:val="21"/>
                      <w:szCs w:val="21"/>
                      <w:lang w:val="en-US" w:eastAsia="zh-CN" w:bidi="zh-CN"/>
                    </w:rPr>
                  </w:pPr>
                  <w:r>
                    <w:rPr>
                      <w:rFonts w:hint="eastAsia" w:ascii="宋体" w:hAnsi="宋体" w:eastAsia="宋体" w:cs="宋体"/>
                      <w:kern w:val="2"/>
                      <w:sz w:val="21"/>
                      <w:szCs w:val="21"/>
                      <w:lang w:val="en-US" w:eastAsia="zh-CN" w:bidi="zh-CN"/>
                    </w:rPr>
                    <w:t>7</w:t>
                  </w:r>
                </w:p>
              </w:tc>
              <w:tc>
                <w:tcPr>
                  <w:tcW w:w="880" w:type="dxa"/>
                  <w:vMerge w:val="continue"/>
                  <w:noWrap w:val="0"/>
                  <w:vAlign w:val="center"/>
                </w:tcPr>
                <w:p w14:paraId="0E238808">
                  <w:pPr>
                    <w:pStyle w:val="68"/>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szCs w:val="21"/>
                    </w:rPr>
                  </w:pPr>
                </w:p>
              </w:tc>
              <w:tc>
                <w:tcPr>
                  <w:tcW w:w="2252" w:type="dxa"/>
                  <w:gridSpan w:val="2"/>
                  <w:noWrap w:val="0"/>
                  <w:vAlign w:val="center"/>
                </w:tcPr>
                <w:p w14:paraId="55CEF6A2">
                  <w:pPr>
                    <w:pStyle w:val="68"/>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燃烧机</w:t>
                  </w:r>
                </w:p>
              </w:tc>
              <w:tc>
                <w:tcPr>
                  <w:tcW w:w="2731" w:type="dxa"/>
                  <w:noWrap w:val="0"/>
                  <w:vAlign w:val="center"/>
                </w:tcPr>
                <w:p w14:paraId="54E33540">
                  <w:pPr>
                    <w:pStyle w:val="68"/>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color w:val="auto"/>
                      <w:kern w:val="0"/>
                      <w:sz w:val="21"/>
                      <w:szCs w:val="21"/>
                      <w:lang w:val="en-US" w:eastAsia="zh-CN" w:bidi="ar-SA"/>
                    </w:rPr>
                  </w:pPr>
                  <w:r>
                    <w:rPr>
                      <w:rFonts w:hint="eastAsia" w:cs="宋体"/>
                      <w:color w:val="auto"/>
                      <w:kern w:val="0"/>
                      <w:sz w:val="21"/>
                      <w:szCs w:val="21"/>
                      <w:lang w:val="en-US" w:eastAsia="zh-CN" w:bidi="ar-SA"/>
                    </w:rPr>
                    <w:t>3</w:t>
                  </w:r>
                  <w:r>
                    <w:rPr>
                      <w:rFonts w:hint="eastAsia" w:ascii="宋体" w:hAnsi="宋体" w:eastAsia="宋体" w:cs="宋体"/>
                      <w:color w:val="auto"/>
                      <w:kern w:val="0"/>
                      <w:sz w:val="21"/>
                      <w:szCs w:val="21"/>
                      <w:lang w:val="en-US" w:eastAsia="zh-CN" w:bidi="ar-SA"/>
                    </w:rPr>
                    <w:t>0KW</w:t>
                  </w:r>
                  <w:r>
                    <w:rPr>
                      <w:rFonts w:hint="eastAsia" w:cs="宋体"/>
                      <w:color w:val="auto"/>
                      <w:kern w:val="0"/>
                      <w:sz w:val="21"/>
                      <w:szCs w:val="21"/>
                      <w:lang w:val="en-US" w:eastAsia="zh-CN" w:bidi="ar-SA"/>
                    </w:rPr>
                    <w:t>，</w:t>
                  </w:r>
                  <w:r>
                    <w:rPr>
                      <w:rFonts w:hint="eastAsia" w:ascii="宋体" w:hAnsi="宋体" w:eastAsia="宋体" w:cs="宋体"/>
                      <w:color w:val="auto"/>
                      <w:kern w:val="0"/>
                      <w:sz w:val="21"/>
                      <w:szCs w:val="21"/>
                      <w:lang w:val="en-US" w:eastAsia="zh-CN" w:bidi="ar-SA"/>
                    </w:rPr>
                    <w:t>25万Kcal</w:t>
                  </w:r>
                </w:p>
              </w:tc>
              <w:tc>
                <w:tcPr>
                  <w:tcW w:w="1188" w:type="dxa"/>
                  <w:noWrap w:val="0"/>
                  <w:vAlign w:val="center"/>
                </w:tcPr>
                <w:p w14:paraId="618B80D2">
                  <w:pPr>
                    <w:pStyle w:val="68"/>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1</w:t>
                  </w:r>
                </w:p>
              </w:tc>
            </w:tr>
            <w:tr w14:paraId="1DA5C2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00" w:type="dxa"/>
                  <w:noWrap w:val="0"/>
                  <w:vAlign w:val="center"/>
                </w:tcPr>
                <w:p w14:paraId="11E54010">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w:t>
                  </w:r>
                </w:p>
              </w:tc>
              <w:tc>
                <w:tcPr>
                  <w:tcW w:w="880" w:type="dxa"/>
                  <w:vMerge w:val="continue"/>
                  <w:noWrap w:val="0"/>
                  <w:vAlign w:val="center"/>
                </w:tcPr>
                <w:p w14:paraId="6E1434E4">
                  <w:pPr>
                    <w:pStyle w:val="68"/>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szCs w:val="21"/>
                    </w:rPr>
                  </w:pPr>
                </w:p>
              </w:tc>
              <w:tc>
                <w:tcPr>
                  <w:tcW w:w="2252" w:type="dxa"/>
                  <w:gridSpan w:val="2"/>
                  <w:noWrap w:val="0"/>
                  <w:vAlign w:val="center"/>
                </w:tcPr>
                <w:p w14:paraId="4454FCB0">
                  <w:pPr>
                    <w:pStyle w:val="68"/>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kern w:val="0"/>
                      <w:sz w:val="21"/>
                      <w:szCs w:val="21"/>
                      <w:lang w:val="en-US" w:bidi="ar-SA"/>
                    </w:rPr>
                  </w:pPr>
                  <w:r>
                    <w:rPr>
                      <w:rFonts w:hint="eastAsia" w:ascii="宋体" w:hAnsi="宋体" w:eastAsia="宋体" w:cs="宋体"/>
                      <w:sz w:val="21"/>
                      <w:szCs w:val="21"/>
                    </w:rPr>
                    <w:t>空压机</w:t>
                  </w:r>
                </w:p>
              </w:tc>
              <w:tc>
                <w:tcPr>
                  <w:tcW w:w="2731" w:type="dxa"/>
                  <w:noWrap w:val="0"/>
                  <w:vAlign w:val="center"/>
                </w:tcPr>
                <w:p w14:paraId="7FC1991E">
                  <w:pPr>
                    <w:pStyle w:val="68"/>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kern w:val="0"/>
                      <w:sz w:val="21"/>
                      <w:szCs w:val="21"/>
                      <w:lang w:val="en-US" w:bidi="ar-SA"/>
                    </w:rPr>
                  </w:pPr>
                  <w:r>
                    <w:rPr>
                      <w:rFonts w:hint="eastAsia" w:ascii="宋体" w:hAnsi="宋体" w:eastAsia="宋体" w:cs="宋体"/>
                      <w:kern w:val="0"/>
                      <w:sz w:val="21"/>
                      <w:szCs w:val="21"/>
                      <w:lang w:val="en-US" w:eastAsia="zh-CN" w:bidi="ar-SA"/>
                    </w:rPr>
                    <w:t>20</w:t>
                  </w:r>
                  <w:r>
                    <w:rPr>
                      <w:rFonts w:hint="eastAsia" w:ascii="宋体" w:hAnsi="宋体" w:eastAsia="宋体" w:cs="宋体"/>
                      <w:kern w:val="0"/>
                      <w:sz w:val="21"/>
                      <w:szCs w:val="21"/>
                      <w:lang w:val="en-US" w:bidi="ar-SA"/>
                    </w:rPr>
                    <w:t>KW</w:t>
                  </w:r>
                </w:p>
              </w:tc>
              <w:tc>
                <w:tcPr>
                  <w:tcW w:w="1188" w:type="dxa"/>
                  <w:noWrap w:val="0"/>
                  <w:vAlign w:val="center"/>
                </w:tcPr>
                <w:p w14:paraId="3B71DE56">
                  <w:pPr>
                    <w:pStyle w:val="68"/>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2</w:t>
                  </w:r>
                </w:p>
              </w:tc>
            </w:tr>
            <w:tr w14:paraId="0B4F91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00" w:type="dxa"/>
                  <w:noWrap w:val="0"/>
                  <w:vAlign w:val="center"/>
                </w:tcPr>
                <w:p w14:paraId="03DACEF2">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9</w:t>
                  </w:r>
                </w:p>
              </w:tc>
              <w:tc>
                <w:tcPr>
                  <w:tcW w:w="880" w:type="dxa"/>
                  <w:vMerge w:val="restart"/>
                  <w:noWrap w:val="0"/>
                  <w:vAlign w:val="center"/>
                </w:tcPr>
                <w:p w14:paraId="106F9430">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环保设备</w:t>
                  </w:r>
                </w:p>
              </w:tc>
              <w:tc>
                <w:tcPr>
                  <w:tcW w:w="2252" w:type="dxa"/>
                  <w:gridSpan w:val="2"/>
                  <w:noWrap w:val="0"/>
                  <w:vAlign w:val="center"/>
                </w:tcPr>
                <w:p w14:paraId="6F64D607">
                  <w:pPr>
                    <w:pStyle w:val="68"/>
                    <w:keepNext w:val="0"/>
                    <w:keepLines w:val="0"/>
                    <w:suppressLineNumbers w:val="0"/>
                    <w:autoSpaceDE w:val="0"/>
                    <w:adjustRightInd w:val="0"/>
                    <w:snapToGrid w:val="0"/>
                    <w:spacing w:before="0" w:beforeAutospacing="0" w:after="0" w:afterAutospacing="0" w:line="240" w:lineRule="atLeast"/>
                    <w:ind w:left="0" w:leftChars="0" w:right="0" w:rightChars="0"/>
                    <w:rPr>
                      <w:rFonts w:hint="eastAsia" w:ascii="宋体" w:hAnsi="宋体" w:eastAsia="宋体" w:cs="宋体"/>
                      <w:sz w:val="21"/>
                      <w:szCs w:val="21"/>
                      <w:lang w:val="en-US"/>
                    </w:rPr>
                  </w:pPr>
                  <w:r>
                    <w:rPr>
                      <w:rFonts w:hint="eastAsia" w:ascii="宋体" w:hAnsi="宋体" w:eastAsia="宋体" w:cs="宋体"/>
                      <w:sz w:val="21"/>
                      <w:szCs w:val="21"/>
                      <w:lang w:val="en-US"/>
                    </w:rPr>
                    <w:t>脉冲式布袋除尘器</w:t>
                  </w:r>
                </w:p>
              </w:tc>
              <w:tc>
                <w:tcPr>
                  <w:tcW w:w="2731" w:type="dxa"/>
                  <w:noWrap w:val="0"/>
                  <w:vAlign w:val="center"/>
                </w:tcPr>
                <w:p w14:paraId="024C31E9">
                  <w:pPr>
                    <w:pStyle w:val="68"/>
                    <w:keepNext w:val="0"/>
                    <w:keepLines w:val="0"/>
                    <w:suppressLineNumbers w:val="0"/>
                    <w:adjustRightInd w:val="0"/>
                    <w:snapToGrid w:val="0"/>
                    <w:spacing w:before="0" w:beforeAutospacing="0" w:after="0" w:afterAutospacing="0" w:line="240" w:lineRule="atLeast"/>
                    <w:ind w:left="0" w:leftChars="0" w:right="0" w:righ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6000</w:t>
                  </w:r>
                  <w:r>
                    <w:rPr>
                      <w:rFonts w:hint="eastAsia" w:ascii="宋体" w:hAnsi="宋体" w:eastAsia="宋体" w:cs="宋体"/>
                      <w:kern w:val="0"/>
                      <w:sz w:val="21"/>
                      <w:szCs w:val="21"/>
                      <w:lang w:val="en-US" w:eastAsia="zh-CN" w:bidi="ar-SA"/>
                    </w:rPr>
                    <w:t>m</w:t>
                  </w:r>
                  <w:r>
                    <w:rPr>
                      <w:rFonts w:hint="eastAsia" w:ascii="宋体" w:hAnsi="宋体" w:eastAsia="宋体" w:cs="宋体"/>
                      <w:kern w:val="0"/>
                      <w:sz w:val="21"/>
                      <w:szCs w:val="21"/>
                      <w:vertAlign w:val="superscript"/>
                      <w:lang w:val="en-US" w:eastAsia="zh-CN" w:bidi="ar-SA"/>
                    </w:rPr>
                    <w:t>3</w:t>
                  </w:r>
                  <w:r>
                    <w:rPr>
                      <w:rFonts w:hint="eastAsia" w:ascii="宋体" w:hAnsi="宋体" w:eastAsia="宋体" w:cs="宋体"/>
                      <w:kern w:val="0"/>
                      <w:sz w:val="21"/>
                      <w:szCs w:val="21"/>
                      <w:lang w:val="en-US" w:eastAsia="zh-CN" w:bidi="ar-SA"/>
                    </w:rPr>
                    <w:t>/h</w:t>
                  </w:r>
                </w:p>
              </w:tc>
              <w:tc>
                <w:tcPr>
                  <w:tcW w:w="1188" w:type="dxa"/>
                  <w:noWrap w:val="0"/>
                  <w:vAlign w:val="center"/>
                </w:tcPr>
                <w:p w14:paraId="3C2B88BB">
                  <w:pPr>
                    <w:pStyle w:val="68"/>
                    <w:keepNext w:val="0"/>
                    <w:keepLines w:val="0"/>
                    <w:suppressLineNumbers w:val="0"/>
                    <w:adjustRightInd w:val="0"/>
                    <w:snapToGrid w:val="0"/>
                    <w:spacing w:before="0" w:beforeAutospacing="0" w:after="0" w:afterAutospacing="0" w:line="240" w:lineRule="atLeast"/>
                    <w:ind w:left="0" w:leftChars="0" w:right="0" w:righ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r>
            <w:tr w14:paraId="3A104D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00" w:type="dxa"/>
                  <w:noWrap w:val="0"/>
                  <w:vAlign w:val="center"/>
                </w:tcPr>
                <w:p w14:paraId="785C3A04">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10</w:t>
                  </w:r>
                </w:p>
              </w:tc>
              <w:tc>
                <w:tcPr>
                  <w:tcW w:w="880" w:type="dxa"/>
                  <w:vMerge w:val="continue"/>
                  <w:noWrap w:val="0"/>
                  <w:vAlign w:val="center"/>
                </w:tcPr>
                <w:p w14:paraId="4AA67987">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2252" w:type="dxa"/>
                  <w:gridSpan w:val="2"/>
                  <w:noWrap w:val="0"/>
                  <w:vAlign w:val="center"/>
                </w:tcPr>
                <w:p w14:paraId="34DA9B44">
                  <w:pPr>
                    <w:pStyle w:val="68"/>
                    <w:keepNext w:val="0"/>
                    <w:keepLines w:val="0"/>
                    <w:suppressLineNumbers w:val="0"/>
                    <w:autoSpaceDE w:val="0"/>
                    <w:adjustRightInd w:val="0"/>
                    <w:snapToGrid w:val="0"/>
                    <w:spacing w:before="0" w:beforeAutospacing="0" w:after="0" w:afterAutospacing="0" w:line="240" w:lineRule="atLeast"/>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旋风除尘+布袋除尘器</w:t>
                  </w:r>
                </w:p>
              </w:tc>
              <w:tc>
                <w:tcPr>
                  <w:tcW w:w="2731" w:type="dxa"/>
                  <w:noWrap w:val="0"/>
                  <w:vAlign w:val="center"/>
                </w:tcPr>
                <w:p w14:paraId="34755B63">
                  <w:pPr>
                    <w:pStyle w:val="68"/>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12000</w:t>
                  </w:r>
                  <w:r>
                    <w:rPr>
                      <w:rFonts w:hint="eastAsia" w:ascii="宋体" w:hAnsi="宋体" w:eastAsia="宋体" w:cs="宋体"/>
                      <w:kern w:val="0"/>
                      <w:sz w:val="21"/>
                      <w:szCs w:val="21"/>
                      <w:lang w:val="en-US" w:eastAsia="zh-CN" w:bidi="ar-SA"/>
                    </w:rPr>
                    <w:t>m</w:t>
                  </w:r>
                  <w:r>
                    <w:rPr>
                      <w:rFonts w:hint="eastAsia" w:ascii="宋体" w:hAnsi="宋体" w:eastAsia="宋体" w:cs="宋体"/>
                      <w:kern w:val="0"/>
                      <w:sz w:val="21"/>
                      <w:szCs w:val="21"/>
                      <w:vertAlign w:val="superscript"/>
                      <w:lang w:val="en-US" w:eastAsia="zh-CN" w:bidi="ar-SA"/>
                    </w:rPr>
                    <w:t>3</w:t>
                  </w:r>
                  <w:r>
                    <w:rPr>
                      <w:rFonts w:hint="eastAsia" w:ascii="宋体" w:hAnsi="宋体" w:eastAsia="宋体" w:cs="宋体"/>
                      <w:kern w:val="0"/>
                      <w:sz w:val="21"/>
                      <w:szCs w:val="21"/>
                      <w:lang w:val="en-US" w:eastAsia="zh-CN" w:bidi="ar-SA"/>
                    </w:rPr>
                    <w:t>/h</w:t>
                  </w:r>
                </w:p>
              </w:tc>
              <w:tc>
                <w:tcPr>
                  <w:tcW w:w="1188" w:type="dxa"/>
                  <w:noWrap w:val="0"/>
                  <w:vAlign w:val="center"/>
                </w:tcPr>
                <w:p w14:paraId="7811C9C8">
                  <w:pPr>
                    <w:pStyle w:val="68"/>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0E96CF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2" w:hRule="atLeast"/>
                <w:jc w:val="center"/>
              </w:trPr>
              <w:tc>
                <w:tcPr>
                  <w:tcW w:w="800" w:type="dxa"/>
                  <w:noWrap w:val="0"/>
                  <w:vAlign w:val="center"/>
                </w:tcPr>
                <w:p w14:paraId="63F5626A">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11</w:t>
                  </w:r>
                </w:p>
              </w:tc>
              <w:tc>
                <w:tcPr>
                  <w:tcW w:w="880" w:type="dxa"/>
                  <w:vMerge w:val="continue"/>
                  <w:noWrap w:val="0"/>
                  <w:vAlign w:val="center"/>
                </w:tcPr>
                <w:p w14:paraId="13AEC82E">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2252" w:type="dxa"/>
                  <w:gridSpan w:val="2"/>
                  <w:noWrap w:val="0"/>
                  <w:vAlign w:val="center"/>
                </w:tcPr>
                <w:p w14:paraId="76061955">
                  <w:pPr>
                    <w:pStyle w:val="68"/>
                    <w:keepNext w:val="0"/>
                    <w:keepLines w:val="0"/>
                    <w:suppressLineNumbers w:val="0"/>
                    <w:autoSpaceDE w:val="0"/>
                    <w:adjustRightInd w:val="0"/>
                    <w:snapToGrid w:val="0"/>
                    <w:spacing w:before="0" w:beforeAutospacing="0" w:after="0" w:afterAutospacing="0" w:line="240" w:lineRule="atLeast"/>
                    <w:ind w:left="0" w:right="0"/>
                    <w:rPr>
                      <w:rFonts w:hint="eastAsia" w:ascii="宋体" w:hAnsi="宋体" w:eastAsia="宋体" w:cs="宋体"/>
                      <w:sz w:val="21"/>
                      <w:szCs w:val="21"/>
                      <w:lang w:val="en-US"/>
                    </w:rPr>
                  </w:pPr>
                  <w:r>
                    <w:rPr>
                      <w:rFonts w:hint="eastAsia" w:ascii="宋体" w:hAnsi="宋体" w:eastAsia="宋体" w:cs="宋体"/>
                      <w:sz w:val="21"/>
                      <w:szCs w:val="21"/>
                      <w:lang w:val="en-US" w:eastAsia="zh-CN"/>
                    </w:rPr>
                    <w:t>水喷淋+</w:t>
                  </w:r>
                  <w:r>
                    <w:rPr>
                      <w:rFonts w:hint="eastAsia" w:ascii="宋体" w:hAnsi="宋体" w:eastAsia="宋体" w:cs="宋体"/>
                      <w:sz w:val="21"/>
                      <w:szCs w:val="21"/>
                      <w:lang w:val="en-US"/>
                    </w:rPr>
                    <w:t>二级活性炭吸附设施</w:t>
                  </w:r>
                </w:p>
              </w:tc>
              <w:tc>
                <w:tcPr>
                  <w:tcW w:w="2731" w:type="dxa"/>
                  <w:noWrap w:val="0"/>
                  <w:vAlign w:val="center"/>
                </w:tcPr>
                <w:p w14:paraId="44C0F946">
                  <w:pPr>
                    <w:pStyle w:val="68"/>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100</w:t>
                  </w:r>
                  <w:r>
                    <w:rPr>
                      <w:rFonts w:hint="eastAsia" w:cs="宋体"/>
                      <w:sz w:val="21"/>
                      <w:szCs w:val="21"/>
                      <w:lang w:val="en-US" w:eastAsia="zh-CN"/>
                    </w:rPr>
                    <w:t>0</w:t>
                  </w:r>
                  <w:r>
                    <w:rPr>
                      <w:rFonts w:hint="eastAsia" w:ascii="宋体" w:hAnsi="宋体" w:eastAsia="宋体" w:cs="宋体"/>
                      <w:sz w:val="21"/>
                      <w:szCs w:val="21"/>
                      <w:lang w:val="en-US" w:eastAsia="zh-CN"/>
                    </w:rPr>
                    <w:t>0</w:t>
                  </w:r>
                  <w:r>
                    <w:rPr>
                      <w:rFonts w:hint="eastAsia" w:ascii="宋体" w:hAnsi="宋体" w:eastAsia="宋体" w:cs="宋体"/>
                      <w:kern w:val="0"/>
                      <w:sz w:val="21"/>
                      <w:szCs w:val="21"/>
                      <w:lang w:val="en-US" w:eastAsia="zh-CN" w:bidi="ar-SA"/>
                    </w:rPr>
                    <w:t>m</w:t>
                  </w:r>
                  <w:r>
                    <w:rPr>
                      <w:rFonts w:hint="eastAsia" w:ascii="宋体" w:hAnsi="宋体" w:eastAsia="宋体" w:cs="宋体"/>
                      <w:kern w:val="0"/>
                      <w:sz w:val="21"/>
                      <w:szCs w:val="21"/>
                      <w:vertAlign w:val="superscript"/>
                      <w:lang w:val="en-US" w:eastAsia="zh-CN" w:bidi="ar-SA"/>
                    </w:rPr>
                    <w:t>3</w:t>
                  </w:r>
                  <w:r>
                    <w:rPr>
                      <w:rFonts w:hint="eastAsia" w:ascii="宋体" w:hAnsi="宋体" w:eastAsia="宋体" w:cs="宋体"/>
                      <w:kern w:val="0"/>
                      <w:sz w:val="21"/>
                      <w:szCs w:val="21"/>
                      <w:lang w:val="en-US" w:eastAsia="zh-CN" w:bidi="ar-SA"/>
                    </w:rPr>
                    <w:t>/h</w:t>
                  </w:r>
                </w:p>
              </w:tc>
              <w:tc>
                <w:tcPr>
                  <w:tcW w:w="1188" w:type="dxa"/>
                  <w:noWrap w:val="0"/>
                  <w:vAlign w:val="center"/>
                </w:tcPr>
                <w:p w14:paraId="7D58F262">
                  <w:pPr>
                    <w:pStyle w:val="68"/>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r>
            <w:tr w14:paraId="10CE7B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932" w:type="dxa"/>
                  <w:gridSpan w:val="4"/>
                  <w:noWrap w:val="0"/>
                  <w:vAlign w:val="center"/>
                </w:tcPr>
                <w:p w14:paraId="458FA570">
                  <w:pPr>
                    <w:pStyle w:val="68"/>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szCs w:val="21"/>
                      <w:lang w:val="en-US"/>
                    </w:rPr>
                  </w:pPr>
                  <w:r>
                    <w:rPr>
                      <w:rFonts w:hint="eastAsia" w:ascii="宋体" w:hAnsi="宋体" w:eastAsia="宋体" w:cs="宋体"/>
                      <w:sz w:val="21"/>
                      <w:szCs w:val="21"/>
                      <w:lang w:val="en-US"/>
                    </w:rPr>
                    <w:t>合计</w:t>
                  </w:r>
                </w:p>
              </w:tc>
              <w:tc>
                <w:tcPr>
                  <w:tcW w:w="2731" w:type="dxa"/>
                  <w:noWrap w:val="0"/>
                  <w:vAlign w:val="center"/>
                </w:tcPr>
                <w:p w14:paraId="49F922D4">
                  <w:pPr>
                    <w:pStyle w:val="68"/>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szCs w:val="21"/>
                      <w:lang w:val="en-US" w:eastAsia="zh-CN"/>
                    </w:rPr>
                  </w:pPr>
                </w:p>
              </w:tc>
              <w:tc>
                <w:tcPr>
                  <w:tcW w:w="1188" w:type="dxa"/>
                  <w:noWrap w:val="0"/>
                  <w:vAlign w:val="center"/>
                </w:tcPr>
                <w:p w14:paraId="3B01E4C2">
                  <w:pPr>
                    <w:pStyle w:val="68"/>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26</w:t>
                  </w:r>
                </w:p>
              </w:tc>
            </w:tr>
          </w:tbl>
          <w:p w14:paraId="71D5039B">
            <w:pPr>
              <w:keepNext w:val="0"/>
              <w:keepLines w:val="0"/>
              <w:widowControl/>
              <w:suppressLineNumbers w:val="0"/>
              <w:spacing w:before="0" w:beforeAutospacing="0" w:after="0" w:afterAutospacing="0"/>
              <w:ind w:left="0" w:right="0"/>
              <w:outlineLvl w:val="0"/>
              <w:rPr>
                <w:rFonts w:hint="eastAsia" w:ascii="宋体" w:hAnsi="宋体" w:eastAsia="宋体" w:cs="宋体"/>
              </w:rPr>
            </w:pPr>
            <w:bookmarkStart w:id="22" w:name="_Toc27732"/>
            <w:r>
              <w:rPr>
                <w:rFonts w:hint="eastAsia" w:ascii="宋体" w:hAnsi="宋体" w:eastAsia="宋体" w:cs="宋体"/>
              </w:rPr>
              <w:t>5、用水平衡</w:t>
            </w:r>
            <w:bookmarkEnd w:id="22"/>
          </w:p>
          <w:p w14:paraId="523E0695">
            <w:pPr>
              <w:keepNext w:val="0"/>
              <w:keepLines w:val="0"/>
              <w:widowControl/>
              <w:suppressLineNumbers w:val="0"/>
              <w:spacing w:before="0" w:beforeAutospacing="0" w:after="0" w:afterAutospacing="0"/>
              <w:ind w:left="0" w:right="0" w:firstLine="480" w:firstLineChars="200"/>
              <w:outlineLvl w:val="0"/>
              <w:rPr>
                <w:rFonts w:hint="eastAsia" w:ascii="宋体" w:hAnsi="宋体" w:eastAsia="宋体" w:cs="宋体"/>
              </w:rPr>
            </w:pPr>
            <w:bookmarkStart w:id="23" w:name="_Toc3849"/>
            <w:r>
              <w:rPr>
                <w:rFonts w:hint="eastAsia" w:ascii="宋体" w:hAnsi="宋体" w:eastAsia="宋体" w:cs="宋体"/>
              </w:rPr>
              <w:t>⑴给水</w:t>
            </w:r>
            <w:bookmarkEnd w:id="23"/>
          </w:p>
          <w:p w14:paraId="38FF4A6E">
            <w:pPr>
              <w:keepNext w:val="0"/>
              <w:keepLines w:val="0"/>
              <w:widowControl/>
              <w:suppressLineNumbers w:val="0"/>
              <w:spacing w:before="0" w:beforeAutospacing="0" w:after="0" w:afterAutospacing="0"/>
              <w:ind w:left="0" w:right="0" w:firstLine="480" w:firstLineChars="200"/>
              <w:outlineLvl w:val="0"/>
              <w:rPr>
                <w:rFonts w:hint="eastAsia" w:ascii="宋体" w:hAnsi="宋体" w:eastAsia="宋体" w:cs="宋体"/>
              </w:rPr>
            </w:pPr>
            <w:bookmarkStart w:id="24" w:name="_Toc14114"/>
            <w:r>
              <w:rPr>
                <w:rFonts w:hint="eastAsia" w:ascii="宋体" w:hAnsi="宋体" w:eastAsia="宋体" w:cs="宋体"/>
              </w:rPr>
              <w:t>本项目用水环节主要包括职工生活用水和生产用水。</w:t>
            </w:r>
            <w:bookmarkEnd w:id="24"/>
          </w:p>
          <w:p w14:paraId="5E015AAA">
            <w:pPr>
              <w:keepNext w:val="0"/>
              <w:keepLines w:val="0"/>
              <w:widowControl/>
              <w:suppressLineNumbers w:val="0"/>
              <w:spacing w:before="0" w:beforeAutospacing="0" w:after="0" w:afterAutospacing="0"/>
              <w:ind w:left="0" w:right="0" w:firstLine="480" w:firstLineChars="200"/>
              <w:outlineLvl w:val="0"/>
              <w:rPr>
                <w:rFonts w:hint="eastAsia" w:ascii="宋体" w:hAnsi="宋体" w:eastAsia="宋体" w:cs="宋体"/>
              </w:rPr>
            </w:pPr>
            <w:bookmarkStart w:id="25" w:name="_Toc29535"/>
            <w:r>
              <w:rPr>
                <w:rFonts w:hint="eastAsia" w:ascii="宋体" w:hAnsi="宋体" w:eastAsia="宋体" w:cs="宋体"/>
              </w:rPr>
              <w:t>①生活用水</w:t>
            </w:r>
          </w:p>
          <w:p w14:paraId="2FAAB06D">
            <w:pPr>
              <w:keepNext w:val="0"/>
              <w:keepLines w:val="0"/>
              <w:widowControl/>
              <w:suppressLineNumbers w:val="0"/>
              <w:spacing w:before="0" w:beforeAutospacing="0" w:after="0" w:afterAutospacing="0"/>
              <w:ind w:left="0" w:right="0" w:firstLine="480" w:firstLineChars="200"/>
              <w:outlineLvl w:val="0"/>
              <w:rPr>
                <w:rFonts w:hint="eastAsia" w:ascii="宋体" w:hAnsi="宋体" w:eastAsia="宋体" w:cs="宋体"/>
              </w:rPr>
            </w:pPr>
            <w:r>
              <w:rPr>
                <w:rFonts w:hint="eastAsia" w:ascii="宋体" w:hAnsi="宋体" w:eastAsia="宋体" w:cs="宋体"/>
              </w:rPr>
              <w:t>项目定员</w:t>
            </w:r>
            <w:r>
              <w:rPr>
                <w:rFonts w:hint="eastAsia" w:ascii="宋体" w:hAnsi="宋体" w:eastAsia="宋体" w:cs="宋体"/>
                <w:lang w:val="en-US" w:eastAsia="zh-CN"/>
              </w:rPr>
              <w:t>28</w:t>
            </w:r>
            <w:r>
              <w:rPr>
                <w:rFonts w:hint="eastAsia" w:ascii="宋体" w:hAnsi="宋体" w:eastAsia="宋体" w:cs="宋体"/>
              </w:rPr>
              <w:t>人，</w:t>
            </w:r>
            <w:bookmarkEnd w:id="25"/>
            <w:r>
              <w:rPr>
                <w:rFonts w:hint="eastAsia" w:ascii="宋体" w:hAnsi="宋体" w:eastAsia="宋体" w:cs="宋体"/>
              </w:rPr>
              <w:t>根据《生活源产排污核算方法和系数手册》（2021）表1-1城镇生活源水污染物产生系数，江苏省生活用水量按203L/人·d计算，年工作时间</w:t>
            </w:r>
            <w:r>
              <w:rPr>
                <w:rFonts w:hint="eastAsia" w:ascii="宋体" w:hAnsi="宋体" w:eastAsia="宋体" w:cs="宋体"/>
                <w:lang w:val="en-US" w:eastAsia="zh-CN"/>
              </w:rPr>
              <w:t>25</w:t>
            </w:r>
            <w:r>
              <w:rPr>
                <w:rFonts w:hint="eastAsia" w:ascii="宋体" w:hAnsi="宋体" w:eastAsia="宋体" w:cs="宋体"/>
              </w:rPr>
              <w:t>0d，生活用水量合计为</w:t>
            </w:r>
            <w:r>
              <w:rPr>
                <w:rFonts w:hint="eastAsia" w:ascii="宋体" w:hAnsi="宋体" w:eastAsia="宋体" w:cs="宋体"/>
                <w:lang w:val="en-US" w:eastAsia="zh-CN"/>
              </w:rPr>
              <w:t>1421</w:t>
            </w:r>
            <w:r>
              <w:rPr>
                <w:rFonts w:hint="eastAsia" w:ascii="宋体" w:hAnsi="宋体" w:eastAsia="宋体" w:cs="宋体"/>
              </w:rPr>
              <w:t>t/a。</w:t>
            </w:r>
          </w:p>
          <w:p w14:paraId="6C4F1785">
            <w:pPr>
              <w:keepNext w:val="0"/>
              <w:keepLines w:val="0"/>
              <w:widowControl/>
              <w:suppressLineNumbers w:val="0"/>
              <w:adjustRightInd w:val="0"/>
              <w:snapToGrid w:val="0"/>
              <w:spacing w:before="0" w:beforeAutospacing="0" w:after="0" w:afterAutospacing="0"/>
              <w:ind w:left="0" w:right="0" w:firstLine="480" w:firstLineChars="200"/>
              <w:outlineLvl w:val="0"/>
              <w:rPr>
                <w:rFonts w:hint="eastAsia" w:ascii="宋体" w:hAnsi="宋体" w:eastAsia="宋体" w:cs="宋体"/>
              </w:rPr>
            </w:pPr>
            <w:bookmarkStart w:id="26" w:name="_Toc12668"/>
            <w:r>
              <w:rPr>
                <w:rFonts w:hint="eastAsia" w:ascii="宋体" w:hAnsi="宋体" w:eastAsia="宋体" w:cs="宋体"/>
              </w:rPr>
              <w:t>②</w:t>
            </w:r>
            <w:r>
              <w:rPr>
                <w:rFonts w:hint="eastAsia" w:ascii="宋体" w:hAnsi="宋体" w:eastAsia="宋体" w:cs="宋体"/>
                <w:lang w:val="en-US" w:eastAsia="zh-CN"/>
              </w:rPr>
              <w:t>表面预处理</w:t>
            </w:r>
            <w:r>
              <w:rPr>
                <w:rFonts w:hint="eastAsia" w:ascii="宋体" w:hAnsi="宋体" w:eastAsia="宋体" w:cs="宋体"/>
              </w:rPr>
              <w:t>用水</w:t>
            </w:r>
          </w:p>
          <w:bookmarkEnd w:id="26"/>
          <w:p w14:paraId="0A719232">
            <w:pPr>
              <w:pStyle w:val="10"/>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rPr>
            </w:pPr>
            <w:r>
              <w:rPr>
                <w:rFonts w:hint="eastAsia" w:ascii="宋体" w:hAnsi="宋体" w:eastAsia="宋体" w:cs="宋体"/>
              </w:rPr>
              <w:t>本项目</w:t>
            </w:r>
            <w:r>
              <w:rPr>
                <w:rFonts w:hint="eastAsia" w:ascii="宋体" w:hAnsi="宋体" w:eastAsia="宋体" w:cs="宋体"/>
                <w:lang w:eastAsia="zh-CN"/>
              </w:rPr>
              <w:t>车间</w:t>
            </w:r>
            <w:r>
              <w:rPr>
                <w:rFonts w:hint="eastAsia" w:ascii="宋体" w:hAnsi="宋体" w:eastAsia="宋体" w:cs="宋体"/>
                <w:lang w:val="en-US" w:eastAsia="zh-CN"/>
              </w:rPr>
              <w:t>二</w:t>
            </w:r>
            <w:r>
              <w:rPr>
                <w:rFonts w:hint="eastAsia" w:ascii="宋体" w:hAnsi="宋体" w:eastAsia="宋体" w:cs="宋体"/>
                <w:lang w:eastAsia="zh-CN"/>
              </w:rPr>
              <w:t>层的</w:t>
            </w:r>
            <w:r>
              <w:rPr>
                <w:rFonts w:hint="eastAsia" w:ascii="宋体" w:hAnsi="宋体" w:eastAsia="宋体" w:cs="宋体"/>
              </w:rPr>
              <w:t>表面预处理工艺为</w:t>
            </w:r>
            <w:r>
              <w:rPr>
                <w:rFonts w:hint="eastAsia" w:ascii="宋体" w:hAnsi="宋体" w:eastAsia="宋体" w:cs="宋体"/>
                <w:lang w:eastAsia="zh-CN"/>
              </w:rPr>
              <w:t>：</w:t>
            </w:r>
            <w:r>
              <w:rPr>
                <w:rFonts w:hint="eastAsia" w:ascii="宋体" w:hAnsi="宋体" w:eastAsia="宋体" w:cs="宋体"/>
              </w:rPr>
              <w:t>脱脂-水洗（2道）-</w:t>
            </w:r>
            <w:r>
              <w:rPr>
                <w:rFonts w:hint="eastAsia" w:ascii="宋体" w:hAnsi="宋体" w:eastAsia="宋体" w:cs="宋体"/>
                <w:lang w:val="en-US" w:eastAsia="zh-CN"/>
              </w:rPr>
              <w:t>硅烷</w:t>
            </w:r>
            <w:r>
              <w:rPr>
                <w:rFonts w:hint="eastAsia" w:ascii="宋体" w:hAnsi="宋体" w:eastAsia="宋体" w:cs="宋体"/>
              </w:rPr>
              <w:t>-水洗（</w:t>
            </w:r>
            <w:r>
              <w:rPr>
                <w:rFonts w:hint="eastAsia" w:ascii="宋体" w:hAnsi="宋体" w:eastAsia="宋体" w:cs="宋体"/>
                <w:lang w:val="en-US" w:eastAsia="zh-CN"/>
              </w:rPr>
              <w:t>1</w:t>
            </w:r>
            <w:r>
              <w:rPr>
                <w:rFonts w:hint="eastAsia" w:ascii="宋体" w:hAnsi="宋体" w:eastAsia="宋体" w:cs="宋体"/>
              </w:rPr>
              <w:t>道）</w:t>
            </w:r>
            <w:r>
              <w:rPr>
                <w:rFonts w:hint="eastAsia" w:ascii="宋体" w:hAnsi="宋体" w:eastAsia="宋体" w:cs="宋体"/>
                <w:lang w:eastAsia="zh-CN"/>
              </w:rPr>
              <w:t>，</w:t>
            </w:r>
            <w:r>
              <w:rPr>
                <w:rFonts w:hint="eastAsia" w:ascii="宋体" w:hAnsi="宋体" w:eastAsia="宋体" w:cs="宋体"/>
              </w:rPr>
              <w:t>共设</w:t>
            </w:r>
            <w:r>
              <w:rPr>
                <w:rFonts w:hint="eastAsia" w:ascii="宋体" w:hAnsi="宋体" w:eastAsia="宋体" w:cs="宋体"/>
                <w:lang w:val="en-US" w:eastAsia="zh-CN"/>
              </w:rPr>
              <w:t>5</w:t>
            </w:r>
            <w:r>
              <w:rPr>
                <w:rFonts w:hint="eastAsia" w:ascii="宋体" w:hAnsi="宋体" w:eastAsia="宋体" w:cs="宋体"/>
              </w:rPr>
              <w:t>个水槽</w:t>
            </w:r>
            <w:r>
              <w:rPr>
                <w:rFonts w:hint="eastAsia" w:ascii="宋体" w:hAnsi="宋体" w:eastAsia="宋体" w:cs="宋体"/>
                <w:lang w:eastAsia="zh-CN"/>
              </w:rPr>
              <w:t>，</w:t>
            </w:r>
            <w:r>
              <w:rPr>
                <w:rFonts w:hint="eastAsia" w:ascii="宋体" w:hAnsi="宋体" w:eastAsia="宋体" w:cs="宋体"/>
                <w:lang w:val="en-US" w:eastAsia="zh-CN"/>
              </w:rPr>
              <w:t>采取喷淋方式</w:t>
            </w:r>
            <w:r>
              <w:rPr>
                <w:rFonts w:hint="eastAsia" w:ascii="宋体" w:hAnsi="宋体" w:eastAsia="宋体" w:cs="宋体"/>
              </w:rPr>
              <w:t>，具体见下图：</w:t>
            </w:r>
          </w:p>
          <w:p w14:paraId="325013DE">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rPr>
            </w:pPr>
            <w:r>
              <w:rPr>
                <w:rFonts w:hint="default" w:ascii="Times New Roman" w:hAnsi="Times New Roman" w:cs="Times New Roman"/>
              </w:rPr>
              <w:object>
                <v:shape id="_x0000_i1025" o:spt="75" type="#_x0000_t75" style="height:91.35pt;width:413.65pt;" o:ole="t" filled="f" o:preferrelative="t" stroked="f" coordsize="21600,21600">
                  <v:path/>
                  <v:fill on="f" focussize="0,0"/>
                  <v:stroke on="f"/>
                  <v:imagedata r:id="rId12" o:title=""/>
                  <o:lock v:ext="edit" aspectratio="f"/>
                  <w10:wrap type="none"/>
                  <w10:anchorlock/>
                </v:shape>
                <o:OLEObject Type="Embed" ProgID="Visio.Drawing.11" ShapeID="_x0000_i1025" DrawAspect="Content" ObjectID="_1468075725" r:id="rId11">
                  <o:LockedField>false</o:LockedField>
                </o:OLEObject>
              </w:object>
            </w:r>
            <w:r>
              <w:rPr>
                <w:rFonts w:hint="eastAsia" w:ascii="宋体" w:hAnsi="宋体" w:eastAsia="宋体" w:cs="宋体"/>
                <w:b/>
                <w:bCs/>
              </w:rPr>
              <w:t xml:space="preserve">图2-1 </w:t>
            </w:r>
            <w:r>
              <w:rPr>
                <w:rFonts w:hint="eastAsia" w:ascii="宋体" w:hAnsi="宋体" w:eastAsia="宋体" w:cs="宋体"/>
                <w:b/>
                <w:bCs/>
                <w:lang w:eastAsia="zh-CN"/>
              </w:rPr>
              <w:t>车间</w:t>
            </w:r>
            <w:r>
              <w:rPr>
                <w:rFonts w:hint="eastAsia" w:ascii="宋体" w:hAnsi="宋体" w:eastAsia="宋体" w:cs="宋体"/>
                <w:b/>
                <w:bCs/>
                <w:lang w:val="en-US" w:eastAsia="zh-CN"/>
              </w:rPr>
              <w:t>二</w:t>
            </w:r>
            <w:r>
              <w:rPr>
                <w:rFonts w:hint="eastAsia" w:ascii="宋体" w:hAnsi="宋体" w:eastAsia="宋体" w:cs="宋体"/>
                <w:b/>
                <w:bCs/>
                <w:lang w:eastAsia="zh-CN"/>
              </w:rPr>
              <w:t>层</w:t>
            </w:r>
            <w:r>
              <w:rPr>
                <w:rFonts w:hint="eastAsia" w:ascii="宋体" w:hAnsi="宋体" w:eastAsia="宋体" w:cs="宋体"/>
                <w:b/>
                <w:bCs/>
              </w:rPr>
              <w:t>预处理</w:t>
            </w:r>
            <w:r>
              <w:rPr>
                <w:rFonts w:hint="eastAsia" w:ascii="宋体" w:hAnsi="宋体" w:eastAsia="宋体" w:cs="宋体"/>
                <w:b/>
                <w:bCs/>
                <w:lang w:eastAsia="zh-CN"/>
              </w:rPr>
              <w:t>线</w:t>
            </w:r>
            <w:r>
              <w:rPr>
                <w:rFonts w:hint="eastAsia" w:ascii="宋体" w:hAnsi="宋体" w:eastAsia="宋体" w:cs="宋体"/>
                <w:b/>
                <w:bCs/>
              </w:rPr>
              <w:t>槽</w:t>
            </w:r>
            <w:r>
              <w:rPr>
                <w:rFonts w:hint="eastAsia" w:ascii="宋体" w:hAnsi="宋体" w:eastAsia="宋体" w:cs="宋体"/>
                <w:b/>
                <w:bCs/>
                <w:lang w:eastAsia="zh-CN"/>
              </w:rPr>
              <w:t>体</w:t>
            </w:r>
            <w:r>
              <w:rPr>
                <w:rFonts w:hint="eastAsia" w:ascii="宋体" w:hAnsi="宋体" w:eastAsia="宋体" w:cs="宋体"/>
                <w:b/>
                <w:bCs/>
              </w:rPr>
              <w:t>示意图</w:t>
            </w:r>
          </w:p>
          <w:p w14:paraId="418978D6">
            <w:pPr>
              <w:keepNext w:val="0"/>
              <w:keepLines w:val="0"/>
              <w:suppressLineNumbers w:val="0"/>
              <w:adjustRightInd w:val="0"/>
              <w:snapToGrid w:val="0"/>
              <w:spacing w:before="0" w:beforeAutospacing="0" w:after="0" w:afterAutospacing="0"/>
              <w:ind w:left="0" w:right="0" w:firstLine="480" w:firstLineChars="200"/>
              <w:rPr>
                <w:rFonts w:hint="default" w:ascii="宋体" w:hAnsi="宋体" w:eastAsia="宋体" w:cs="宋体"/>
              </w:rPr>
            </w:pPr>
            <w:r>
              <w:rPr>
                <w:rFonts w:hint="eastAsia" w:ascii="宋体" w:hAnsi="宋体" w:eastAsia="宋体" w:cs="宋体"/>
                <w:lang w:val="en-US" w:eastAsia="zh-CN"/>
              </w:rPr>
              <w:t>脱脂、硅烷</w:t>
            </w:r>
            <w:r>
              <w:rPr>
                <w:rFonts w:hint="eastAsia" w:ascii="宋体" w:hAnsi="宋体" w:eastAsia="宋体" w:cs="宋体"/>
              </w:rPr>
              <w:t>槽体尺寸为</w:t>
            </w:r>
            <w:r>
              <w:rPr>
                <w:rFonts w:hint="eastAsia" w:ascii="宋体" w:hAnsi="宋体" w:eastAsia="宋体" w:cs="宋体"/>
                <w:lang w:val="en-US" w:eastAsia="zh-CN"/>
              </w:rPr>
              <w:t>1.2</w:t>
            </w:r>
            <w:r>
              <w:rPr>
                <w:rFonts w:hint="eastAsia" w:ascii="宋体" w:hAnsi="宋体" w:eastAsia="宋体" w:cs="宋体"/>
              </w:rPr>
              <w:t>m×</w:t>
            </w:r>
            <w:r>
              <w:rPr>
                <w:rFonts w:hint="eastAsia" w:ascii="宋体" w:hAnsi="宋体" w:eastAsia="宋体" w:cs="宋体"/>
                <w:lang w:val="en-US" w:eastAsia="zh-CN"/>
              </w:rPr>
              <w:t>2</w:t>
            </w:r>
            <w:r>
              <w:rPr>
                <w:rFonts w:hint="eastAsia" w:ascii="宋体" w:hAnsi="宋体" w:eastAsia="宋体" w:cs="宋体"/>
              </w:rPr>
              <w:t>m×</w:t>
            </w:r>
            <w:r>
              <w:rPr>
                <w:rFonts w:hint="eastAsia" w:ascii="宋体" w:hAnsi="宋体" w:eastAsia="宋体" w:cs="宋体"/>
                <w:lang w:val="en-US" w:eastAsia="zh-CN"/>
              </w:rPr>
              <w:t>0.8</w:t>
            </w:r>
            <w:r>
              <w:rPr>
                <w:rFonts w:hint="eastAsia" w:ascii="宋体" w:hAnsi="宋体" w:eastAsia="宋体" w:cs="宋体"/>
              </w:rPr>
              <w:t>m</w:t>
            </w:r>
            <w:r>
              <w:rPr>
                <w:rFonts w:hint="eastAsia" w:ascii="宋体" w:hAnsi="宋体" w:eastAsia="宋体" w:cs="宋体"/>
                <w:lang w:eastAsia="zh-CN"/>
              </w:rPr>
              <w:t>，</w:t>
            </w:r>
            <w:r>
              <w:rPr>
                <w:rFonts w:hint="eastAsia" w:ascii="宋体" w:hAnsi="宋体" w:eastAsia="宋体" w:cs="宋体"/>
                <w:lang w:val="en-US" w:eastAsia="zh-CN"/>
              </w:rPr>
              <w:t>水洗槽</w:t>
            </w:r>
            <w:r>
              <w:rPr>
                <w:rFonts w:hint="eastAsia" w:ascii="宋体" w:hAnsi="宋体" w:eastAsia="宋体" w:cs="宋体"/>
              </w:rPr>
              <w:t>槽体尺寸为</w:t>
            </w:r>
            <w:r>
              <w:rPr>
                <w:rFonts w:hint="eastAsia" w:ascii="宋体" w:hAnsi="宋体" w:eastAsia="宋体" w:cs="宋体"/>
                <w:lang w:val="en-US" w:eastAsia="zh-CN"/>
              </w:rPr>
              <w:t>0.6</w:t>
            </w:r>
            <w:r>
              <w:rPr>
                <w:rFonts w:hint="eastAsia" w:ascii="宋体" w:hAnsi="宋体" w:eastAsia="宋体" w:cs="宋体"/>
              </w:rPr>
              <w:t>m×</w:t>
            </w:r>
            <w:r>
              <w:rPr>
                <w:rFonts w:hint="eastAsia" w:ascii="宋体" w:hAnsi="宋体" w:eastAsia="宋体" w:cs="宋体"/>
                <w:lang w:val="en-US" w:eastAsia="zh-CN"/>
              </w:rPr>
              <w:t>2</w:t>
            </w:r>
            <w:r>
              <w:rPr>
                <w:rFonts w:hint="eastAsia" w:ascii="宋体" w:hAnsi="宋体" w:eastAsia="宋体" w:cs="宋体"/>
              </w:rPr>
              <w:t>m×</w:t>
            </w:r>
            <w:r>
              <w:rPr>
                <w:rFonts w:hint="eastAsia" w:ascii="宋体" w:hAnsi="宋体" w:eastAsia="宋体" w:cs="宋体"/>
                <w:lang w:val="en-US" w:eastAsia="zh-CN"/>
              </w:rPr>
              <w:t>0.8</w:t>
            </w:r>
            <w:r>
              <w:rPr>
                <w:rFonts w:hint="eastAsia" w:ascii="宋体" w:hAnsi="宋体" w:eastAsia="宋体" w:cs="宋体"/>
              </w:rPr>
              <w:t>m。</w:t>
            </w:r>
          </w:p>
          <w:p w14:paraId="0A64EE83">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color w:val="auto"/>
              </w:rPr>
            </w:pPr>
            <w:r>
              <w:rPr>
                <w:rFonts w:hint="eastAsia" w:ascii="宋体" w:hAnsi="宋体" w:eastAsia="宋体" w:cs="宋体"/>
                <w:color w:val="auto"/>
              </w:rPr>
              <w:t>a、脱脂用水</w:t>
            </w:r>
          </w:p>
          <w:p w14:paraId="654C1782">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color w:val="auto"/>
              </w:rPr>
            </w:pPr>
            <w:r>
              <w:rPr>
                <w:rFonts w:hint="eastAsia" w:ascii="宋体" w:hAnsi="宋体" w:eastAsia="宋体" w:cs="宋体"/>
                <w:color w:val="auto"/>
              </w:rPr>
              <w:t>本项目脱脂</w:t>
            </w:r>
            <w:r>
              <w:rPr>
                <w:rFonts w:hint="eastAsia" w:ascii="宋体" w:hAnsi="宋体" w:eastAsia="宋体" w:cs="宋体"/>
                <w:color w:val="auto"/>
                <w:lang w:val="en-US" w:eastAsia="zh-CN"/>
              </w:rPr>
              <w:t>采用喷淋方式，</w:t>
            </w:r>
            <w:r>
              <w:rPr>
                <w:rFonts w:hint="eastAsia" w:ascii="宋体" w:hAnsi="宋体" w:eastAsia="宋体" w:cs="宋体"/>
                <w:color w:val="auto"/>
              </w:rPr>
              <w:t>槽液量占槽体容积的</w:t>
            </w:r>
            <w:r>
              <w:rPr>
                <w:rFonts w:hint="eastAsia" w:ascii="宋体" w:hAnsi="宋体" w:eastAsia="宋体" w:cs="宋体"/>
                <w:color w:val="auto"/>
                <w:lang w:val="en-US" w:eastAsia="zh-CN"/>
              </w:rPr>
              <w:t>80</w:t>
            </w:r>
            <w:r>
              <w:rPr>
                <w:rFonts w:hint="eastAsia" w:ascii="宋体" w:hAnsi="宋体" w:eastAsia="宋体" w:cs="宋体"/>
                <w:color w:val="auto"/>
              </w:rPr>
              <w:t>%（</w:t>
            </w:r>
            <w:r>
              <w:rPr>
                <w:rFonts w:hint="eastAsia" w:ascii="宋体" w:hAnsi="宋体" w:eastAsia="宋体" w:cs="宋体"/>
                <w:color w:val="auto"/>
                <w:lang w:val="en-US" w:eastAsia="zh-CN"/>
              </w:rPr>
              <w:t>1.5</w:t>
            </w:r>
            <w:r>
              <w:rPr>
                <w:rFonts w:hint="eastAsia" w:ascii="宋体" w:hAnsi="宋体" w:eastAsia="宋体" w:cs="宋体"/>
                <w:color w:val="auto"/>
              </w:rPr>
              <w:t>m</w:t>
            </w:r>
            <w:r>
              <w:rPr>
                <w:rFonts w:hint="eastAsia" w:ascii="宋体" w:hAnsi="宋体" w:eastAsia="宋体" w:cs="宋体"/>
                <w:color w:val="auto"/>
                <w:vertAlign w:val="superscript"/>
              </w:rPr>
              <w:t>3</w:t>
            </w:r>
            <w:r>
              <w:rPr>
                <w:rFonts w:hint="eastAsia" w:ascii="宋体" w:hAnsi="宋体" w:eastAsia="宋体" w:cs="宋体"/>
                <w:color w:val="auto"/>
              </w:rPr>
              <w:t>），槽液在槽内循环使用，定期清理槽渣，每半年更换1次，废脱脂液产生量为</w:t>
            </w:r>
            <w:r>
              <w:rPr>
                <w:rFonts w:hint="eastAsia" w:ascii="宋体" w:hAnsi="宋体" w:eastAsia="宋体" w:cs="宋体"/>
                <w:color w:val="auto"/>
                <w:lang w:val="en-US" w:eastAsia="zh-CN"/>
              </w:rPr>
              <w:t>3</w:t>
            </w:r>
            <w:r>
              <w:rPr>
                <w:rFonts w:hint="eastAsia" w:ascii="宋体" w:hAnsi="宋体" w:eastAsia="宋体" w:cs="宋体"/>
                <w:color w:val="auto"/>
              </w:rPr>
              <w:t>吨/年，作为危废处置。脱脂</w:t>
            </w:r>
            <w:r>
              <w:rPr>
                <w:rFonts w:hint="eastAsia" w:ascii="宋体" w:hAnsi="宋体" w:eastAsia="宋体" w:cs="宋体"/>
                <w:color w:val="auto"/>
                <w:lang w:val="en-US" w:eastAsia="zh-CN"/>
              </w:rPr>
              <w:t>液需与水以</w:t>
            </w:r>
            <w:r>
              <w:rPr>
                <w:rFonts w:hint="eastAsia" w:ascii="宋体" w:hAnsi="宋体" w:eastAsia="宋体" w:cs="宋体"/>
                <w:color w:val="auto"/>
              </w:rPr>
              <w:t>1:10的比例配制而成，</w:t>
            </w:r>
            <w:r>
              <w:rPr>
                <w:rFonts w:hint="eastAsia" w:ascii="宋体" w:hAnsi="宋体" w:eastAsia="宋体" w:cs="宋体"/>
                <w:color w:val="auto"/>
                <w:lang w:val="en-US" w:eastAsia="zh-CN"/>
              </w:rPr>
              <w:t>项目脱脂剂</w:t>
            </w:r>
            <w:r>
              <w:rPr>
                <w:rFonts w:hint="eastAsia" w:ascii="宋体" w:hAnsi="宋体" w:eastAsia="宋体" w:cs="宋体"/>
                <w:color w:val="auto"/>
              </w:rPr>
              <w:t>年用量</w:t>
            </w:r>
            <w:r>
              <w:rPr>
                <w:rFonts w:hint="eastAsia" w:ascii="宋体" w:hAnsi="宋体" w:eastAsia="宋体" w:cs="宋体"/>
                <w:color w:val="auto"/>
                <w:lang w:val="en-US" w:eastAsia="zh-CN"/>
              </w:rPr>
              <w:t>0.3</w:t>
            </w:r>
            <w:r>
              <w:rPr>
                <w:rFonts w:hint="eastAsia" w:ascii="宋体" w:hAnsi="宋体" w:eastAsia="宋体" w:cs="宋体"/>
                <w:color w:val="auto"/>
              </w:rPr>
              <w:t>吨，则需配比用水</w:t>
            </w:r>
            <w:r>
              <w:rPr>
                <w:rFonts w:hint="eastAsia" w:ascii="宋体" w:hAnsi="宋体" w:eastAsia="宋体" w:cs="宋体"/>
                <w:color w:val="auto"/>
                <w:lang w:val="en-US" w:eastAsia="zh-CN"/>
              </w:rPr>
              <w:t>3</w:t>
            </w:r>
            <w:r>
              <w:rPr>
                <w:rFonts w:hint="eastAsia" w:ascii="宋体" w:hAnsi="宋体" w:eastAsia="宋体" w:cs="宋体"/>
                <w:color w:val="auto"/>
              </w:rPr>
              <w:t>吨/年。</w:t>
            </w:r>
          </w:p>
          <w:p w14:paraId="1AF9A487">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color w:val="auto"/>
                <w:lang w:eastAsia="zh-CN"/>
              </w:rPr>
            </w:pPr>
            <w:r>
              <w:rPr>
                <w:rFonts w:hint="eastAsia" w:ascii="宋体" w:hAnsi="宋体" w:eastAsia="宋体" w:cs="宋体"/>
                <w:color w:val="auto"/>
              </w:rPr>
              <w:t>b、</w:t>
            </w:r>
            <w:r>
              <w:rPr>
                <w:rFonts w:hint="eastAsia" w:ascii="宋体" w:hAnsi="宋体" w:eastAsia="宋体" w:cs="宋体"/>
                <w:color w:val="auto"/>
                <w:lang w:val="en-US" w:eastAsia="zh-CN"/>
              </w:rPr>
              <w:t>硅烷</w:t>
            </w:r>
            <w:r>
              <w:rPr>
                <w:rFonts w:hint="eastAsia" w:ascii="宋体" w:hAnsi="宋体" w:eastAsia="宋体" w:cs="宋体"/>
                <w:color w:val="auto"/>
                <w:lang w:eastAsia="zh-CN"/>
              </w:rPr>
              <w:t>用水</w:t>
            </w:r>
          </w:p>
          <w:p w14:paraId="76DC43E3">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color w:val="auto"/>
              </w:rPr>
            </w:pPr>
            <w:r>
              <w:rPr>
                <w:rFonts w:hint="eastAsia" w:ascii="宋体" w:hAnsi="宋体" w:eastAsia="宋体" w:cs="宋体"/>
                <w:color w:val="auto"/>
              </w:rPr>
              <w:t>本项目</w:t>
            </w:r>
            <w:r>
              <w:rPr>
                <w:rFonts w:hint="eastAsia" w:ascii="宋体" w:hAnsi="宋体" w:eastAsia="宋体" w:cs="宋体"/>
                <w:color w:val="auto"/>
                <w:lang w:val="en-US" w:eastAsia="zh-CN"/>
              </w:rPr>
              <w:t>硅烷采用喷淋方式，</w:t>
            </w:r>
            <w:r>
              <w:rPr>
                <w:rFonts w:hint="eastAsia" w:ascii="宋体" w:hAnsi="宋体" w:eastAsia="宋体" w:cs="宋体"/>
                <w:color w:val="auto"/>
              </w:rPr>
              <w:t>槽液量占槽体容积的</w:t>
            </w:r>
            <w:r>
              <w:rPr>
                <w:rFonts w:hint="eastAsia" w:ascii="宋体" w:hAnsi="宋体" w:eastAsia="宋体" w:cs="宋体"/>
                <w:color w:val="auto"/>
                <w:lang w:val="en-US" w:eastAsia="zh-CN"/>
              </w:rPr>
              <w:t>80</w:t>
            </w:r>
            <w:r>
              <w:rPr>
                <w:rFonts w:hint="eastAsia" w:ascii="宋体" w:hAnsi="宋体" w:eastAsia="宋体" w:cs="宋体"/>
                <w:color w:val="auto"/>
              </w:rPr>
              <w:t>%（</w:t>
            </w:r>
            <w:r>
              <w:rPr>
                <w:rFonts w:hint="eastAsia" w:ascii="宋体" w:hAnsi="宋体" w:eastAsia="宋体" w:cs="宋体"/>
                <w:color w:val="auto"/>
                <w:lang w:val="en-US" w:eastAsia="zh-CN"/>
              </w:rPr>
              <w:t>1.5</w:t>
            </w:r>
            <w:r>
              <w:rPr>
                <w:rFonts w:hint="eastAsia" w:ascii="宋体" w:hAnsi="宋体" w:eastAsia="宋体" w:cs="宋体"/>
                <w:color w:val="auto"/>
              </w:rPr>
              <w:t>m</w:t>
            </w:r>
            <w:r>
              <w:rPr>
                <w:rFonts w:hint="eastAsia" w:ascii="宋体" w:hAnsi="宋体" w:eastAsia="宋体" w:cs="宋体"/>
                <w:color w:val="auto"/>
                <w:vertAlign w:val="superscript"/>
              </w:rPr>
              <w:t>3</w:t>
            </w:r>
            <w:r>
              <w:rPr>
                <w:rFonts w:hint="eastAsia" w:ascii="宋体" w:hAnsi="宋体" w:eastAsia="宋体" w:cs="宋体"/>
                <w:color w:val="auto"/>
              </w:rPr>
              <w:t>），槽液在槽内循环使用，定期清理槽渣，每半年更换1次，废</w:t>
            </w:r>
            <w:r>
              <w:rPr>
                <w:rFonts w:hint="eastAsia" w:ascii="宋体" w:hAnsi="宋体" w:eastAsia="宋体" w:cs="宋体"/>
                <w:color w:val="auto"/>
                <w:lang w:val="en-US" w:eastAsia="zh-CN"/>
              </w:rPr>
              <w:t>硅烷处理剂</w:t>
            </w:r>
            <w:r>
              <w:rPr>
                <w:rFonts w:hint="eastAsia" w:ascii="宋体" w:hAnsi="宋体" w:eastAsia="宋体" w:cs="宋体"/>
                <w:color w:val="auto"/>
              </w:rPr>
              <w:t>产生量为</w:t>
            </w:r>
            <w:r>
              <w:rPr>
                <w:rFonts w:hint="eastAsia" w:ascii="宋体" w:hAnsi="宋体" w:eastAsia="宋体" w:cs="宋体"/>
                <w:color w:val="auto"/>
                <w:lang w:val="en-US" w:eastAsia="zh-CN"/>
              </w:rPr>
              <w:t>3</w:t>
            </w:r>
            <w:r>
              <w:rPr>
                <w:rFonts w:hint="eastAsia" w:ascii="宋体" w:hAnsi="宋体" w:eastAsia="宋体" w:cs="宋体"/>
                <w:color w:val="auto"/>
              </w:rPr>
              <w:t>吨/年，作为危废处置。</w:t>
            </w:r>
            <w:r>
              <w:rPr>
                <w:rFonts w:hint="eastAsia" w:ascii="宋体" w:hAnsi="宋体" w:eastAsia="宋体" w:cs="宋体"/>
                <w:color w:val="auto"/>
                <w:lang w:val="en-US" w:eastAsia="zh-CN"/>
              </w:rPr>
              <w:t>硅烷液需与水以</w:t>
            </w:r>
            <w:r>
              <w:rPr>
                <w:rFonts w:hint="eastAsia" w:ascii="宋体" w:hAnsi="宋体" w:eastAsia="宋体" w:cs="宋体"/>
                <w:color w:val="auto"/>
              </w:rPr>
              <w:t>1:10的比例配制而成，</w:t>
            </w:r>
            <w:r>
              <w:rPr>
                <w:rFonts w:hint="eastAsia" w:ascii="宋体" w:hAnsi="宋体" w:eastAsia="宋体" w:cs="宋体"/>
                <w:color w:val="auto"/>
                <w:lang w:val="en-US" w:eastAsia="zh-CN"/>
              </w:rPr>
              <w:t>项目硅烷剂</w:t>
            </w:r>
            <w:r>
              <w:rPr>
                <w:rFonts w:hint="eastAsia" w:ascii="宋体" w:hAnsi="宋体" w:eastAsia="宋体" w:cs="宋体"/>
                <w:color w:val="auto"/>
              </w:rPr>
              <w:t>年用量</w:t>
            </w:r>
            <w:r>
              <w:rPr>
                <w:rFonts w:hint="eastAsia" w:ascii="宋体" w:hAnsi="宋体" w:eastAsia="宋体" w:cs="宋体"/>
                <w:color w:val="auto"/>
                <w:lang w:val="en-US" w:eastAsia="zh-CN"/>
              </w:rPr>
              <w:t>0.3</w:t>
            </w:r>
            <w:r>
              <w:rPr>
                <w:rFonts w:hint="eastAsia" w:ascii="宋体" w:hAnsi="宋体" w:eastAsia="宋体" w:cs="宋体"/>
                <w:color w:val="auto"/>
              </w:rPr>
              <w:t>吨，则需配比用水</w:t>
            </w:r>
            <w:r>
              <w:rPr>
                <w:rFonts w:hint="eastAsia" w:ascii="宋体" w:hAnsi="宋体" w:eastAsia="宋体" w:cs="宋体"/>
                <w:color w:val="auto"/>
                <w:lang w:val="en-US" w:eastAsia="zh-CN"/>
              </w:rPr>
              <w:t>3</w:t>
            </w:r>
            <w:r>
              <w:rPr>
                <w:rFonts w:hint="eastAsia" w:ascii="宋体" w:hAnsi="宋体" w:eastAsia="宋体" w:cs="宋体"/>
                <w:color w:val="auto"/>
              </w:rPr>
              <w:t>吨/年。</w:t>
            </w:r>
          </w:p>
          <w:p w14:paraId="33CF35D1">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color w:val="auto"/>
              </w:rPr>
            </w:pPr>
            <w:r>
              <w:rPr>
                <w:rFonts w:hint="eastAsia" w:ascii="宋体" w:hAnsi="宋体" w:eastAsia="宋体" w:cs="宋体"/>
                <w:color w:val="auto"/>
              </w:rPr>
              <w:t>c、水洗水</w:t>
            </w:r>
          </w:p>
          <w:p w14:paraId="367DE972">
            <w:pPr>
              <w:keepNext w:val="0"/>
              <w:keepLines w:val="0"/>
              <w:suppressLineNumbers w:val="0"/>
              <w:spacing w:before="0" w:beforeAutospacing="0" w:after="0" w:afterAutospacing="0"/>
              <w:ind w:left="0" w:right="0" w:firstLine="480" w:firstLineChars="200"/>
              <w:rPr>
                <w:rFonts w:hint="eastAsia" w:ascii="宋体" w:hAnsi="宋体" w:eastAsia="宋体" w:cs="宋体"/>
              </w:rPr>
            </w:pPr>
            <w:r>
              <w:rPr>
                <w:rFonts w:hint="eastAsia" w:ascii="宋体" w:hAnsi="宋体" w:eastAsia="宋体" w:cs="宋体"/>
                <w:color w:val="auto"/>
              </w:rPr>
              <w:t>本项目工件</w:t>
            </w:r>
            <w:r>
              <w:rPr>
                <w:rFonts w:hint="eastAsia" w:ascii="宋体" w:hAnsi="宋体" w:eastAsia="宋体" w:cs="宋体"/>
              </w:rPr>
              <w:t>经脱脂、</w:t>
            </w:r>
            <w:r>
              <w:rPr>
                <w:rFonts w:hint="eastAsia" w:ascii="宋体" w:hAnsi="宋体" w:eastAsia="宋体" w:cs="宋体"/>
                <w:lang w:val="en-US" w:eastAsia="zh-CN"/>
              </w:rPr>
              <w:t>硅烷</w:t>
            </w:r>
            <w:r>
              <w:rPr>
                <w:rFonts w:hint="eastAsia" w:ascii="宋体" w:hAnsi="宋体" w:eastAsia="宋体" w:cs="宋体"/>
              </w:rPr>
              <w:t>处理后，需使用自来水水洗，水洗方式均采用</w:t>
            </w:r>
            <w:r>
              <w:rPr>
                <w:rFonts w:hint="eastAsia" w:ascii="宋体" w:hAnsi="宋体" w:eastAsia="宋体" w:cs="宋体"/>
                <w:lang w:val="en-US" w:eastAsia="zh-CN"/>
              </w:rPr>
              <w:t>喷淋</w:t>
            </w:r>
            <w:r>
              <w:rPr>
                <w:rFonts w:hint="eastAsia" w:ascii="宋体" w:hAnsi="宋体" w:eastAsia="宋体" w:cs="宋体"/>
              </w:rPr>
              <w:t>方式，</w:t>
            </w:r>
            <w:r>
              <w:rPr>
                <w:rFonts w:hint="eastAsia" w:ascii="宋体" w:hAnsi="宋体" w:eastAsia="宋体" w:cs="宋体"/>
                <w:lang w:val="en-US" w:eastAsia="zh-CN"/>
              </w:rPr>
              <w:t>喷淋下来的水收集至水洗槽循环使用，大约每周排放1次，排放的废水经厂内污水处理站处理后回用于水洗工段，</w:t>
            </w:r>
            <w:r>
              <w:rPr>
                <w:rFonts w:hint="eastAsia" w:ascii="宋体" w:hAnsi="宋体" w:eastAsia="宋体" w:cs="宋体"/>
              </w:rPr>
              <w:t>项目共设</w:t>
            </w:r>
            <w:r>
              <w:rPr>
                <w:rFonts w:hint="eastAsia" w:ascii="宋体" w:hAnsi="宋体" w:eastAsia="宋体" w:cs="宋体"/>
                <w:lang w:val="en-US" w:eastAsia="zh-CN"/>
              </w:rPr>
              <w:t>3</w:t>
            </w:r>
            <w:r>
              <w:rPr>
                <w:rFonts w:hint="eastAsia" w:ascii="宋体" w:hAnsi="宋体" w:eastAsia="宋体" w:cs="宋体"/>
              </w:rPr>
              <w:t>个水洗槽（</w:t>
            </w:r>
            <w:r>
              <w:rPr>
                <w:rFonts w:hint="eastAsia" w:ascii="宋体" w:hAnsi="宋体" w:eastAsia="宋体" w:cs="宋体"/>
                <w:lang w:val="en-US" w:eastAsia="zh-CN"/>
              </w:rPr>
              <w:t>0.96</w:t>
            </w:r>
            <w:r>
              <w:rPr>
                <w:rFonts w:hint="eastAsia" w:ascii="宋体" w:hAnsi="宋体" w:eastAsia="宋体" w:cs="宋体"/>
              </w:rPr>
              <w:t>m</w:t>
            </w:r>
            <w:r>
              <w:rPr>
                <w:rFonts w:hint="eastAsia" w:ascii="宋体" w:hAnsi="宋体" w:eastAsia="宋体" w:cs="宋体"/>
                <w:vertAlign w:val="superscript"/>
              </w:rPr>
              <w:t>3</w:t>
            </w:r>
            <w:r>
              <w:rPr>
                <w:rFonts w:hint="eastAsia" w:ascii="宋体" w:hAnsi="宋体" w:eastAsia="宋体" w:cs="宋体"/>
              </w:rPr>
              <w:t>/个槽,</w:t>
            </w:r>
            <w:r>
              <w:rPr>
                <w:rFonts w:hint="eastAsia" w:ascii="宋体" w:hAnsi="宋体" w:eastAsia="宋体" w:cs="宋体"/>
                <w:lang w:val="en-US" w:eastAsia="zh-CN"/>
              </w:rPr>
              <w:t>0.6</w:t>
            </w:r>
            <w:r>
              <w:rPr>
                <w:rFonts w:hint="eastAsia" w:ascii="宋体" w:hAnsi="宋体" w:eastAsia="宋体" w:cs="宋体"/>
              </w:rPr>
              <w:t>m×</w:t>
            </w:r>
            <w:r>
              <w:rPr>
                <w:rFonts w:hint="eastAsia" w:ascii="宋体" w:hAnsi="宋体" w:eastAsia="宋体" w:cs="宋体"/>
                <w:lang w:val="en-US" w:eastAsia="zh-CN"/>
              </w:rPr>
              <w:t>2</w:t>
            </w:r>
            <w:r>
              <w:rPr>
                <w:rFonts w:hint="eastAsia" w:ascii="宋体" w:hAnsi="宋体" w:eastAsia="宋体" w:cs="宋体"/>
              </w:rPr>
              <w:t>m×</w:t>
            </w:r>
            <w:r>
              <w:rPr>
                <w:rFonts w:hint="eastAsia" w:ascii="宋体" w:hAnsi="宋体" w:eastAsia="宋体" w:cs="宋体"/>
                <w:lang w:val="en-US" w:eastAsia="zh-CN"/>
              </w:rPr>
              <w:t>0.8</w:t>
            </w:r>
            <w:r>
              <w:rPr>
                <w:rFonts w:hint="eastAsia" w:ascii="宋体" w:hAnsi="宋体" w:eastAsia="宋体" w:cs="宋体"/>
              </w:rPr>
              <w:t>m）</w:t>
            </w:r>
            <w:r>
              <w:rPr>
                <w:rFonts w:hint="eastAsia" w:ascii="宋体" w:hAnsi="宋体" w:eastAsia="宋体" w:cs="宋体"/>
                <w:lang w:eastAsia="zh-CN"/>
              </w:rPr>
              <w:t>，</w:t>
            </w:r>
            <w:r>
              <w:rPr>
                <w:rFonts w:hint="eastAsia" w:ascii="宋体" w:hAnsi="宋体" w:eastAsia="宋体" w:cs="宋体"/>
                <w:lang w:val="en-US" w:eastAsia="zh-CN"/>
              </w:rPr>
              <w:t>槽内水洗水以槽体体积80%计，则水洗水每周排放量为2.3t</w:t>
            </w:r>
            <w:r>
              <w:rPr>
                <w:rFonts w:hint="eastAsia" w:ascii="宋体" w:hAnsi="宋体" w:eastAsia="宋体" w:cs="宋体"/>
              </w:rPr>
              <w:t>。另外，</w:t>
            </w:r>
            <w:r>
              <w:rPr>
                <w:rFonts w:hint="eastAsia" w:ascii="宋体" w:hAnsi="宋体" w:eastAsia="宋体" w:cs="宋体"/>
                <w:lang w:val="en-US" w:eastAsia="zh-CN"/>
              </w:rPr>
              <w:t>水洗</w:t>
            </w:r>
            <w:r>
              <w:rPr>
                <w:rFonts w:hint="eastAsia" w:ascii="宋体" w:hAnsi="宋体" w:eastAsia="宋体" w:cs="宋体"/>
                <w:lang w:eastAsia="zh-CN"/>
              </w:rPr>
              <w:t>槽</w:t>
            </w:r>
            <w:r>
              <w:rPr>
                <w:rFonts w:hint="eastAsia" w:ascii="宋体" w:hAnsi="宋体" w:eastAsia="宋体" w:cs="宋体"/>
                <w:lang w:val="en-US" w:eastAsia="zh-CN"/>
              </w:rPr>
              <w:t>排放时</w:t>
            </w:r>
            <w:r>
              <w:rPr>
                <w:rFonts w:hint="eastAsia" w:ascii="宋体" w:hAnsi="宋体" w:eastAsia="宋体" w:cs="宋体"/>
              </w:rPr>
              <w:t>损耗</w:t>
            </w:r>
            <w:r>
              <w:rPr>
                <w:rFonts w:hint="eastAsia" w:ascii="宋体" w:hAnsi="宋体" w:eastAsia="宋体" w:cs="宋体"/>
                <w:lang w:eastAsia="zh-CN"/>
              </w:rPr>
              <w:t>约</w:t>
            </w:r>
            <w:r>
              <w:rPr>
                <w:rFonts w:hint="eastAsia" w:ascii="宋体" w:hAnsi="宋体" w:eastAsia="宋体" w:cs="宋体"/>
              </w:rPr>
              <w:t>10%</w:t>
            </w:r>
            <w:r>
              <w:rPr>
                <w:rFonts w:hint="eastAsia" w:ascii="宋体" w:hAnsi="宋体" w:eastAsia="宋体" w:cs="宋体"/>
                <w:lang w:eastAsia="zh-CN"/>
              </w:rPr>
              <w:t>，</w:t>
            </w:r>
            <w:r>
              <w:rPr>
                <w:rFonts w:hint="eastAsia" w:ascii="宋体" w:hAnsi="宋体" w:eastAsia="宋体" w:cs="宋体"/>
                <w:lang w:val="en-US" w:eastAsia="zh-CN"/>
              </w:rPr>
              <w:t>则需</w:t>
            </w:r>
            <w:r>
              <w:rPr>
                <w:rFonts w:hint="eastAsia" w:ascii="宋体" w:hAnsi="宋体" w:eastAsia="宋体" w:cs="宋体"/>
              </w:rPr>
              <w:t>补充水量为</w:t>
            </w:r>
            <w:r>
              <w:rPr>
                <w:rFonts w:hint="eastAsia" w:ascii="宋体" w:hAnsi="宋体" w:eastAsia="宋体" w:cs="宋体"/>
                <w:lang w:val="en-US" w:eastAsia="zh-CN"/>
              </w:rPr>
              <w:t>0.2</w:t>
            </w:r>
            <w:r>
              <w:rPr>
                <w:rFonts w:hint="eastAsia" w:ascii="宋体" w:hAnsi="宋体" w:eastAsia="宋体" w:cs="宋体"/>
              </w:rPr>
              <w:t>m</w:t>
            </w:r>
            <w:r>
              <w:rPr>
                <w:rFonts w:hint="eastAsia" w:ascii="宋体" w:hAnsi="宋体" w:eastAsia="宋体" w:cs="宋体"/>
                <w:vertAlign w:val="superscript"/>
              </w:rPr>
              <w:t>3</w:t>
            </w:r>
            <w:r>
              <w:rPr>
                <w:rFonts w:hint="eastAsia" w:ascii="宋体" w:hAnsi="宋体" w:eastAsia="宋体" w:cs="宋体"/>
                <w:vertAlign w:val="baseline"/>
                <w:lang w:val="en-US" w:eastAsia="zh-CN"/>
              </w:rPr>
              <w:t>/次（9.</w:t>
            </w:r>
            <w:r>
              <w:rPr>
                <w:rFonts w:hint="eastAsia" w:ascii="宋体" w:hAnsi="宋体" w:eastAsia="宋体" w:cs="宋体"/>
                <w:color w:val="auto"/>
                <w:vertAlign w:val="baseline"/>
                <w:lang w:val="en-US" w:eastAsia="zh-CN"/>
              </w:rPr>
              <w:t>6</w:t>
            </w:r>
            <w:r>
              <w:rPr>
                <w:rFonts w:hint="eastAsia" w:ascii="宋体" w:hAnsi="宋体" w:eastAsia="宋体" w:cs="宋体"/>
                <w:color w:val="auto"/>
              </w:rPr>
              <w:t>吨/年</w:t>
            </w:r>
            <w:r>
              <w:rPr>
                <w:rFonts w:hint="eastAsia" w:ascii="宋体" w:hAnsi="宋体" w:eastAsia="宋体" w:cs="宋体"/>
                <w:vertAlign w:val="baseline"/>
                <w:lang w:val="en-US" w:eastAsia="zh-CN"/>
              </w:rPr>
              <w:t>）</w:t>
            </w:r>
            <w:r>
              <w:rPr>
                <w:rFonts w:hint="eastAsia" w:ascii="宋体" w:hAnsi="宋体" w:eastAsia="宋体" w:cs="宋体"/>
              </w:rPr>
              <w:t>。</w:t>
            </w:r>
          </w:p>
          <w:p w14:paraId="6E57EA29">
            <w:pPr>
              <w:keepNext w:val="0"/>
              <w:keepLines w:val="0"/>
              <w:suppressLineNumbers w:val="0"/>
              <w:spacing w:before="0" w:beforeAutospacing="0" w:after="0" w:afterAutospacing="0"/>
              <w:ind w:left="0" w:right="0" w:firstLine="480" w:firstLineChars="200"/>
              <w:rPr>
                <w:rFonts w:hint="eastAsia" w:ascii="宋体" w:hAnsi="宋体" w:eastAsia="宋体" w:cs="宋体"/>
              </w:rPr>
            </w:pPr>
            <w:r>
              <w:rPr>
                <w:rFonts w:hint="eastAsia" w:ascii="宋体" w:hAnsi="宋体" w:eastAsia="宋体" w:cs="宋体"/>
                <w:lang w:eastAsia="zh-CN"/>
              </w:rPr>
              <w:t>为防止水洗水长期重复使用导致盐度过度积累影响生产和产品，需定期更换水洗废水，大约</w:t>
            </w:r>
            <w:r>
              <w:rPr>
                <w:rFonts w:hint="eastAsia" w:ascii="宋体" w:hAnsi="宋体" w:eastAsia="宋体" w:cs="宋体"/>
                <w:lang w:val="en-US" w:eastAsia="zh-CN"/>
              </w:rPr>
              <w:t>2个月</w:t>
            </w:r>
            <w:r>
              <w:rPr>
                <w:rFonts w:hint="eastAsia" w:ascii="宋体" w:hAnsi="宋体" w:eastAsia="宋体" w:cs="宋体"/>
                <w:lang w:eastAsia="zh-CN"/>
              </w:rPr>
              <w:t>更换一次，更换量</w:t>
            </w:r>
            <w:r>
              <w:rPr>
                <w:rFonts w:hint="eastAsia" w:ascii="宋体" w:hAnsi="宋体" w:eastAsia="宋体" w:cs="宋体"/>
                <w:color w:val="000000" w:themeColor="text1"/>
                <w:lang w:eastAsia="zh-CN"/>
                <w14:textFill>
                  <w14:solidFill>
                    <w14:schemeClr w14:val="tx1"/>
                  </w14:solidFill>
                </w14:textFill>
              </w:rPr>
              <w:t>为</w:t>
            </w:r>
            <w:r>
              <w:rPr>
                <w:rFonts w:hint="eastAsia" w:ascii="宋体" w:hAnsi="宋体" w:eastAsia="宋体" w:cs="宋体"/>
                <w:color w:val="000000" w:themeColor="text1"/>
                <w:lang w:val="en-US" w:eastAsia="zh-CN"/>
                <w14:textFill>
                  <w14:solidFill>
                    <w14:schemeClr w14:val="tx1"/>
                  </w14:solidFill>
                </w14:textFill>
              </w:rPr>
              <w:t>13.8t/a（水</w:t>
            </w:r>
            <w:r>
              <w:rPr>
                <w:rFonts w:hint="eastAsia" w:ascii="宋体" w:hAnsi="宋体" w:eastAsia="宋体" w:cs="宋体"/>
                <w:lang w:val="en-US" w:eastAsia="zh-CN"/>
              </w:rPr>
              <w:t>洗废水1次排放量2.3t×6次），</w:t>
            </w:r>
            <w:r>
              <w:rPr>
                <w:rFonts w:hint="eastAsia" w:ascii="宋体" w:hAnsi="宋体" w:eastAsia="宋体" w:cs="宋体"/>
              </w:rPr>
              <w:t>收集暂存</w:t>
            </w:r>
            <w:r>
              <w:rPr>
                <w:rFonts w:hint="eastAsia" w:ascii="宋体" w:hAnsi="宋体" w:eastAsia="宋体" w:cs="宋体"/>
                <w:lang w:val="en-US" w:eastAsia="zh-CN"/>
              </w:rPr>
              <w:t>作为危险废物</w:t>
            </w:r>
            <w:r>
              <w:rPr>
                <w:rFonts w:hint="eastAsia" w:ascii="宋体" w:hAnsi="宋体" w:eastAsia="宋体" w:cs="宋体"/>
              </w:rPr>
              <w:t>委托有资质单位处理。</w:t>
            </w:r>
          </w:p>
          <w:p w14:paraId="263DEE16">
            <w:pPr>
              <w:keepNext w:val="0"/>
              <w:keepLines w:val="0"/>
              <w:suppressLineNumbers w:val="0"/>
              <w:spacing w:before="0" w:beforeAutospacing="0" w:after="0" w:afterAutospacing="0"/>
              <w:ind w:left="0" w:right="0" w:firstLine="480" w:firstLineChars="200"/>
              <w:rPr>
                <w:rFonts w:hint="default" w:ascii="Times New Roman" w:hAnsi="Times New Roman" w:eastAsia="宋体" w:cs="Times New Roman"/>
              </w:rPr>
            </w:pPr>
            <w:r>
              <w:rPr>
                <w:rFonts w:hint="eastAsia" w:ascii="宋体" w:hAnsi="宋体" w:eastAsia="宋体" w:cs="宋体"/>
              </w:rPr>
              <w:t>③</w:t>
            </w:r>
            <w:r>
              <w:rPr>
                <w:rFonts w:hint="eastAsia" w:ascii="宋体" w:hAnsi="宋体" w:eastAsia="宋体" w:cs="宋体"/>
                <w:lang w:eastAsia="zh-CN"/>
              </w:rPr>
              <w:t>水</w:t>
            </w:r>
            <w:r>
              <w:rPr>
                <w:rFonts w:hint="eastAsia" w:ascii="宋体" w:hAnsi="宋体" w:eastAsia="宋体" w:cs="宋体"/>
              </w:rPr>
              <w:t>喷淋用水</w:t>
            </w:r>
          </w:p>
          <w:p w14:paraId="25B8EEB6">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rPr>
            </w:pPr>
            <w:r>
              <w:rPr>
                <w:rFonts w:hint="eastAsia" w:ascii="宋体" w:hAnsi="宋体" w:eastAsia="宋体" w:cs="宋体"/>
                <w:color w:val="auto"/>
              </w:rPr>
              <w:t>本项目设1个6m</w:t>
            </w:r>
            <w:r>
              <w:rPr>
                <w:rFonts w:hint="eastAsia" w:ascii="宋体" w:hAnsi="宋体" w:eastAsia="宋体" w:cs="宋体"/>
                <w:color w:val="auto"/>
                <w:vertAlign w:val="superscript"/>
              </w:rPr>
              <w:t>3</w:t>
            </w:r>
            <w:r>
              <w:rPr>
                <w:rFonts w:hint="eastAsia" w:ascii="宋体" w:hAnsi="宋体" w:eastAsia="宋体" w:cs="宋体"/>
                <w:color w:val="auto"/>
              </w:rPr>
              <w:t>的</w:t>
            </w:r>
            <w:r>
              <w:rPr>
                <w:rFonts w:hint="eastAsia" w:ascii="宋体" w:hAnsi="宋体" w:eastAsia="宋体" w:cs="宋体"/>
                <w:color w:val="auto"/>
                <w:lang w:val="en-US" w:eastAsia="zh-CN"/>
              </w:rPr>
              <w:t>水喷淋</w:t>
            </w:r>
            <w:r>
              <w:rPr>
                <w:rFonts w:hint="eastAsia" w:ascii="宋体" w:hAnsi="宋体" w:eastAsia="宋体" w:cs="宋体"/>
                <w:color w:val="auto"/>
              </w:rPr>
              <w:t>塔，</w:t>
            </w:r>
            <w:r>
              <w:rPr>
                <w:rFonts w:hint="eastAsia" w:ascii="宋体" w:hAnsi="宋体" w:eastAsia="宋体" w:cs="宋体"/>
                <w:color w:val="auto"/>
                <w:lang w:val="en-US" w:eastAsia="zh-CN"/>
              </w:rPr>
              <w:t>喷淋</w:t>
            </w:r>
            <w:r>
              <w:rPr>
                <w:rFonts w:hint="eastAsia" w:ascii="宋体" w:hAnsi="宋体" w:eastAsia="宋体" w:cs="宋体"/>
                <w:color w:val="auto"/>
              </w:rPr>
              <w:t>塔工作时间</w:t>
            </w:r>
            <w:r>
              <w:rPr>
                <w:rFonts w:hint="eastAsia" w:ascii="宋体" w:hAnsi="宋体" w:eastAsia="宋体" w:cs="宋体"/>
                <w:color w:val="auto"/>
                <w:lang w:val="en-US" w:eastAsia="zh-CN"/>
              </w:rPr>
              <w:t>8</w:t>
            </w:r>
            <w:r>
              <w:rPr>
                <w:rFonts w:hint="eastAsia" w:ascii="宋体" w:hAnsi="宋体" w:eastAsia="宋体" w:cs="宋体"/>
                <w:color w:val="auto"/>
              </w:rPr>
              <w:t>h/d，年工作</w:t>
            </w:r>
            <w:r>
              <w:rPr>
                <w:rFonts w:hint="eastAsia" w:ascii="宋体" w:hAnsi="宋体" w:eastAsia="宋体" w:cs="宋体"/>
                <w:color w:val="auto"/>
                <w:lang w:val="en-US" w:eastAsia="zh-CN"/>
              </w:rPr>
              <w:t>25</w:t>
            </w:r>
            <w:r>
              <w:rPr>
                <w:rFonts w:hint="eastAsia" w:ascii="宋体" w:hAnsi="宋体" w:eastAsia="宋体" w:cs="宋体"/>
                <w:color w:val="auto"/>
              </w:rPr>
              <w:t>0天，循环量为</w:t>
            </w:r>
            <w:r>
              <w:rPr>
                <w:rFonts w:hint="eastAsia" w:ascii="宋体" w:hAnsi="宋体" w:eastAsia="宋体" w:cs="宋体"/>
                <w:color w:val="auto"/>
                <w:lang w:val="en-US" w:eastAsia="zh-CN"/>
              </w:rPr>
              <w:t>12000</w:t>
            </w:r>
            <w:r>
              <w:rPr>
                <w:rFonts w:hint="eastAsia" w:ascii="宋体" w:hAnsi="宋体" w:eastAsia="宋体" w:cs="宋体"/>
                <w:color w:val="auto"/>
              </w:rPr>
              <w:t>t/a。</w:t>
            </w:r>
            <w:r>
              <w:rPr>
                <w:rFonts w:hint="eastAsia" w:ascii="宋体" w:hAnsi="宋体" w:eastAsia="宋体" w:cs="宋体"/>
                <w:color w:val="auto"/>
                <w:lang w:val="en-US" w:eastAsia="zh-CN"/>
              </w:rPr>
              <w:t>喷淋</w:t>
            </w:r>
            <w:r>
              <w:rPr>
                <w:rFonts w:hint="eastAsia" w:ascii="宋体" w:hAnsi="宋体" w:eastAsia="宋体" w:cs="宋体"/>
                <w:color w:val="auto"/>
              </w:rPr>
              <w:t>塔需适时补充损耗水量，补充水量为循环量的3%，补充水量约为</w:t>
            </w:r>
            <w:r>
              <w:rPr>
                <w:rFonts w:hint="eastAsia" w:ascii="宋体" w:hAnsi="宋体" w:eastAsia="宋体" w:cs="宋体"/>
                <w:color w:val="auto"/>
                <w:lang w:val="en-US" w:eastAsia="zh-CN"/>
              </w:rPr>
              <w:t>360</w:t>
            </w:r>
            <w:r>
              <w:rPr>
                <w:rFonts w:hint="eastAsia" w:ascii="宋体" w:hAnsi="宋体" w:eastAsia="宋体" w:cs="宋体"/>
                <w:color w:val="auto"/>
              </w:rPr>
              <w:t>t/a，该水在</w:t>
            </w:r>
            <w:r>
              <w:rPr>
                <w:rFonts w:hint="eastAsia" w:ascii="宋体" w:hAnsi="宋体" w:eastAsia="宋体" w:cs="宋体"/>
                <w:color w:val="auto"/>
                <w:lang w:val="en-US" w:eastAsia="zh-CN"/>
              </w:rPr>
              <w:t>喷淋</w:t>
            </w:r>
            <w:r>
              <w:rPr>
                <w:rFonts w:hint="eastAsia" w:ascii="宋体" w:hAnsi="宋体" w:eastAsia="宋体" w:cs="宋体"/>
                <w:color w:val="auto"/>
              </w:rPr>
              <w:t>塔内循环使用，</w:t>
            </w:r>
            <w:r>
              <w:rPr>
                <w:rFonts w:hint="eastAsia" w:ascii="宋体" w:hAnsi="宋体" w:eastAsia="宋体" w:cs="宋体"/>
                <w:color w:val="auto"/>
                <w:lang w:val="en-US" w:eastAsia="zh-CN"/>
              </w:rPr>
              <w:t>不外排</w:t>
            </w:r>
            <w:r>
              <w:rPr>
                <w:rFonts w:hint="eastAsia" w:ascii="宋体" w:hAnsi="宋体" w:eastAsia="宋体" w:cs="宋体"/>
                <w:color w:val="auto"/>
              </w:rPr>
              <w:t>。</w:t>
            </w:r>
          </w:p>
          <w:p w14:paraId="0833D4F9">
            <w:pPr>
              <w:keepNext w:val="0"/>
              <w:keepLines w:val="0"/>
              <w:widowControl/>
              <w:suppressLineNumbers w:val="0"/>
              <w:adjustRightInd w:val="0"/>
              <w:snapToGrid w:val="0"/>
              <w:spacing w:before="0" w:beforeAutospacing="0" w:after="0" w:afterAutospacing="0"/>
              <w:ind w:left="0" w:right="0" w:firstLine="480" w:firstLineChars="200"/>
              <w:outlineLvl w:val="0"/>
              <w:rPr>
                <w:rFonts w:hint="eastAsia" w:ascii="宋体" w:hAnsi="宋体" w:eastAsia="宋体" w:cs="宋体"/>
              </w:rPr>
            </w:pPr>
            <w:bookmarkStart w:id="27" w:name="_Toc11030"/>
            <w:r>
              <w:rPr>
                <w:rFonts w:hint="eastAsia" w:ascii="宋体" w:hAnsi="宋体" w:eastAsia="宋体" w:cs="宋体"/>
              </w:rPr>
              <w:t>⑵排水</w:t>
            </w:r>
            <w:bookmarkEnd w:id="27"/>
          </w:p>
          <w:p w14:paraId="04FB66F7">
            <w:pPr>
              <w:keepNext w:val="0"/>
              <w:keepLines w:val="0"/>
              <w:widowControl/>
              <w:suppressLineNumbers w:val="0"/>
              <w:adjustRightInd w:val="0"/>
              <w:snapToGrid w:val="0"/>
              <w:spacing w:before="0" w:beforeAutospacing="0" w:after="0" w:afterAutospacing="0"/>
              <w:ind w:left="0" w:right="0" w:firstLine="480" w:firstLineChars="200"/>
              <w:outlineLvl w:val="0"/>
              <w:rPr>
                <w:rFonts w:hint="eastAsia" w:ascii="宋体" w:hAnsi="宋体" w:eastAsia="宋体" w:cs="宋体"/>
                <w:lang w:eastAsia="zh-CN"/>
              </w:rPr>
            </w:pPr>
            <w:bookmarkStart w:id="28" w:name="_Toc25109"/>
            <w:r>
              <w:rPr>
                <w:rFonts w:hint="eastAsia" w:ascii="宋体" w:hAnsi="宋体" w:eastAsia="宋体" w:cs="宋体"/>
              </w:rPr>
              <w:t>①</w:t>
            </w:r>
            <w:r>
              <w:rPr>
                <w:rFonts w:hint="eastAsia" w:ascii="宋体" w:hAnsi="宋体" w:eastAsia="宋体" w:cs="宋体"/>
                <w:lang w:eastAsia="zh-CN"/>
              </w:rPr>
              <w:t>生活污水</w:t>
            </w:r>
          </w:p>
          <w:p w14:paraId="7D4895C9">
            <w:pPr>
              <w:keepNext w:val="0"/>
              <w:keepLines w:val="0"/>
              <w:widowControl/>
              <w:suppressLineNumbers w:val="0"/>
              <w:adjustRightInd w:val="0"/>
              <w:snapToGrid w:val="0"/>
              <w:spacing w:before="0" w:beforeAutospacing="0" w:after="0" w:afterAutospacing="0"/>
              <w:ind w:left="0" w:right="0" w:firstLine="480" w:firstLineChars="200"/>
              <w:outlineLvl w:val="0"/>
              <w:rPr>
                <w:rFonts w:hint="eastAsia" w:ascii="宋体" w:hAnsi="宋体" w:eastAsia="宋体" w:cs="宋体"/>
              </w:rPr>
            </w:pPr>
            <w:r>
              <w:rPr>
                <w:rFonts w:hint="eastAsia" w:ascii="宋体" w:hAnsi="宋体" w:eastAsia="宋体" w:cs="宋体"/>
              </w:rPr>
              <w:t>根据《生活源产排污核算方法和系数手册》表1-1中四区折污系数为0.85，</w:t>
            </w:r>
          </w:p>
          <w:p w14:paraId="7314AC90">
            <w:pPr>
              <w:keepNext w:val="0"/>
              <w:keepLines w:val="0"/>
              <w:widowControl/>
              <w:suppressLineNumbers w:val="0"/>
              <w:adjustRightInd w:val="0"/>
              <w:snapToGrid w:val="0"/>
              <w:spacing w:before="0" w:beforeAutospacing="0" w:after="0" w:afterAutospacing="0"/>
              <w:ind w:left="0" w:right="0"/>
              <w:jc w:val="left"/>
              <w:outlineLvl w:val="0"/>
              <w:rPr>
                <w:rFonts w:hint="eastAsia" w:ascii="宋体" w:hAnsi="宋体" w:eastAsia="宋体" w:cs="宋体"/>
              </w:rPr>
            </w:pPr>
            <w:r>
              <w:rPr>
                <w:rFonts w:hint="eastAsia" w:ascii="宋体" w:hAnsi="宋体" w:eastAsia="宋体" w:cs="宋体"/>
              </w:rPr>
              <w:t>本项目生活污水排放系数取生活用水量的0.85，则本项目产生的生活污水</w:t>
            </w:r>
            <w:r>
              <w:rPr>
                <w:rFonts w:hint="eastAsia" w:ascii="宋体" w:hAnsi="宋体" w:eastAsia="宋体" w:cs="宋体"/>
                <w:lang w:eastAsia="zh-CN"/>
              </w:rPr>
              <w:t>排放</w:t>
            </w:r>
            <w:r>
              <w:rPr>
                <w:rFonts w:hint="eastAsia" w:ascii="宋体" w:hAnsi="宋体" w:eastAsia="宋体" w:cs="宋体"/>
              </w:rPr>
              <w:t>量为</w:t>
            </w:r>
            <w:r>
              <w:rPr>
                <w:rFonts w:hint="eastAsia" w:ascii="宋体" w:hAnsi="宋体" w:eastAsia="宋体" w:cs="宋体"/>
                <w:lang w:val="en-US" w:eastAsia="zh-CN"/>
              </w:rPr>
              <w:t>1207</w:t>
            </w:r>
            <w:r>
              <w:rPr>
                <w:rFonts w:hint="eastAsia" w:ascii="宋体" w:hAnsi="宋体" w:eastAsia="宋体" w:cs="宋体"/>
              </w:rPr>
              <w:t>t/a。经化粪池预处理后</w:t>
            </w:r>
            <w:r>
              <w:rPr>
                <w:rFonts w:hint="eastAsia" w:ascii="宋体" w:hAnsi="宋体" w:eastAsia="宋体" w:cs="宋体"/>
                <w:lang w:val="en-US" w:eastAsia="zh-CN"/>
              </w:rPr>
              <w:t>经</w:t>
            </w:r>
            <w:r>
              <w:rPr>
                <w:rFonts w:hint="eastAsia" w:ascii="宋体" w:hAnsi="宋体" w:eastAsia="宋体" w:cs="宋体"/>
              </w:rPr>
              <w:t>市政污水管网接入</w:t>
            </w:r>
            <w:r>
              <w:rPr>
                <w:rFonts w:hint="eastAsia" w:ascii="宋体" w:hAnsi="宋体" w:eastAsia="宋体" w:cs="宋体"/>
                <w:lang w:eastAsia="zh-CN"/>
              </w:rPr>
              <w:t>句容市边城镇污水处理厂</w:t>
            </w:r>
            <w:r>
              <w:rPr>
                <w:rFonts w:hint="eastAsia" w:ascii="宋体" w:hAnsi="宋体" w:eastAsia="宋体" w:cs="宋体"/>
              </w:rPr>
              <w:t>处理。</w:t>
            </w:r>
            <w:bookmarkEnd w:id="28"/>
            <w:bookmarkStart w:id="29" w:name="_Toc28500"/>
          </w:p>
          <w:p w14:paraId="4648F91D">
            <w:pPr>
              <w:keepNext w:val="0"/>
              <w:keepLines w:val="0"/>
              <w:widowControl/>
              <w:suppressLineNumbers w:val="0"/>
              <w:adjustRightInd w:val="0"/>
              <w:snapToGrid w:val="0"/>
              <w:spacing w:before="0" w:beforeAutospacing="0" w:after="0" w:afterAutospacing="0"/>
              <w:ind w:left="0" w:right="0"/>
              <w:jc w:val="center"/>
              <w:outlineLvl w:val="0"/>
              <w:rPr>
                <w:rFonts w:hint="eastAsia" w:ascii="宋体" w:hAnsi="宋体" w:eastAsia="宋体" w:cs="宋体"/>
              </w:rPr>
            </w:pPr>
            <w:r>
              <w:rPr>
                <w:rFonts w:hint="eastAsia" w:ascii="宋体" w:hAnsi="宋体" w:eastAsia="宋体" w:cs="宋体"/>
              </w:rPr>
              <w:object>
                <v:shape id="_x0000_i1026" o:spt="75" type="#_x0000_t75" style="height:411.45pt;width:410.9pt;" o:ole="t" filled="f" o:preferrelative="t" stroked="f" coordsize="21600,21600">
                  <v:path/>
                  <v:fill on="f" focussize="0,0"/>
                  <v:stroke on="f"/>
                  <v:imagedata r:id="rId14" o:title=""/>
                  <o:lock v:ext="edit" aspectratio="f"/>
                  <w10:wrap type="none"/>
                  <w10:anchorlock/>
                </v:shape>
                <o:OLEObject Type="Embed" ProgID="Visio.Drawing.11" ShapeID="_x0000_i1026" DrawAspect="Content" ObjectID="_1468075726" r:id="rId13">
                  <o:LockedField>false</o:LockedField>
                </o:OLEObject>
              </w:object>
            </w:r>
          </w:p>
          <w:p w14:paraId="56D4793B">
            <w:pPr>
              <w:keepNext w:val="0"/>
              <w:keepLines w:val="0"/>
              <w:widowControl/>
              <w:suppressLineNumbers w:val="0"/>
              <w:adjustRightInd w:val="0"/>
              <w:snapToGrid w:val="0"/>
              <w:spacing w:before="0" w:beforeAutospacing="0" w:after="0" w:afterAutospacing="0"/>
              <w:ind w:left="0" w:right="0"/>
              <w:jc w:val="center"/>
              <w:outlineLvl w:val="0"/>
              <w:rPr>
                <w:rFonts w:hint="eastAsia" w:ascii="宋体" w:hAnsi="宋体" w:eastAsia="宋体" w:cs="宋体"/>
              </w:rPr>
            </w:pPr>
          </w:p>
          <w:bookmarkEnd w:id="29"/>
          <w:p w14:paraId="207D029F">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bCs/>
                <w:lang w:val="en-US" w:eastAsia="zh-CN"/>
              </w:rPr>
            </w:pPr>
            <w:r>
              <w:rPr>
                <w:rFonts w:hint="eastAsia" w:ascii="宋体" w:hAnsi="宋体" w:eastAsia="宋体" w:cs="宋体"/>
                <w:b/>
                <w:bCs w:val="0"/>
                <w:lang w:eastAsia="zh-CN"/>
              </w:rPr>
              <w:t>图</w:t>
            </w:r>
            <w:r>
              <w:rPr>
                <w:rFonts w:hint="eastAsia" w:ascii="宋体" w:hAnsi="宋体" w:eastAsia="宋体" w:cs="宋体"/>
                <w:b/>
                <w:bCs w:val="0"/>
                <w:lang w:val="en-US" w:eastAsia="zh-CN"/>
              </w:rPr>
              <w:t>2-1 本项目用水平衡图</w:t>
            </w:r>
          </w:p>
          <w:p w14:paraId="51010618">
            <w:pPr>
              <w:keepNext w:val="0"/>
              <w:keepLines w:val="0"/>
              <w:suppressLineNumbers w:val="0"/>
              <w:adjustRightInd w:val="0"/>
              <w:snapToGrid w:val="0"/>
              <w:spacing w:before="0" w:beforeAutospacing="0" w:after="0" w:afterAutospacing="0"/>
              <w:ind w:left="0" w:right="0"/>
              <w:rPr>
                <w:rFonts w:hint="eastAsia" w:ascii="宋体" w:hAnsi="宋体" w:eastAsia="宋体" w:cs="宋体"/>
                <w:bCs/>
              </w:rPr>
            </w:pPr>
          </w:p>
          <w:p w14:paraId="4C9DA6A6">
            <w:pPr>
              <w:keepNext w:val="0"/>
              <w:keepLines w:val="0"/>
              <w:suppressLineNumbers w:val="0"/>
              <w:adjustRightInd w:val="0"/>
              <w:snapToGrid w:val="0"/>
              <w:spacing w:before="0" w:beforeAutospacing="0" w:after="0" w:afterAutospacing="0"/>
              <w:ind w:left="0" w:right="0"/>
              <w:rPr>
                <w:rFonts w:hint="eastAsia" w:ascii="宋体" w:hAnsi="宋体" w:eastAsia="宋体" w:cs="宋体"/>
                <w:bCs/>
              </w:rPr>
            </w:pPr>
          </w:p>
          <w:p w14:paraId="5852EBF4">
            <w:pPr>
              <w:keepNext w:val="0"/>
              <w:keepLines w:val="0"/>
              <w:suppressLineNumbers w:val="0"/>
              <w:adjustRightInd w:val="0"/>
              <w:snapToGrid w:val="0"/>
              <w:spacing w:before="0" w:beforeAutospacing="0" w:after="0" w:afterAutospacing="0"/>
              <w:ind w:left="0" w:right="0"/>
              <w:rPr>
                <w:rFonts w:hint="eastAsia" w:ascii="宋体" w:hAnsi="宋体" w:eastAsia="宋体" w:cs="宋体"/>
              </w:rPr>
            </w:pPr>
            <w:r>
              <w:rPr>
                <w:rFonts w:hint="eastAsia" w:ascii="宋体" w:hAnsi="宋体" w:eastAsia="宋体" w:cs="宋体"/>
                <w:bCs/>
              </w:rPr>
              <w:t>6、</w:t>
            </w:r>
            <w:r>
              <w:rPr>
                <w:rFonts w:hint="eastAsia" w:ascii="宋体" w:hAnsi="宋体" w:eastAsia="宋体" w:cs="宋体"/>
              </w:rPr>
              <w:t>厂区平面布置</w:t>
            </w:r>
          </w:p>
          <w:p w14:paraId="5F3AA706">
            <w:pPr>
              <w:pStyle w:val="10"/>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rPr>
            </w:pPr>
            <w:r>
              <w:rPr>
                <w:rFonts w:hint="eastAsia" w:ascii="宋体" w:hAnsi="宋体" w:eastAsia="宋体" w:cs="宋体"/>
              </w:rPr>
              <w:t>本项目租赁</w:t>
            </w:r>
            <w:r>
              <w:rPr>
                <w:rFonts w:hint="eastAsia" w:ascii="宋体" w:hAnsi="宋体" w:eastAsia="宋体" w:cs="宋体"/>
                <w:lang w:val="en-US" w:eastAsia="zh-CN"/>
              </w:rPr>
              <w:t>原陈武窑厂场地，场地现存1栋办公楼，本项目新建1栋生产厂房，共2层，</w:t>
            </w:r>
            <w:r>
              <w:rPr>
                <w:rFonts w:hint="eastAsia" w:ascii="宋体" w:hAnsi="宋体" w:eastAsia="宋体" w:cs="宋体"/>
              </w:rPr>
              <w:t>一层</w:t>
            </w:r>
            <w:r>
              <w:rPr>
                <w:rFonts w:hint="eastAsia" w:ascii="宋体" w:hAnsi="宋体" w:eastAsia="宋体" w:cs="宋体"/>
                <w:lang w:eastAsia="zh-CN"/>
              </w:rPr>
              <w:t>布置</w:t>
            </w:r>
            <w:r>
              <w:rPr>
                <w:rFonts w:hint="eastAsia" w:ascii="宋体" w:hAnsi="宋体" w:eastAsia="宋体" w:cs="宋体"/>
                <w:lang w:val="en-US" w:eastAsia="zh-CN"/>
              </w:rPr>
              <w:t>喷塑房</w:t>
            </w:r>
            <w:r>
              <w:rPr>
                <w:rFonts w:hint="eastAsia" w:ascii="宋体" w:hAnsi="宋体" w:eastAsia="宋体" w:cs="宋体"/>
                <w:lang w:eastAsia="zh-CN"/>
              </w:rPr>
              <w:t>、</w:t>
            </w:r>
            <w:r>
              <w:rPr>
                <w:rFonts w:hint="eastAsia" w:ascii="宋体" w:hAnsi="宋体" w:eastAsia="宋体" w:cs="宋体"/>
                <w:lang w:val="en-US" w:eastAsia="zh-CN"/>
              </w:rPr>
              <w:t>原料仓库</w:t>
            </w:r>
            <w:r>
              <w:rPr>
                <w:rFonts w:hint="eastAsia" w:ascii="宋体" w:hAnsi="宋体" w:eastAsia="宋体" w:cs="宋体"/>
              </w:rPr>
              <w:t>、</w:t>
            </w:r>
            <w:r>
              <w:rPr>
                <w:rFonts w:hint="eastAsia" w:ascii="宋体" w:hAnsi="宋体" w:eastAsia="宋体" w:cs="宋体"/>
                <w:lang w:val="en-US" w:eastAsia="zh-CN"/>
              </w:rPr>
              <w:t>打磨和</w:t>
            </w:r>
            <w:r>
              <w:rPr>
                <w:rFonts w:hint="eastAsia" w:ascii="宋体" w:hAnsi="宋体" w:eastAsia="宋体" w:cs="宋体"/>
              </w:rPr>
              <w:t>喷砂</w:t>
            </w:r>
            <w:r>
              <w:rPr>
                <w:rFonts w:hint="eastAsia" w:ascii="宋体" w:hAnsi="宋体" w:eastAsia="宋体" w:cs="宋体"/>
                <w:lang w:eastAsia="zh-CN"/>
              </w:rPr>
              <w:t>区</w:t>
            </w:r>
            <w:r>
              <w:rPr>
                <w:rFonts w:hint="eastAsia" w:ascii="宋体" w:hAnsi="宋体" w:eastAsia="宋体" w:cs="宋体"/>
              </w:rPr>
              <w:t>。二层布置</w:t>
            </w:r>
            <w:r>
              <w:rPr>
                <w:rFonts w:hint="eastAsia" w:ascii="宋体" w:hAnsi="宋体" w:eastAsia="宋体" w:cs="宋体"/>
                <w:lang w:val="en-US" w:eastAsia="zh-CN"/>
              </w:rPr>
              <w:t>表面预处理线和烘道</w:t>
            </w:r>
            <w:r>
              <w:rPr>
                <w:rFonts w:hint="eastAsia" w:ascii="宋体" w:hAnsi="宋体" w:eastAsia="宋体" w:cs="宋体"/>
                <w:lang w:eastAsia="zh-CN"/>
              </w:rPr>
              <w:t>，</w:t>
            </w:r>
            <w:r>
              <w:rPr>
                <w:rFonts w:hint="eastAsia" w:ascii="宋体" w:hAnsi="宋体" w:eastAsia="宋体" w:cs="宋体"/>
              </w:rPr>
              <w:t>具体见附图3</w:t>
            </w:r>
            <w:r>
              <w:rPr>
                <w:rFonts w:hint="eastAsia" w:ascii="宋体" w:hAnsi="宋体" w:eastAsia="宋体" w:cs="宋体"/>
                <w:lang w:eastAsia="zh-CN"/>
              </w:rPr>
              <w:t>。</w:t>
            </w:r>
            <w:r>
              <w:rPr>
                <w:rFonts w:hint="eastAsia" w:ascii="宋体" w:hAnsi="宋体" w:eastAsia="宋体" w:cs="宋体"/>
              </w:rPr>
              <w:t>厂房的布置考虑了工艺流程的合理要求，使各生产工序具有良好的联系，并避免了生产流程的交叉，既满足生产又便于管理，尽量使设备排列合理、流畅、操作方便。厂房建设和防火间距按《建筑设计防火规范》（GB50016-2006）要求进行，满足规范防火、安全、卫生以及厂内运输、生产及经营管理要求。</w:t>
            </w:r>
          </w:p>
          <w:p w14:paraId="04F441BE">
            <w:pPr>
              <w:pStyle w:val="10"/>
              <w:keepNext w:val="0"/>
              <w:keepLines w:val="0"/>
              <w:suppressLineNumbers w:val="0"/>
              <w:adjustRightInd w:val="0"/>
              <w:snapToGrid w:val="0"/>
              <w:spacing w:before="0" w:beforeAutospacing="0" w:after="0" w:afterAutospacing="0"/>
              <w:ind w:left="0" w:right="0"/>
              <w:rPr>
                <w:rFonts w:hint="eastAsia" w:ascii="宋体" w:hAnsi="宋体" w:eastAsia="宋体" w:cs="宋体"/>
              </w:rPr>
            </w:pPr>
            <w:r>
              <w:rPr>
                <w:rFonts w:hint="eastAsia" w:ascii="宋体" w:hAnsi="宋体" w:eastAsia="宋体" w:cs="宋体"/>
              </w:rPr>
              <w:t>7、周边环境概况</w:t>
            </w:r>
          </w:p>
          <w:p w14:paraId="0571D194">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rPr>
            </w:pPr>
            <w:r>
              <w:rPr>
                <w:rFonts w:hint="eastAsia" w:ascii="宋体" w:hAnsi="宋体" w:eastAsia="宋体" w:cs="宋体"/>
                <w:bCs/>
              </w:rPr>
              <w:t>本项目位于</w:t>
            </w:r>
            <w:r>
              <w:rPr>
                <w:rFonts w:hint="eastAsia" w:ascii="宋体" w:hAnsi="宋体" w:eastAsia="宋体" w:cs="宋体"/>
                <w:lang w:val="en-US" w:eastAsia="zh-CN"/>
              </w:rPr>
              <w:t>句容市边城镇陈武街137号</w:t>
            </w:r>
            <w:r>
              <w:rPr>
                <w:rFonts w:hint="eastAsia" w:ascii="宋体" w:hAnsi="宋体" w:eastAsia="宋体" w:cs="宋体"/>
                <w:bCs/>
              </w:rPr>
              <w:t>，本项目厂区北侧</w:t>
            </w:r>
            <w:r>
              <w:rPr>
                <w:rFonts w:hint="eastAsia" w:ascii="宋体" w:hAnsi="宋体" w:eastAsia="宋体" w:cs="宋体"/>
                <w:bCs/>
                <w:lang w:eastAsia="zh-CN"/>
              </w:rPr>
              <w:t>、</w:t>
            </w:r>
            <w:r>
              <w:rPr>
                <w:rFonts w:hint="eastAsia" w:ascii="宋体" w:hAnsi="宋体" w:eastAsia="宋体" w:cs="宋体"/>
                <w:bCs/>
                <w:lang w:val="en-US" w:eastAsia="zh-CN"/>
              </w:rPr>
              <w:t>东侧</w:t>
            </w:r>
            <w:r>
              <w:rPr>
                <w:rFonts w:hint="eastAsia" w:ascii="宋体" w:hAnsi="宋体" w:eastAsia="宋体" w:cs="宋体"/>
                <w:bCs/>
              </w:rPr>
              <w:t>是</w:t>
            </w:r>
            <w:r>
              <w:rPr>
                <w:rFonts w:hint="eastAsia" w:ascii="宋体" w:hAnsi="宋体" w:eastAsia="宋体" w:cs="宋体"/>
                <w:bCs/>
                <w:lang w:val="en-US" w:eastAsia="zh-CN"/>
              </w:rPr>
              <w:t>空地</w:t>
            </w:r>
            <w:r>
              <w:rPr>
                <w:rFonts w:hint="eastAsia" w:ascii="宋体" w:hAnsi="宋体" w:eastAsia="宋体" w:cs="宋体"/>
                <w:bCs/>
              </w:rPr>
              <w:t>，</w:t>
            </w:r>
            <w:r>
              <w:rPr>
                <w:rFonts w:hint="eastAsia" w:ascii="宋体" w:hAnsi="宋体" w:eastAsia="宋体" w:cs="宋体"/>
                <w:bCs/>
                <w:lang w:val="en-US" w:eastAsia="zh-CN"/>
              </w:rPr>
              <w:t>厂区</w:t>
            </w:r>
            <w:r>
              <w:rPr>
                <w:rFonts w:hint="eastAsia" w:ascii="宋体" w:hAnsi="宋体" w:eastAsia="宋体" w:cs="宋体"/>
                <w:bCs/>
              </w:rPr>
              <w:t>南侧是</w:t>
            </w:r>
            <w:r>
              <w:rPr>
                <w:rFonts w:hint="eastAsia" w:ascii="宋体" w:hAnsi="宋体" w:eastAsia="宋体" w:cs="宋体"/>
                <w:bCs/>
                <w:lang w:val="en-US" w:eastAsia="zh-CN"/>
              </w:rPr>
              <w:t>陈士路，厂区西</w:t>
            </w:r>
            <w:r>
              <w:rPr>
                <w:rFonts w:hint="eastAsia" w:ascii="宋体" w:hAnsi="宋体" w:eastAsia="宋体" w:cs="宋体"/>
                <w:bCs/>
              </w:rPr>
              <w:t>侧是</w:t>
            </w:r>
            <w:r>
              <w:rPr>
                <w:rFonts w:hint="eastAsia" w:ascii="宋体" w:hAnsi="宋体" w:eastAsia="宋体" w:cs="宋体"/>
                <w:bCs/>
                <w:lang w:val="en-US" w:eastAsia="zh-CN"/>
              </w:rPr>
              <w:t>句容市福润电气有限公司</w:t>
            </w:r>
            <w:r>
              <w:rPr>
                <w:rFonts w:hint="eastAsia" w:ascii="宋体" w:hAnsi="宋体" w:eastAsia="宋体" w:cs="宋体"/>
                <w:bCs/>
              </w:rPr>
              <w:t>。</w:t>
            </w:r>
            <w:r>
              <w:rPr>
                <w:rFonts w:hint="eastAsia" w:ascii="宋体" w:hAnsi="宋体" w:eastAsia="宋体" w:cs="宋体"/>
                <w:bCs/>
                <w:lang w:val="en-US" w:eastAsia="zh-CN"/>
              </w:rPr>
              <w:t>距厂界南</w:t>
            </w:r>
            <w:r>
              <w:rPr>
                <w:rFonts w:hint="eastAsia" w:ascii="宋体" w:hAnsi="宋体" w:eastAsia="宋体" w:cs="宋体"/>
                <w:bCs/>
              </w:rPr>
              <w:t>侧</w:t>
            </w:r>
            <w:r>
              <w:rPr>
                <w:rFonts w:hint="eastAsia" w:ascii="宋体" w:hAnsi="宋体" w:eastAsia="宋体" w:cs="宋体"/>
                <w:bCs/>
                <w:lang w:val="en-US" w:eastAsia="zh-CN"/>
              </w:rPr>
              <w:t>30m处有约6户陈武村村民居住；距厂界东南侧48m处有约7户陈武村村民居住；距厂界西南侧85m处有约40户陈武村村民居住</w:t>
            </w:r>
            <w:r>
              <w:rPr>
                <w:rFonts w:hint="eastAsia" w:ascii="宋体" w:hAnsi="宋体" w:eastAsia="宋体" w:cs="宋体"/>
                <w:bCs/>
                <w:lang w:eastAsia="zh-CN"/>
              </w:rPr>
              <w:t>；</w:t>
            </w:r>
            <w:r>
              <w:rPr>
                <w:rFonts w:hint="eastAsia" w:ascii="宋体" w:hAnsi="宋体" w:eastAsia="宋体" w:cs="宋体"/>
                <w:bCs/>
                <w:lang w:val="en-US" w:eastAsia="zh-CN"/>
              </w:rPr>
              <w:t>企业周边环境敏感目标</w:t>
            </w:r>
            <w:r>
              <w:rPr>
                <w:rFonts w:hint="eastAsia" w:ascii="宋体" w:hAnsi="宋体" w:eastAsia="宋体" w:cs="宋体"/>
                <w:bCs/>
              </w:rPr>
              <w:t>具体见附图2。</w:t>
            </w:r>
          </w:p>
        </w:tc>
      </w:tr>
      <w:tr w14:paraId="02C2E74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416" w:hRule="atLeast"/>
          <w:jc w:val="center"/>
        </w:trPr>
        <w:tc>
          <w:tcPr>
            <w:tcW w:w="577" w:type="dxa"/>
            <w:noWrap w:val="0"/>
            <w:vAlign w:val="center"/>
          </w:tcPr>
          <w:p w14:paraId="3D5CAB25">
            <w:pPr>
              <w:pStyle w:val="10"/>
              <w:keepNext w:val="0"/>
              <w:keepLines w:val="0"/>
              <w:suppressLineNumbers w:val="0"/>
              <w:spacing w:before="0" w:beforeAutospacing="0" w:after="0" w:afterAutospacing="0"/>
              <w:ind w:left="0" w:right="0"/>
              <w:jc w:val="center"/>
              <w:rPr>
                <w:rFonts w:hint="eastAsia" w:ascii="宋体" w:hAnsi="宋体" w:eastAsia="宋体" w:cs="宋体"/>
              </w:rPr>
            </w:pPr>
            <w:r>
              <w:rPr>
                <w:rFonts w:hint="eastAsia" w:ascii="宋体" w:hAnsi="宋体" w:eastAsia="宋体" w:cs="宋体"/>
              </w:rPr>
              <w:t>工艺流程和产排污环节</w:t>
            </w:r>
          </w:p>
        </w:tc>
        <w:tc>
          <w:tcPr>
            <w:tcW w:w="8451" w:type="dxa"/>
            <w:noWrap w:val="0"/>
            <w:vAlign w:val="top"/>
          </w:tcPr>
          <w:p w14:paraId="58816611">
            <w:pPr>
              <w:pStyle w:val="10"/>
              <w:keepNext w:val="0"/>
              <w:keepLines w:val="0"/>
              <w:suppressLineNumbers w:val="0"/>
              <w:adjustRightInd w:val="0"/>
              <w:snapToGrid w:val="0"/>
              <w:spacing w:before="0" w:beforeAutospacing="0" w:after="0" w:afterAutospacing="0"/>
              <w:ind w:left="0" w:right="0"/>
              <w:rPr>
                <w:rFonts w:hint="eastAsia" w:ascii="宋体" w:hAnsi="宋体" w:eastAsia="宋体" w:cs="宋体"/>
                <w:kern w:val="44"/>
              </w:rPr>
            </w:pPr>
            <w:r>
              <w:rPr>
                <w:rFonts w:hint="eastAsia" w:ascii="宋体" w:hAnsi="宋体" w:eastAsia="宋体" w:cs="宋体"/>
                <w:b/>
                <w:bCs/>
              </w:rPr>
              <w:t>一、生产工艺流程</w:t>
            </w:r>
          </w:p>
          <w:p w14:paraId="2C57911F">
            <w:pPr>
              <w:pStyle w:val="10"/>
              <w:keepNext w:val="0"/>
              <w:keepLines w:val="0"/>
              <w:suppressLineNumbers w:val="0"/>
              <w:spacing w:before="0" w:beforeAutospacing="0" w:after="0" w:afterAutospacing="0"/>
              <w:ind w:left="0" w:right="0"/>
              <w:rPr>
                <w:rFonts w:hint="default" w:ascii="宋体" w:hAnsi="宋体" w:eastAsia="宋体" w:cs="宋体"/>
                <w:kern w:val="44"/>
              </w:rPr>
            </w:pPr>
            <w:r>
              <w:rPr>
                <w:rFonts w:hint="eastAsia" w:ascii="宋体" w:hAnsi="宋体" w:eastAsia="宋体" w:cs="宋体"/>
                <w:kern w:val="44"/>
              </w:rPr>
              <w:t>1、</w:t>
            </w:r>
            <w:r>
              <w:rPr>
                <w:rFonts w:hint="eastAsia" w:ascii="宋体" w:hAnsi="宋体" w:eastAsia="宋体" w:cs="宋体"/>
                <w:kern w:val="44"/>
                <w:lang w:val="en-US" w:eastAsia="zh-CN"/>
              </w:rPr>
              <w:t>手术灯灯罩组件生产</w:t>
            </w:r>
            <w:r>
              <w:rPr>
                <w:rFonts w:hint="eastAsia" w:ascii="宋体" w:hAnsi="宋体" w:eastAsia="宋体" w:cs="宋体"/>
                <w:kern w:val="44"/>
              </w:rPr>
              <w:t>工艺流程</w:t>
            </w:r>
          </w:p>
          <w:p w14:paraId="6C1BBBCB">
            <w:pPr>
              <w:pStyle w:val="10"/>
              <w:keepNext w:val="0"/>
              <w:keepLines w:val="0"/>
              <w:suppressLineNumbers w:val="0"/>
              <w:spacing w:before="0" w:beforeAutospacing="0" w:after="0" w:afterAutospacing="0"/>
              <w:ind w:left="0" w:right="0"/>
              <w:jc w:val="center"/>
              <w:rPr>
                <w:rFonts w:hint="eastAsia" w:ascii="宋体" w:hAnsi="宋体" w:eastAsia="宋体" w:cs="宋体"/>
                <w:kern w:val="44"/>
              </w:rPr>
            </w:pPr>
            <w:r>
              <w:rPr>
                <w:rFonts w:hint="eastAsia" w:ascii="宋体" w:hAnsi="宋体" w:eastAsia="宋体" w:cs="宋体"/>
                <w:kern w:val="44"/>
              </w:rPr>
              <w:object>
                <v:shape id="_x0000_i1027" o:spt="75" type="#_x0000_t75" style="height:600pt;width:325.5pt;" o:ole="t" filled="f" o:preferrelative="t" stroked="f" coordsize="21600,21600">
                  <v:path/>
                  <v:fill on="f" focussize="0,0"/>
                  <v:stroke on="f"/>
                  <v:imagedata r:id="rId16" o:title=""/>
                  <o:lock v:ext="edit" aspectratio="f"/>
                  <w10:wrap type="none"/>
                  <w10:anchorlock/>
                </v:shape>
                <o:OLEObject Type="Embed" ProgID="Visio.Drawing.11" ShapeID="_x0000_i1027" DrawAspect="Content" ObjectID="_1468075727" r:id="rId15">
                  <o:LockedField>false</o:LockedField>
                </o:OLEObject>
              </w:object>
            </w:r>
          </w:p>
          <w:p w14:paraId="586B5F05">
            <w:pPr>
              <w:pStyle w:val="10"/>
              <w:keepNext w:val="0"/>
              <w:keepLines w:val="0"/>
              <w:suppressLineNumbers w:val="0"/>
              <w:spacing w:before="0" w:beforeAutospacing="0" w:after="0" w:afterAutospacing="0"/>
              <w:ind w:left="0" w:right="0"/>
              <w:jc w:val="center"/>
              <w:rPr>
                <w:rFonts w:hint="eastAsia" w:ascii="宋体" w:hAnsi="宋体" w:eastAsia="宋体" w:cs="宋体"/>
                <w:kern w:val="44"/>
              </w:rPr>
            </w:pPr>
            <w:r>
              <w:rPr>
                <w:rFonts w:hint="eastAsia" w:ascii="宋体" w:hAnsi="宋体" w:eastAsia="宋体" w:cs="宋体"/>
                <w:b/>
                <w:bCs/>
                <w:kern w:val="44"/>
              </w:rPr>
              <w:t>图2-</w:t>
            </w:r>
            <w:r>
              <w:rPr>
                <w:rFonts w:hint="eastAsia" w:ascii="宋体" w:hAnsi="宋体" w:eastAsia="宋体" w:cs="宋体"/>
                <w:b/>
                <w:bCs/>
                <w:kern w:val="44"/>
                <w:lang w:val="en-US" w:eastAsia="zh-CN"/>
              </w:rPr>
              <w:t>2</w:t>
            </w:r>
            <w:r>
              <w:rPr>
                <w:rFonts w:hint="eastAsia" w:ascii="宋体" w:hAnsi="宋体" w:eastAsia="宋体" w:cs="宋体"/>
                <w:b/>
                <w:bCs/>
                <w:kern w:val="44"/>
              </w:rPr>
              <w:t xml:space="preserve"> </w:t>
            </w:r>
            <w:r>
              <w:rPr>
                <w:rFonts w:hint="eastAsia" w:ascii="宋体" w:hAnsi="宋体" w:eastAsia="宋体" w:cs="宋体"/>
                <w:b/>
                <w:bCs/>
                <w:kern w:val="44"/>
                <w:lang w:val="en-US" w:eastAsia="zh-CN"/>
              </w:rPr>
              <w:t>手术灯灯罩组件</w:t>
            </w:r>
            <w:r>
              <w:rPr>
                <w:rFonts w:hint="eastAsia" w:ascii="宋体" w:hAnsi="宋体" w:eastAsia="宋体" w:cs="宋体"/>
                <w:b/>
                <w:bCs/>
                <w:kern w:val="44"/>
              </w:rPr>
              <w:t>工艺流程及产污环节图</w:t>
            </w:r>
          </w:p>
          <w:p w14:paraId="205594E7">
            <w:pPr>
              <w:pStyle w:val="16"/>
              <w:keepNext w:val="0"/>
              <w:keepLines w:val="0"/>
              <w:numPr>
                <w:ilvl w:val="0"/>
                <w:numId w:val="0"/>
              </w:numPr>
              <w:suppressLineNumbers w:val="0"/>
              <w:spacing w:before="0" w:beforeAutospacing="0" w:after="0" w:afterAutospacing="0"/>
              <w:ind w:left="0" w:right="0"/>
              <w:rPr>
                <w:rFonts w:hint="eastAsia" w:ascii="宋体" w:hAnsi="宋体" w:eastAsia="宋体" w:cs="宋体"/>
                <w:kern w:val="44"/>
                <w:lang w:eastAsia="zh-CN"/>
              </w:rPr>
            </w:pPr>
            <w:r>
              <w:rPr>
                <w:rFonts w:hint="eastAsia" w:ascii="宋体" w:hAnsi="宋体" w:eastAsia="宋体" w:cs="宋体"/>
                <w:kern w:val="44"/>
                <w:lang w:eastAsia="zh-CN"/>
              </w:rPr>
              <w:t>工艺说明：</w:t>
            </w:r>
          </w:p>
          <w:p w14:paraId="7C10B43A">
            <w:pPr>
              <w:pStyle w:val="16"/>
              <w:keepNext w:val="0"/>
              <w:keepLines w:val="0"/>
              <w:numPr>
                <w:ilvl w:val="0"/>
                <w:numId w:val="0"/>
              </w:numPr>
              <w:suppressLineNumbers w:val="0"/>
              <w:spacing w:before="0" w:beforeAutospacing="0" w:after="0" w:afterAutospacing="0"/>
              <w:ind w:left="0" w:right="0" w:firstLine="480" w:firstLineChars="200"/>
              <w:rPr>
                <w:rFonts w:hint="default" w:ascii="宋体" w:hAnsi="宋体" w:eastAsia="宋体" w:cs="宋体"/>
                <w:kern w:val="44"/>
                <w:lang w:val="en-US" w:eastAsia="zh-CN"/>
              </w:rPr>
            </w:pPr>
            <w:r>
              <w:rPr>
                <w:rFonts w:hint="eastAsia" w:ascii="宋体" w:hAnsi="宋体" w:eastAsia="宋体" w:cs="宋体"/>
                <w:kern w:val="44"/>
                <w:lang w:eastAsia="zh-CN"/>
              </w:rPr>
              <w:t>⑴</w:t>
            </w:r>
            <w:r>
              <w:rPr>
                <w:rFonts w:hint="eastAsia" w:ascii="宋体" w:hAnsi="宋体" w:eastAsia="宋体" w:cs="宋体"/>
                <w:kern w:val="44"/>
                <w:lang w:val="en-US" w:eastAsia="zh-CN"/>
              </w:rPr>
              <w:t>脱脂：</w:t>
            </w:r>
            <w:r>
              <w:rPr>
                <w:rFonts w:hint="eastAsia" w:ascii="宋体" w:hAnsi="宋体" w:eastAsia="宋体" w:cs="宋体"/>
                <w:sz w:val="24"/>
                <w:szCs w:val="24"/>
                <w:lang w:eastAsia="zh-CN"/>
              </w:rPr>
              <w:t>本项目</w:t>
            </w:r>
            <w:r>
              <w:rPr>
                <w:rFonts w:hint="eastAsia" w:ascii="宋体" w:hAnsi="宋体" w:eastAsia="宋体" w:cs="宋体"/>
                <w:sz w:val="24"/>
                <w:szCs w:val="24"/>
                <w:lang w:val="en-US" w:eastAsia="zh-CN"/>
              </w:rPr>
              <w:t>进厂</w:t>
            </w:r>
            <w:r>
              <w:rPr>
                <w:rFonts w:hint="eastAsia" w:ascii="宋体" w:hAnsi="宋体" w:eastAsia="宋体" w:cs="宋体"/>
                <w:sz w:val="24"/>
                <w:szCs w:val="24"/>
                <w:lang w:eastAsia="zh-CN"/>
              </w:rPr>
              <w:t>后的工件表面会沾染油污，这样不仅阻碍了后道喷粉工序还影响涂层的结合力和耐腐蚀性，因此工件首先要进行脱脂</w:t>
            </w:r>
            <w:r>
              <w:rPr>
                <w:rFonts w:hint="eastAsia" w:ascii="宋体" w:hAnsi="宋体" w:eastAsia="宋体" w:cs="宋体"/>
                <w:sz w:val="24"/>
                <w:szCs w:val="24"/>
                <w:lang w:val="en-US" w:eastAsia="zh-CN"/>
              </w:rPr>
              <w:t>除油</w:t>
            </w:r>
            <w:r>
              <w:rPr>
                <w:rFonts w:hint="eastAsia" w:ascii="宋体" w:hAnsi="宋体" w:eastAsia="宋体" w:cs="宋体"/>
                <w:sz w:val="24"/>
                <w:szCs w:val="24"/>
                <w:lang w:eastAsia="zh-CN"/>
              </w:rPr>
              <w:t>，去除表面各种油脂及污染物。</w:t>
            </w:r>
            <w:r>
              <w:rPr>
                <w:rFonts w:hint="eastAsia" w:ascii="宋体" w:hAnsi="宋体" w:eastAsia="宋体" w:cs="宋体"/>
                <w:sz w:val="24"/>
                <w:szCs w:val="24"/>
                <w:lang w:val="en-US" w:eastAsia="zh-CN"/>
              </w:rPr>
              <w:t>脱脂</w:t>
            </w:r>
            <w:r>
              <w:rPr>
                <w:rFonts w:hint="eastAsia" w:ascii="宋体" w:hAnsi="宋体" w:eastAsia="宋体" w:cs="宋体"/>
                <w:sz w:val="24"/>
                <w:szCs w:val="24"/>
                <w:lang w:eastAsia="zh-CN"/>
              </w:rPr>
              <w:t>槽液由脱脂剂与水配置而成，采用</w:t>
            </w:r>
            <w:r>
              <w:rPr>
                <w:rFonts w:hint="eastAsia" w:ascii="宋体" w:hAnsi="宋体" w:eastAsia="宋体" w:cs="宋体"/>
                <w:sz w:val="24"/>
                <w:szCs w:val="24"/>
                <w:lang w:val="en-US" w:eastAsia="zh-CN"/>
              </w:rPr>
              <w:t>喷淋</w:t>
            </w:r>
            <w:r>
              <w:rPr>
                <w:rFonts w:hint="eastAsia" w:ascii="宋体" w:hAnsi="宋体" w:eastAsia="宋体" w:cs="宋体"/>
                <w:sz w:val="24"/>
                <w:szCs w:val="24"/>
                <w:lang w:eastAsia="zh-CN"/>
              </w:rPr>
              <w:t>方式，在常温下进行。</w:t>
            </w:r>
            <w:r>
              <w:rPr>
                <w:rFonts w:hint="eastAsia" w:ascii="宋体" w:hAnsi="宋体" w:eastAsia="宋体" w:cs="宋体"/>
                <w:sz w:val="24"/>
                <w:szCs w:val="24"/>
                <w:lang w:val="en-US" w:eastAsia="zh-CN"/>
              </w:rPr>
              <w:t>脱脂</w:t>
            </w:r>
            <w:r>
              <w:rPr>
                <w:rFonts w:hint="eastAsia" w:ascii="宋体" w:hAnsi="宋体" w:eastAsia="宋体" w:cs="宋体"/>
                <w:sz w:val="24"/>
                <w:szCs w:val="24"/>
                <w:lang w:eastAsia="zh-CN"/>
              </w:rPr>
              <w:t>槽内的槽液</w:t>
            </w:r>
            <w:r>
              <w:rPr>
                <w:rFonts w:hint="eastAsia" w:ascii="宋体" w:hAnsi="宋体" w:eastAsia="宋体" w:cs="宋体"/>
                <w:sz w:val="24"/>
                <w:szCs w:val="24"/>
                <w:lang w:val="en-US" w:eastAsia="zh-CN"/>
              </w:rPr>
              <w:t>半年</w:t>
            </w:r>
            <w:r>
              <w:rPr>
                <w:rFonts w:hint="eastAsia" w:ascii="宋体" w:hAnsi="宋体" w:eastAsia="宋体" w:cs="宋体"/>
                <w:sz w:val="24"/>
                <w:szCs w:val="24"/>
                <w:lang w:eastAsia="zh-CN"/>
              </w:rPr>
              <w:t>更换</w:t>
            </w:r>
            <w:r>
              <w:rPr>
                <w:rFonts w:hint="eastAsia" w:ascii="宋体" w:hAnsi="宋体" w:eastAsia="宋体" w:cs="宋体"/>
                <w:sz w:val="24"/>
                <w:szCs w:val="24"/>
                <w:lang w:val="en-US" w:eastAsia="zh-CN"/>
              </w:rPr>
              <w:t>1次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产生的S1-1废脱脂剂</w:t>
            </w:r>
            <w:r>
              <w:rPr>
                <w:rFonts w:hint="eastAsia" w:ascii="宋体" w:hAnsi="宋体" w:eastAsia="宋体" w:cs="宋体"/>
                <w:sz w:val="24"/>
                <w:szCs w:val="24"/>
                <w:lang w:eastAsia="zh-CN"/>
              </w:rPr>
              <w:t>作为危废处置</w:t>
            </w:r>
            <w:r>
              <w:rPr>
                <w:rFonts w:hint="eastAsia" w:ascii="宋体" w:hAnsi="宋体" w:eastAsia="宋体" w:cs="宋体"/>
                <w:sz w:val="24"/>
                <w:szCs w:val="24"/>
                <w:lang w:val="en-US" w:eastAsia="zh-CN"/>
              </w:rPr>
              <w:t>。</w:t>
            </w:r>
          </w:p>
          <w:p w14:paraId="6D5B6A7C">
            <w:pPr>
              <w:pStyle w:val="16"/>
              <w:keepNext w:val="0"/>
              <w:keepLines w:val="0"/>
              <w:numPr>
                <w:ilvl w:val="0"/>
                <w:numId w:val="0"/>
              </w:numPr>
              <w:suppressLineNumbers w:val="0"/>
              <w:spacing w:before="0" w:beforeAutospacing="0" w:after="0" w:afterAutospacing="0"/>
              <w:ind w:left="0" w:right="0" w:firstLine="480" w:firstLineChars="200"/>
              <w:rPr>
                <w:rFonts w:hint="eastAsia" w:ascii="宋体" w:hAnsi="宋体" w:eastAsia="宋体" w:cs="宋体"/>
                <w:sz w:val="24"/>
                <w:szCs w:val="24"/>
                <w:lang w:val="en-US" w:eastAsia="zh-CN"/>
              </w:rPr>
            </w:pPr>
            <w:r>
              <w:rPr>
                <w:rFonts w:hint="eastAsia" w:ascii="宋体" w:hAnsi="宋体" w:eastAsia="宋体" w:cs="宋体"/>
                <w:kern w:val="44"/>
                <w:lang w:eastAsia="zh-CN"/>
              </w:rPr>
              <w:t>⑵</w:t>
            </w:r>
            <w:r>
              <w:rPr>
                <w:rFonts w:hint="eastAsia" w:ascii="宋体" w:hAnsi="宋体" w:eastAsia="宋体" w:cs="宋体"/>
                <w:kern w:val="44"/>
                <w:lang w:val="en-US" w:eastAsia="zh-CN"/>
              </w:rPr>
              <w:t>水洗：</w:t>
            </w:r>
            <w:r>
              <w:rPr>
                <w:rFonts w:hint="eastAsia" w:ascii="宋体" w:hAnsi="宋体" w:eastAsia="宋体" w:cs="宋体"/>
                <w:sz w:val="24"/>
                <w:szCs w:val="24"/>
                <w:lang w:eastAsia="zh-CN"/>
              </w:rPr>
              <w:t>工件经</w:t>
            </w:r>
            <w:r>
              <w:rPr>
                <w:rFonts w:hint="eastAsia" w:ascii="宋体" w:hAnsi="宋体" w:eastAsia="宋体" w:cs="宋体"/>
                <w:sz w:val="24"/>
                <w:szCs w:val="24"/>
                <w:lang w:val="en-US" w:eastAsia="zh-CN"/>
              </w:rPr>
              <w:t>脱脂</w:t>
            </w:r>
            <w:r>
              <w:rPr>
                <w:rFonts w:hint="eastAsia" w:ascii="宋体" w:hAnsi="宋体" w:eastAsia="宋体" w:cs="宋体"/>
                <w:sz w:val="24"/>
                <w:szCs w:val="24"/>
                <w:lang w:eastAsia="zh-CN"/>
              </w:rPr>
              <w:t>后进入</w:t>
            </w:r>
            <w:r>
              <w:rPr>
                <w:rFonts w:hint="eastAsia" w:ascii="宋体" w:hAnsi="宋体" w:eastAsia="宋体" w:cs="宋体"/>
                <w:sz w:val="24"/>
                <w:szCs w:val="24"/>
                <w:lang w:val="en-US" w:eastAsia="zh-CN"/>
              </w:rPr>
              <w:t>2道水洗</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采用喷淋方式，</w:t>
            </w:r>
            <w:r>
              <w:rPr>
                <w:rFonts w:hint="eastAsia" w:ascii="宋体" w:hAnsi="宋体" w:eastAsia="宋体" w:cs="宋体"/>
                <w:sz w:val="24"/>
                <w:szCs w:val="24"/>
                <w:lang w:eastAsia="zh-CN"/>
              </w:rPr>
              <w:t>使用自来水在常温下进行，去除工件表面残留的废</w:t>
            </w:r>
            <w:r>
              <w:rPr>
                <w:rFonts w:hint="eastAsia" w:ascii="宋体" w:hAnsi="宋体" w:eastAsia="宋体" w:cs="宋体"/>
                <w:color w:val="auto"/>
                <w:sz w:val="24"/>
                <w:szCs w:val="24"/>
                <w:lang w:eastAsia="zh-CN"/>
              </w:rPr>
              <w:t>液。该水洗水</w:t>
            </w:r>
            <w:r>
              <w:rPr>
                <w:rFonts w:hint="eastAsia" w:ascii="宋体" w:hAnsi="宋体" w:eastAsia="宋体" w:cs="宋体"/>
                <w:color w:val="auto"/>
                <w:sz w:val="24"/>
                <w:szCs w:val="24"/>
                <w:lang w:val="en-US" w:eastAsia="zh-CN"/>
              </w:rPr>
              <w:t>每周排至</w:t>
            </w:r>
            <w:r>
              <w:rPr>
                <w:rFonts w:hint="eastAsia" w:ascii="宋体" w:hAnsi="宋体" w:eastAsia="宋体" w:cs="宋体"/>
                <w:sz w:val="24"/>
                <w:szCs w:val="24"/>
                <w:lang w:val="en-US" w:eastAsia="zh-CN"/>
              </w:rPr>
              <w:t>厂内污水处理站处理后回用于水洗工段。</w:t>
            </w:r>
          </w:p>
          <w:p w14:paraId="14485494">
            <w:pPr>
              <w:pStyle w:val="16"/>
              <w:keepNext w:val="0"/>
              <w:keepLines w:val="0"/>
              <w:numPr>
                <w:ilvl w:val="0"/>
                <w:numId w:val="0"/>
              </w:numPr>
              <w:suppressLineNumbers w:val="0"/>
              <w:spacing w:before="0" w:beforeAutospacing="0" w:after="0" w:afterAutospacing="0"/>
              <w:ind w:left="0" w:right="0" w:firstLine="480" w:firstLineChars="200"/>
              <w:rPr>
                <w:rFonts w:hint="default" w:ascii="宋体" w:hAnsi="宋体" w:eastAsia="宋体" w:cs="宋体"/>
                <w:kern w:val="44"/>
                <w:lang w:val="en-US" w:eastAsia="zh-CN"/>
              </w:rPr>
            </w:pPr>
            <w:r>
              <w:rPr>
                <w:rFonts w:hint="eastAsia" w:ascii="宋体" w:hAnsi="宋体" w:eastAsia="宋体" w:cs="宋体"/>
                <w:sz w:val="24"/>
                <w:szCs w:val="24"/>
                <w:lang w:val="en-US" w:eastAsia="zh-CN"/>
              </w:rPr>
              <w:t>为防止水洗水长期重复使用导致盐度过度积累影响生产和产品，需定期更换水洗废水，大约2个月更换一次，产生S1-2水洗废液，收集暂存委托有资质单位处理。</w:t>
            </w:r>
          </w:p>
          <w:p w14:paraId="78E4CE69">
            <w:pPr>
              <w:pStyle w:val="16"/>
              <w:keepNext w:val="0"/>
              <w:keepLines w:val="0"/>
              <w:numPr>
                <w:ilvl w:val="0"/>
                <w:numId w:val="0"/>
              </w:numPr>
              <w:suppressLineNumbers w:val="0"/>
              <w:spacing w:before="0" w:beforeAutospacing="0" w:after="0" w:afterAutospacing="0"/>
              <w:ind w:left="0" w:right="0" w:firstLine="480" w:firstLineChars="200"/>
              <w:rPr>
                <w:rFonts w:hint="eastAsia" w:ascii="宋体" w:hAnsi="宋体" w:eastAsia="宋体" w:cs="宋体"/>
                <w:sz w:val="24"/>
                <w:szCs w:val="24"/>
                <w:lang w:val="en-US" w:eastAsia="zh-CN"/>
              </w:rPr>
            </w:pPr>
            <w:r>
              <w:rPr>
                <w:rFonts w:hint="eastAsia" w:ascii="宋体" w:hAnsi="宋体" w:eastAsia="宋体" w:cs="宋体"/>
                <w:kern w:val="44"/>
                <w:lang w:eastAsia="zh-CN"/>
              </w:rPr>
              <w:t>⑶</w:t>
            </w:r>
            <w:r>
              <w:rPr>
                <w:rFonts w:hint="eastAsia" w:ascii="宋体" w:hAnsi="宋体" w:eastAsia="宋体" w:cs="宋体"/>
                <w:kern w:val="44"/>
                <w:lang w:val="en-US" w:eastAsia="zh-CN"/>
              </w:rPr>
              <w:t>硅烷</w:t>
            </w:r>
            <w:r>
              <w:rPr>
                <w:rFonts w:hint="eastAsia" w:ascii="宋体" w:hAnsi="宋体" w:eastAsia="宋体" w:cs="宋体"/>
                <w:kern w:val="44"/>
                <w:lang w:eastAsia="zh-CN"/>
              </w:rPr>
              <w:t>：为了获得良好的表面处理效果，脱脂后还需经</w:t>
            </w:r>
            <w:r>
              <w:rPr>
                <w:rFonts w:hint="eastAsia" w:ascii="宋体" w:hAnsi="宋体" w:eastAsia="宋体" w:cs="宋体"/>
                <w:kern w:val="44"/>
                <w:lang w:val="en-US" w:eastAsia="zh-CN"/>
              </w:rPr>
              <w:t>硅烷</w:t>
            </w:r>
            <w:r>
              <w:rPr>
                <w:rFonts w:hint="eastAsia" w:ascii="宋体" w:hAnsi="宋体" w:eastAsia="宋体" w:cs="宋体"/>
                <w:kern w:val="44"/>
                <w:lang w:eastAsia="zh-CN"/>
              </w:rPr>
              <w:t>预处理，使其表面获得保护膜层，</w:t>
            </w:r>
            <w:r>
              <w:rPr>
                <w:rFonts w:hint="eastAsia" w:ascii="宋体" w:hAnsi="宋体" w:eastAsia="宋体" w:cs="宋体"/>
                <w:sz w:val="24"/>
                <w:szCs w:val="24"/>
                <w:lang w:val="en-US" w:eastAsia="zh-CN"/>
              </w:rPr>
              <w:t>硅烷</w:t>
            </w:r>
            <w:r>
              <w:rPr>
                <w:rFonts w:hint="eastAsia" w:ascii="宋体" w:hAnsi="宋体" w:eastAsia="宋体" w:cs="宋体"/>
                <w:sz w:val="24"/>
                <w:szCs w:val="24"/>
                <w:lang w:eastAsia="zh-CN"/>
              </w:rPr>
              <w:t>槽液由硅烷处理剂与水配置而成，采用</w:t>
            </w:r>
            <w:r>
              <w:rPr>
                <w:rFonts w:hint="eastAsia" w:ascii="宋体" w:hAnsi="宋体" w:eastAsia="宋体" w:cs="宋体"/>
                <w:sz w:val="24"/>
                <w:szCs w:val="24"/>
                <w:lang w:val="en-US" w:eastAsia="zh-CN"/>
              </w:rPr>
              <w:t>喷淋</w:t>
            </w:r>
            <w:r>
              <w:rPr>
                <w:rFonts w:hint="eastAsia" w:ascii="宋体" w:hAnsi="宋体" w:eastAsia="宋体" w:cs="宋体"/>
                <w:sz w:val="24"/>
                <w:szCs w:val="24"/>
                <w:lang w:eastAsia="zh-CN"/>
              </w:rPr>
              <w:t>方式，在常温下进行。</w:t>
            </w:r>
            <w:r>
              <w:rPr>
                <w:rFonts w:hint="eastAsia" w:ascii="宋体" w:hAnsi="宋体" w:eastAsia="宋体" w:cs="宋体"/>
                <w:sz w:val="24"/>
                <w:szCs w:val="24"/>
                <w:lang w:val="en-US" w:eastAsia="zh-CN"/>
              </w:rPr>
              <w:t>硅烷</w:t>
            </w:r>
            <w:r>
              <w:rPr>
                <w:rFonts w:hint="eastAsia" w:ascii="宋体" w:hAnsi="宋体" w:eastAsia="宋体" w:cs="宋体"/>
                <w:sz w:val="24"/>
                <w:szCs w:val="24"/>
                <w:lang w:eastAsia="zh-CN"/>
              </w:rPr>
              <w:t>槽内的槽液</w:t>
            </w:r>
            <w:r>
              <w:rPr>
                <w:rFonts w:hint="eastAsia" w:ascii="宋体" w:hAnsi="宋体" w:eastAsia="宋体" w:cs="宋体"/>
                <w:sz w:val="24"/>
                <w:szCs w:val="24"/>
                <w:lang w:val="en-US" w:eastAsia="zh-CN"/>
              </w:rPr>
              <w:t>半年</w:t>
            </w:r>
            <w:r>
              <w:rPr>
                <w:rFonts w:hint="eastAsia" w:ascii="宋体" w:hAnsi="宋体" w:eastAsia="宋体" w:cs="宋体"/>
                <w:sz w:val="24"/>
                <w:szCs w:val="24"/>
                <w:lang w:eastAsia="zh-CN"/>
              </w:rPr>
              <w:t>更换</w:t>
            </w:r>
            <w:r>
              <w:rPr>
                <w:rFonts w:hint="eastAsia" w:ascii="宋体" w:hAnsi="宋体" w:eastAsia="宋体" w:cs="宋体"/>
                <w:sz w:val="24"/>
                <w:szCs w:val="24"/>
                <w:lang w:val="en-US" w:eastAsia="zh-CN"/>
              </w:rPr>
              <w:t>1次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产生的S1-3废硅烷处理剂</w:t>
            </w:r>
            <w:r>
              <w:rPr>
                <w:rFonts w:hint="eastAsia" w:ascii="宋体" w:hAnsi="宋体" w:eastAsia="宋体" w:cs="宋体"/>
                <w:sz w:val="24"/>
                <w:szCs w:val="24"/>
                <w:lang w:eastAsia="zh-CN"/>
              </w:rPr>
              <w:t>作为危废处置</w:t>
            </w:r>
            <w:r>
              <w:rPr>
                <w:rFonts w:hint="eastAsia" w:ascii="宋体" w:hAnsi="宋体" w:eastAsia="宋体" w:cs="宋体"/>
                <w:sz w:val="24"/>
                <w:szCs w:val="24"/>
                <w:lang w:val="en-US" w:eastAsia="zh-CN"/>
              </w:rPr>
              <w:t>。</w:t>
            </w:r>
          </w:p>
          <w:p w14:paraId="21638F64">
            <w:pPr>
              <w:pStyle w:val="16"/>
              <w:keepNext w:val="0"/>
              <w:keepLines w:val="0"/>
              <w:numPr>
                <w:ilvl w:val="0"/>
                <w:numId w:val="0"/>
              </w:numPr>
              <w:suppressLineNumbers w:val="0"/>
              <w:spacing w:before="0" w:beforeAutospacing="0" w:after="0" w:afterAutospacing="0"/>
              <w:ind w:left="0" w:right="0"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本项目脱脂剂成分主要为碱性无机物，故不考虑其挥发性。硅烷剂主要挥发成分为氟锆酸3%、3-氨基丙基三乙氧基硅烷0.5%，因需与水以1:10的比例配比，成分含量较少，在常温下操作挥发性较小，故忽略不计。</w:t>
            </w:r>
          </w:p>
          <w:p w14:paraId="353757C3">
            <w:pPr>
              <w:pStyle w:val="16"/>
              <w:keepNext w:val="0"/>
              <w:keepLines w:val="0"/>
              <w:numPr>
                <w:ilvl w:val="0"/>
                <w:numId w:val="0"/>
              </w:numPr>
              <w:suppressLineNumbers w:val="0"/>
              <w:spacing w:before="0" w:beforeAutospacing="0" w:after="0" w:afterAutospacing="0"/>
              <w:ind w:left="0" w:right="0" w:firstLine="480" w:firstLineChars="200"/>
              <w:rPr>
                <w:rFonts w:hint="default" w:ascii="宋体" w:hAnsi="宋体" w:eastAsia="宋体" w:cs="宋体"/>
                <w:kern w:val="44"/>
                <w:lang w:val="en-US" w:eastAsia="zh-CN"/>
              </w:rPr>
            </w:pPr>
            <w:r>
              <w:rPr>
                <w:rFonts w:hint="eastAsia" w:ascii="宋体" w:hAnsi="宋体" w:eastAsia="宋体" w:cs="宋体"/>
                <w:kern w:val="44"/>
                <w:lang w:eastAsia="zh-CN"/>
              </w:rPr>
              <w:t>⑷</w:t>
            </w:r>
            <w:r>
              <w:rPr>
                <w:rFonts w:hint="eastAsia" w:ascii="宋体" w:hAnsi="宋体" w:eastAsia="宋体" w:cs="宋体"/>
                <w:kern w:val="44"/>
                <w:lang w:val="en-US" w:eastAsia="zh-CN"/>
              </w:rPr>
              <w:t>水洗：硅烷</w:t>
            </w:r>
            <w:r>
              <w:rPr>
                <w:rFonts w:hint="eastAsia" w:ascii="宋体" w:hAnsi="宋体" w:eastAsia="宋体" w:cs="宋体"/>
                <w:kern w:val="44"/>
                <w:lang w:eastAsia="zh-CN"/>
              </w:rPr>
              <w:t>后进行</w:t>
            </w:r>
            <w:r>
              <w:rPr>
                <w:rFonts w:hint="eastAsia" w:ascii="宋体" w:hAnsi="宋体" w:eastAsia="宋体" w:cs="宋体"/>
                <w:kern w:val="44"/>
                <w:lang w:val="en-US" w:eastAsia="zh-CN"/>
              </w:rPr>
              <w:t>1</w:t>
            </w:r>
            <w:r>
              <w:rPr>
                <w:rFonts w:hint="eastAsia" w:ascii="宋体" w:hAnsi="宋体" w:eastAsia="宋体" w:cs="宋体"/>
                <w:kern w:val="44"/>
                <w:lang w:eastAsia="zh-CN"/>
              </w:rPr>
              <w:t>道水洗，以清洗工件表面残余的污物</w:t>
            </w:r>
            <w:r>
              <w:rPr>
                <w:rFonts w:hint="eastAsia" w:ascii="宋体" w:hAnsi="宋体" w:eastAsia="宋体" w:cs="宋体"/>
                <w:kern w:val="44"/>
                <w:lang w:val="en-US" w:eastAsia="zh-CN"/>
              </w:rPr>
              <w:t>。</w:t>
            </w:r>
            <w:r>
              <w:rPr>
                <w:rFonts w:hint="eastAsia" w:ascii="宋体" w:hAnsi="宋体" w:eastAsia="宋体" w:cs="宋体"/>
                <w:color w:val="auto"/>
                <w:sz w:val="24"/>
                <w:szCs w:val="24"/>
                <w:lang w:eastAsia="zh-CN"/>
              </w:rPr>
              <w:t>该水洗水</w:t>
            </w:r>
            <w:r>
              <w:rPr>
                <w:rFonts w:hint="eastAsia" w:ascii="宋体" w:hAnsi="宋体" w:eastAsia="宋体" w:cs="宋体"/>
                <w:color w:val="auto"/>
                <w:sz w:val="24"/>
                <w:szCs w:val="24"/>
                <w:lang w:val="en-US" w:eastAsia="zh-CN"/>
              </w:rPr>
              <w:t>每周排至</w:t>
            </w:r>
            <w:r>
              <w:rPr>
                <w:rFonts w:hint="eastAsia" w:ascii="宋体" w:hAnsi="宋体" w:eastAsia="宋体" w:cs="宋体"/>
                <w:sz w:val="24"/>
                <w:szCs w:val="24"/>
                <w:lang w:val="en-US" w:eastAsia="zh-CN"/>
              </w:rPr>
              <w:t>厂内污水处理站处理后回用于水洗工段。</w:t>
            </w:r>
          </w:p>
          <w:p w14:paraId="21016995">
            <w:pPr>
              <w:pStyle w:val="16"/>
              <w:keepNext w:val="0"/>
              <w:keepLines w:val="0"/>
              <w:numPr>
                <w:ilvl w:val="0"/>
                <w:numId w:val="0"/>
              </w:numPr>
              <w:suppressLineNumbers w:val="0"/>
              <w:spacing w:before="0" w:beforeAutospacing="0" w:after="0" w:afterAutospacing="0"/>
              <w:ind w:left="0" w:right="0" w:firstLine="480" w:firstLineChars="200"/>
              <w:rPr>
                <w:rFonts w:hint="default" w:ascii="宋体" w:hAnsi="宋体" w:eastAsia="宋体" w:cs="宋体"/>
                <w:kern w:val="44"/>
                <w:lang w:val="en-US" w:eastAsia="zh-CN"/>
              </w:rPr>
            </w:pPr>
            <w:r>
              <w:rPr>
                <w:rFonts w:hint="eastAsia" w:ascii="宋体" w:hAnsi="宋体" w:eastAsia="宋体" w:cs="宋体"/>
                <w:kern w:val="44"/>
                <w:lang w:eastAsia="zh-CN"/>
              </w:rPr>
              <w:t>⑸</w:t>
            </w:r>
            <w:r>
              <w:rPr>
                <w:rFonts w:hint="eastAsia" w:ascii="宋体" w:hAnsi="宋体" w:eastAsia="宋体" w:cs="宋体"/>
                <w:kern w:val="44"/>
                <w:lang w:val="en-US" w:eastAsia="zh-CN"/>
              </w:rPr>
              <w:t>烘干：水洗后的工件进入烘道去除表面水分。烘道采用天然气加热，该过程产生G1-1燃烧废气。</w:t>
            </w:r>
          </w:p>
          <w:p w14:paraId="19D86573">
            <w:pPr>
              <w:pStyle w:val="16"/>
              <w:keepNext w:val="0"/>
              <w:keepLines w:val="0"/>
              <w:numPr>
                <w:ilvl w:val="0"/>
                <w:numId w:val="0"/>
              </w:numPr>
              <w:suppressLineNumbers w:val="0"/>
              <w:spacing w:before="0" w:beforeAutospacing="0" w:after="0" w:afterAutospacing="0"/>
              <w:ind w:left="0" w:right="0" w:firstLine="480" w:firstLineChars="200"/>
              <w:rPr>
                <w:rFonts w:hint="default" w:ascii="宋体" w:hAnsi="宋体" w:eastAsia="宋体" w:cs="宋体"/>
                <w:kern w:val="44"/>
                <w:lang w:val="en-US" w:eastAsia="zh-CN"/>
              </w:rPr>
            </w:pPr>
            <w:r>
              <w:rPr>
                <w:rFonts w:hint="eastAsia" w:ascii="宋体" w:hAnsi="宋体" w:eastAsia="宋体" w:cs="宋体"/>
                <w:kern w:val="44"/>
                <w:lang w:val="en-US" w:eastAsia="zh-CN"/>
              </w:rPr>
              <w:t>⑹打磨：人工将工件表面打磨平整，便于后道喷塑，该过程产生G1-2颗粒物。</w:t>
            </w:r>
          </w:p>
          <w:p w14:paraId="20B035CF">
            <w:pPr>
              <w:pStyle w:val="16"/>
              <w:keepNext w:val="0"/>
              <w:keepLines w:val="0"/>
              <w:numPr>
                <w:ilvl w:val="0"/>
                <w:numId w:val="0"/>
              </w:numPr>
              <w:suppressLineNumbers w:val="0"/>
              <w:spacing w:before="0" w:beforeAutospacing="0" w:after="0" w:afterAutospacing="0"/>
              <w:ind w:left="0" w:right="0" w:firstLine="480" w:firstLineChars="200"/>
              <w:rPr>
                <w:rFonts w:hint="default" w:ascii="宋体" w:hAnsi="宋体" w:eastAsia="宋体" w:cs="宋体"/>
                <w:kern w:val="44"/>
                <w:lang w:val="en-US" w:eastAsia="zh-CN"/>
              </w:rPr>
            </w:pPr>
            <w:r>
              <w:rPr>
                <w:rFonts w:hint="eastAsia" w:ascii="宋体" w:hAnsi="宋体" w:eastAsia="宋体" w:cs="宋体"/>
                <w:kern w:val="44"/>
                <w:lang w:val="en-US" w:eastAsia="zh-CN"/>
              </w:rPr>
              <w:t>⑺喷塑</w:t>
            </w:r>
            <w:r>
              <w:rPr>
                <w:rFonts w:hint="eastAsia" w:ascii="宋体" w:hAnsi="宋体" w:eastAsia="宋体" w:cs="宋体"/>
                <w:sz w:val="24"/>
                <w:szCs w:val="24"/>
                <w:lang w:val="en-US" w:eastAsia="zh-CN"/>
              </w:rPr>
              <w:t>、固化</w:t>
            </w:r>
            <w:r>
              <w:rPr>
                <w:rFonts w:hint="eastAsia" w:ascii="宋体" w:hAnsi="宋体" w:eastAsia="宋体" w:cs="宋体"/>
                <w:kern w:val="44"/>
                <w:lang w:val="en-US" w:eastAsia="zh-CN"/>
              </w:rPr>
              <w:t>：</w:t>
            </w:r>
            <w:r>
              <w:rPr>
                <w:rFonts w:hint="eastAsia" w:ascii="宋体" w:hAnsi="宋体" w:eastAsia="宋体" w:cs="宋体"/>
                <w:sz w:val="24"/>
                <w:szCs w:val="24"/>
                <w:lang w:val="en-US" w:eastAsia="zh-CN"/>
              </w:rPr>
              <w:t>经预处理后的工件进入喷塑房进行喷粉，在喷枪与工件之间形成一个高压电晕放电电场，当粉末粒子由喷枪口喷出经过放电区时，捕集了大量的电子，成为带负电的微粒，在静电吸引的作用下，被吸附到带正电荷的工件上去。当粉末附着到一定厚度时，则会发生“同性相斥”的作用，不能再吸附粉末。粉末上件率约70%左右，其余粉末会沉降在喷粉室中。当工件表面附着满了树脂粉末便进入加温烘烤固化，最后工件表面流平成均匀的膜层。固化工段采用1条烘道烘干，以天然气为燃料进行加热。喷粉工段会产生G1-3颗粒物，固化工段会产生G1-4非甲烷总烃废气。</w:t>
            </w:r>
          </w:p>
          <w:p w14:paraId="1127B9C0">
            <w:pPr>
              <w:pStyle w:val="16"/>
              <w:keepNext w:val="0"/>
              <w:keepLines w:val="0"/>
              <w:numPr>
                <w:ilvl w:val="0"/>
                <w:numId w:val="0"/>
              </w:numPr>
              <w:suppressLineNumbers w:val="0"/>
              <w:spacing w:before="0" w:beforeAutospacing="0" w:after="0" w:afterAutospacing="0"/>
              <w:ind w:left="0" w:right="0" w:firstLine="480" w:firstLineChars="200"/>
              <w:rPr>
                <w:rFonts w:hint="eastAsia" w:ascii="宋体" w:hAnsi="宋体" w:eastAsia="宋体" w:cs="宋体"/>
                <w:kern w:val="44"/>
                <w:lang w:eastAsia="zh-CN"/>
              </w:rPr>
            </w:pPr>
            <w:r>
              <w:rPr>
                <w:rFonts w:hint="eastAsia" w:ascii="宋体" w:hAnsi="宋体" w:eastAsia="宋体" w:cs="宋体"/>
                <w:kern w:val="44"/>
                <w:lang w:eastAsia="zh-CN"/>
              </w:rPr>
              <w:t>⑻</w:t>
            </w:r>
            <w:r>
              <w:rPr>
                <w:rFonts w:hint="eastAsia" w:ascii="宋体" w:hAnsi="宋体" w:eastAsia="宋体" w:cs="宋体"/>
                <w:kern w:val="44"/>
                <w:lang w:val="en-US" w:eastAsia="zh-CN"/>
              </w:rPr>
              <w:t>检验、</w:t>
            </w:r>
            <w:r>
              <w:rPr>
                <w:rFonts w:hint="eastAsia" w:ascii="宋体" w:hAnsi="宋体" w:eastAsia="宋体" w:cs="宋体"/>
                <w:kern w:val="44"/>
                <w:lang w:eastAsia="zh-CN"/>
              </w:rPr>
              <w:t>包装入库</w:t>
            </w:r>
            <w:r>
              <w:rPr>
                <w:rFonts w:hint="eastAsia" w:ascii="宋体" w:hAnsi="宋体" w:eastAsia="宋体" w:cs="宋体"/>
                <w:kern w:val="44"/>
                <w:lang w:val="en-US" w:eastAsia="zh-CN"/>
              </w:rPr>
              <w:t>：人工对工件进行检验，不合格的返工</w:t>
            </w:r>
            <w:r>
              <w:rPr>
                <w:rFonts w:hint="eastAsia" w:ascii="宋体" w:hAnsi="宋体" w:eastAsia="宋体" w:cs="宋体"/>
                <w:kern w:val="44"/>
                <w:lang w:eastAsia="zh-CN"/>
              </w:rPr>
              <w:t>，最后包装好入库</w:t>
            </w:r>
            <w:r>
              <w:rPr>
                <w:rFonts w:hint="eastAsia" w:ascii="宋体" w:hAnsi="宋体" w:eastAsia="宋体" w:cs="宋体"/>
                <w:kern w:val="44"/>
                <w:lang w:val="en-US" w:eastAsia="zh-CN"/>
              </w:rPr>
              <w:t>。</w:t>
            </w:r>
          </w:p>
          <w:p w14:paraId="1BB2DCAE">
            <w:pPr>
              <w:pStyle w:val="10"/>
              <w:keepNext w:val="0"/>
              <w:keepLines w:val="0"/>
              <w:suppressLineNumbers w:val="0"/>
              <w:spacing w:before="0" w:beforeAutospacing="0" w:after="0" w:afterAutospacing="0"/>
              <w:ind w:left="0" w:right="0"/>
              <w:rPr>
                <w:rFonts w:hint="default" w:ascii="宋体" w:hAnsi="宋体" w:eastAsia="宋体" w:cs="宋体"/>
                <w:kern w:val="44"/>
              </w:rPr>
            </w:pPr>
            <w:r>
              <w:rPr>
                <w:rFonts w:hint="eastAsia" w:ascii="宋体" w:hAnsi="宋体" w:eastAsia="宋体" w:cs="宋体"/>
              </w:rPr>
              <w:t>2、</w:t>
            </w:r>
            <w:r>
              <w:rPr>
                <w:rFonts w:hint="eastAsia" w:ascii="宋体" w:hAnsi="宋体" w:eastAsia="宋体" w:cs="宋体"/>
                <w:kern w:val="44"/>
                <w:lang w:val="en-US" w:eastAsia="zh-CN"/>
              </w:rPr>
              <w:t>手术床悬挂组件生产</w:t>
            </w:r>
            <w:r>
              <w:rPr>
                <w:rFonts w:hint="eastAsia" w:ascii="宋体" w:hAnsi="宋体" w:eastAsia="宋体" w:cs="宋体"/>
                <w:kern w:val="44"/>
              </w:rPr>
              <w:t>工艺流程</w:t>
            </w:r>
          </w:p>
          <w:p w14:paraId="16E61179">
            <w:pPr>
              <w:pStyle w:val="10"/>
              <w:keepNext w:val="0"/>
              <w:keepLines w:val="0"/>
              <w:suppressLineNumbers w:val="0"/>
              <w:spacing w:before="0" w:beforeAutospacing="0" w:after="0" w:afterAutospacing="0"/>
              <w:ind w:left="0" w:right="0"/>
              <w:jc w:val="center"/>
              <w:rPr>
                <w:rFonts w:hint="eastAsia" w:ascii="宋体" w:hAnsi="宋体" w:eastAsia="宋体" w:cs="宋体"/>
                <w:kern w:val="44"/>
              </w:rPr>
            </w:pPr>
            <w:r>
              <w:rPr>
                <w:rFonts w:hint="eastAsia" w:ascii="宋体" w:hAnsi="宋体" w:eastAsia="宋体" w:cs="宋体"/>
                <w:kern w:val="44"/>
              </w:rPr>
              <w:object>
                <v:shape id="_x0000_i1028" o:spt="75" type="#_x0000_t75" style="height:316.2pt;width:288pt;" o:ole="t" filled="f" o:preferrelative="t" stroked="f" coordsize="21600,21600">
                  <v:path/>
                  <v:fill on="f" focussize="0,0"/>
                  <v:stroke on="f"/>
                  <v:imagedata r:id="rId18" o:title=""/>
                  <o:lock v:ext="edit" aspectratio="f"/>
                  <w10:wrap type="none"/>
                  <w10:anchorlock/>
                </v:shape>
                <o:OLEObject Type="Embed" ProgID="Visio.Drawing.11" ShapeID="_x0000_i1028" DrawAspect="Content" ObjectID="_1468075728" r:id="rId17">
                  <o:LockedField>false</o:LockedField>
                </o:OLEObject>
              </w:object>
            </w:r>
          </w:p>
          <w:p w14:paraId="313FD4DA">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rPr>
            </w:pPr>
            <w:r>
              <w:rPr>
                <w:rFonts w:hint="eastAsia" w:ascii="宋体" w:hAnsi="宋体" w:eastAsia="宋体" w:cs="宋体"/>
                <w:b/>
                <w:bCs/>
                <w:kern w:val="44"/>
              </w:rPr>
              <w:t>图2-</w:t>
            </w:r>
            <w:r>
              <w:rPr>
                <w:rFonts w:hint="eastAsia" w:ascii="宋体" w:hAnsi="宋体" w:eastAsia="宋体" w:cs="宋体"/>
                <w:b/>
                <w:bCs/>
                <w:kern w:val="44"/>
                <w:lang w:val="en-US" w:eastAsia="zh-CN"/>
              </w:rPr>
              <w:t>3</w:t>
            </w:r>
            <w:r>
              <w:rPr>
                <w:rFonts w:hint="eastAsia" w:ascii="宋体" w:hAnsi="宋体" w:eastAsia="宋体" w:cs="宋体"/>
                <w:b/>
                <w:bCs/>
                <w:kern w:val="44"/>
              </w:rPr>
              <w:t xml:space="preserve"> </w:t>
            </w:r>
            <w:r>
              <w:rPr>
                <w:rFonts w:hint="eastAsia" w:ascii="宋体" w:hAnsi="宋体" w:eastAsia="宋体" w:cs="宋体"/>
                <w:b/>
                <w:bCs/>
                <w:kern w:val="44"/>
                <w:lang w:val="en-US" w:eastAsia="zh-CN"/>
              </w:rPr>
              <w:t>手术床悬挂组件</w:t>
            </w:r>
            <w:r>
              <w:rPr>
                <w:rFonts w:hint="eastAsia" w:ascii="宋体" w:hAnsi="宋体" w:eastAsia="宋体" w:cs="宋体"/>
                <w:b/>
                <w:bCs/>
                <w:kern w:val="44"/>
              </w:rPr>
              <w:t>工艺流程及产污环节图</w:t>
            </w:r>
          </w:p>
          <w:p w14:paraId="368EBD20">
            <w:pPr>
              <w:pStyle w:val="16"/>
              <w:keepNext w:val="0"/>
              <w:keepLines w:val="0"/>
              <w:numPr>
                <w:ilvl w:val="0"/>
                <w:numId w:val="0"/>
              </w:numPr>
              <w:suppressLineNumbers w:val="0"/>
              <w:spacing w:before="0" w:beforeAutospacing="0" w:after="0" w:afterAutospacing="0"/>
              <w:ind w:left="0" w:right="0"/>
              <w:rPr>
                <w:rFonts w:hint="eastAsia" w:ascii="宋体" w:hAnsi="宋体" w:eastAsia="宋体" w:cs="宋体"/>
                <w:kern w:val="44"/>
                <w:lang w:eastAsia="zh-CN"/>
              </w:rPr>
            </w:pPr>
            <w:r>
              <w:rPr>
                <w:rFonts w:hint="eastAsia" w:ascii="宋体" w:hAnsi="宋体" w:eastAsia="宋体" w:cs="宋体"/>
                <w:kern w:val="44"/>
                <w:lang w:eastAsia="zh-CN"/>
              </w:rPr>
              <w:t>工艺说明：</w:t>
            </w:r>
          </w:p>
          <w:p w14:paraId="7B370075">
            <w:pPr>
              <w:pStyle w:val="16"/>
              <w:keepNext w:val="0"/>
              <w:keepLines w:val="0"/>
              <w:numPr>
                <w:ilvl w:val="0"/>
                <w:numId w:val="0"/>
              </w:numPr>
              <w:suppressLineNumbers w:val="0"/>
              <w:spacing w:before="0" w:beforeAutospacing="0" w:after="0" w:afterAutospacing="0"/>
              <w:ind w:left="0" w:right="0" w:firstLine="480" w:firstLineChars="200"/>
              <w:rPr>
                <w:rFonts w:hint="default" w:ascii="宋体" w:hAnsi="宋体" w:eastAsia="宋体" w:cs="宋体"/>
                <w:kern w:val="44"/>
                <w:lang w:val="en-US" w:eastAsia="zh-CN"/>
              </w:rPr>
            </w:pPr>
            <w:r>
              <w:rPr>
                <w:rFonts w:hint="eastAsia" w:ascii="宋体" w:hAnsi="宋体" w:eastAsia="宋体" w:cs="宋体"/>
                <w:kern w:val="44"/>
                <w:lang w:eastAsia="zh-CN"/>
              </w:rPr>
              <w:t>⑴</w:t>
            </w:r>
            <w:r>
              <w:rPr>
                <w:rFonts w:hint="eastAsia" w:ascii="宋体" w:hAnsi="宋体" w:eastAsia="宋体" w:cs="宋体"/>
                <w:kern w:val="44"/>
                <w:lang w:val="en-US" w:eastAsia="zh-CN"/>
              </w:rPr>
              <w:t>喷砂：</w:t>
            </w:r>
            <w:r>
              <w:rPr>
                <w:rFonts w:hint="eastAsia" w:ascii="宋体" w:hAnsi="宋体" w:eastAsia="宋体" w:cs="宋体"/>
                <w:lang w:val="en-US" w:eastAsia="zh-CN"/>
              </w:rPr>
              <w:t>使用喷砂机对工件表面进行预处理，</w:t>
            </w:r>
            <w:r>
              <w:rPr>
                <w:rFonts w:hint="eastAsia" w:ascii="宋体" w:hAnsi="宋体" w:eastAsia="宋体" w:cs="宋体"/>
                <w:b w:val="0"/>
                <w:bCs/>
                <w:color w:val="auto"/>
                <w:sz w:val="24"/>
                <w:szCs w:val="24"/>
                <w:lang w:val="en-US" w:eastAsia="zh-CN"/>
              </w:rPr>
              <w:t>使工件表面平整的同时去除表面氧化物等。</w:t>
            </w:r>
            <w:r>
              <w:rPr>
                <w:rFonts w:hint="eastAsia" w:ascii="宋体" w:hAnsi="宋体" w:eastAsia="宋体" w:cs="宋体"/>
                <w:b w:val="0"/>
                <w:kern w:val="44"/>
                <w:sz w:val="24"/>
                <w:szCs w:val="24"/>
                <w:lang w:eastAsia="zh-CN"/>
              </w:rPr>
              <w:t>该工段产生</w:t>
            </w:r>
            <w:r>
              <w:rPr>
                <w:rFonts w:hint="eastAsia" w:ascii="宋体" w:hAnsi="宋体" w:eastAsia="宋体" w:cs="宋体"/>
                <w:b w:val="0"/>
                <w:kern w:val="44"/>
                <w:sz w:val="24"/>
                <w:szCs w:val="24"/>
                <w:lang w:val="en-US" w:eastAsia="zh-CN"/>
              </w:rPr>
              <w:t>G2-1颗粒物，S2-1废砂。</w:t>
            </w:r>
          </w:p>
          <w:p w14:paraId="4643419B">
            <w:pPr>
              <w:pStyle w:val="16"/>
              <w:keepNext w:val="0"/>
              <w:keepLines w:val="0"/>
              <w:numPr>
                <w:ilvl w:val="0"/>
                <w:numId w:val="0"/>
              </w:numPr>
              <w:suppressLineNumbers w:val="0"/>
              <w:spacing w:before="0" w:beforeAutospacing="0" w:after="0" w:afterAutospacing="0"/>
              <w:ind w:left="0" w:right="0" w:firstLine="480" w:firstLineChars="200"/>
              <w:rPr>
                <w:rFonts w:hint="eastAsia" w:ascii="宋体" w:hAnsi="宋体" w:eastAsia="宋体" w:cs="宋体"/>
                <w:kern w:val="44"/>
                <w:lang w:eastAsia="zh-CN"/>
              </w:rPr>
            </w:pPr>
            <w:r>
              <w:rPr>
                <w:rFonts w:hint="eastAsia" w:ascii="宋体" w:hAnsi="宋体" w:eastAsia="宋体" w:cs="宋体"/>
                <w:kern w:val="44"/>
                <w:lang w:eastAsia="zh-CN"/>
              </w:rPr>
              <w:t>⑵</w:t>
            </w:r>
            <w:r>
              <w:rPr>
                <w:rFonts w:hint="eastAsia" w:ascii="宋体" w:hAnsi="宋体" w:eastAsia="宋体" w:cs="宋体"/>
                <w:sz w:val="24"/>
                <w:szCs w:val="24"/>
                <w:lang w:val="en-US" w:eastAsia="zh-CN"/>
              </w:rPr>
              <w:t>喷塑、固化：经预处理后的工件进入喷粉房进行喷粉，在喷枪与工件之间形成一个高压电晕放电电场，当粉末粒子由喷枪口喷出经过放电区时，捕集了大量的电子，成为带负电的微粒，在静电吸引的作用下，被吸附到带正电荷的工件上去。当粉末附着到一定厚度时，则会发生“同性相斥”的作用，不能再吸附粉末。粉末上件率约70%左右，其余粉末会沉降在喷粉室中。当工件表面附着满了树脂粉末便进入加温烘烤固化，最后工件表面流平成均匀的膜层。固化工段采用1条烘道烘干，以天然气为燃料进行加热。喷粉工段会产生G2-2颗粒物，固化工段会产生G2-3非甲烷总烃废气和G2-4天然气燃烧废气。</w:t>
            </w:r>
          </w:p>
          <w:p w14:paraId="535A4A8F">
            <w:pPr>
              <w:pStyle w:val="16"/>
              <w:keepNext w:val="0"/>
              <w:keepLines w:val="0"/>
              <w:numPr>
                <w:ilvl w:val="0"/>
                <w:numId w:val="0"/>
              </w:numPr>
              <w:suppressLineNumbers w:val="0"/>
              <w:spacing w:before="0" w:beforeAutospacing="0" w:after="0" w:afterAutospacing="0"/>
              <w:ind w:left="0" w:right="0" w:firstLine="480" w:firstLineChars="200"/>
              <w:rPr>
                <w:rFonts w:hint="eastAsia" w:ascii="宋体" w:hAnsi="宋体" w:eastAsia="宋体" w:cs="宋体"/>
                <w:b w:val="0"/>
                <w:kern w:val="44"/>
                <w:sz w:val="24"/>
                <w:szCs w:val="24"/>
              </w:rPr>
            </w:pPr>
            <w:r>
              <w:rPr>
                <w:rFonts w:hint="eastAsia" w:ascii="宋体" w:hAnsi="宋体" w:eastAsia="宋体" w:cs="宋体"/>
                <w:kern w:val="44"/>
                <w:lang w:eastAsia="zh-CN"/>
              </w:rPr>
              <w:t>⑶检验、包装入库：</w:t>
            </w:r>
            <w:r>
              <w:rPr>
                <w:rFonts w:hint="eastAsia" w:ascii="宋体" w:hAnsi="宋体" w:eastAsia="宋体" w:cs="宋体"/>
                <w:kern w:val="44"/>
                <w:lang w:val="en-US" w:eastAsia="zh-CN"/>
              </w:rPr>
              <w:t>人工</w:t>
            </w:r>
            <w:r>
              <w:rPr>
                <w:rFonts w:hint="eastAsia" w:ascii="宋体" w:hAnsi="宋体" w:eastAsia="宋体" w:cs="宋体"/>
                <w:kern w:val="44"/>
                <w:lang w:eastAsia="zh-CN"/>
              </w:rPr>
              <w:t>检验工件外观，不合格的返工，最后包装好入库。</w:t>
            </w:r>
          </w:p>
          <w:p w14:paraId="2DFB487F">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eastAsia" w:ascii="宋体" w:hAnsi="宋体" w:eastAsia="宋体" w:cs="宋体"/>
                <w:b w:val="0"/>
                <w:kern w:val="44"/>
                <w:szCs w:val="24"/>
              </w:rPr>
            </w:pPr>
            <w:r>
              <w:rPr>
                <w:rFonts w:hint="eastAsia" w:ascii="宋体" w:hAnsi="宋体" w:eastAsia="宋体" w:cs="宋体"/>
                <w:b/>
                <w:bCs/>
                <w:kern w:val="44"/>
                <w:sz w:val="24"/>
                <w:szCs w:val="24"/>
              </w:rPr>
              <w:t>表2-</w:t>
            </w:r>
            <w:r>
              <w:rPr>
                <w:rFonts w:hint="eastAsia" w:ascii="宋体" w:hAnsi="宋体" w:eastAsia="宋体" w:cs="宋体"/>
                <w:b/>
                <w:bCs/>
                <w:kern w:val="44"/>
                <w:sz w:val="24"/>
                <w:szCs w:val="24"/>
                <w:lang w:val="en-US" w:eastAsia="zh-CN"/>
              </w:rPr>
              <w:t>7</w:t>
            </w:r>
            <w:r>
              <w:rPr>
                <w:rFonts w:hint="eastAsia" w:ascii="宋体" w:hAnsi="宋体" w:eastAsia="宋体" w:cs="宋体"/>
                <w:b/>
                <w:bCs/>
                <w:kern w:val="44"/>
                <w:sz w:val="24"/>
                <w:szCs w:val="24"/>
              </w:rPr>
              <w:t xml:space="preserve"> 污染物</w:t>
            </w:r>
            <w:r>
              <w:rPr>
                <w:rFonts w:hint="eastAsia" w:ascii="宋体" w:hAnsi="宋体" w:eastAsia="宋体" w:cs="宋体"/>
                <w:b/>
                <w:bCs/>
                <w:kern w:val="44"/>
                <w:szCs w:val="24"/>
              </w:rPr>
              <w:t>产生环节汇总表</w:t>
            </w:r>
          </w:p>
          <w:tbl>
            <w:tblPr>
              <w:tblStyle w:val="30"/>
              <w:tblW w:w="83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22"/>
              <w:gridCol w:w="1091"/>
              <w:gridCol w:w="1188"/>
              <w:gridCol w:w="1389"/>
              <w:gridCol w:w="1566"/>
              <w:gridCol w:w="2582"/>
            </w:tblGrid>
            <w:tr w14:paraId="17EEDF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4" w:hRule="atLeast"/>
                <w:tblHeader/>
                <w:jc w:val="center"/>
              </w:trPr>
              <w:tc>
                <w:tcPr>
                  <w:tcW w:w="1613" w:type="dxa"/>
                  <w:gridSpan w:val="2"/>
                  <w:noWrap w:val="0"/>
                  <w:vAlign w:val="center"/>
                </w:tcPr>
                <w:p w14:paraId="702F55EE">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b/>
                      <w:bCs/>
                      <w:sz w:val="21"/>
                      <w:szCs w:val="21"/>
                    </w:rPr>
                  </w:pPr>
                  <w:r>
                    <w:rPr>
                      <w:rFonts w:hint="eastAsia" w:ascii="宋体" w:hAnsi="宋体" w:eastAsia="宋体" w:cs="宋体"/>
                      <w:b/>
                      <w:bCs/>
                      <w:sz w:val="21"/>
                      <w:szCs w:val="21"/>
                    </w:rPr>
                    <w:t>污染源</w:t>
                  </w:r>
                </w:p>
              </w:tc>
              <w:tc>
                <w:tcPr>
                  <w:tcW w:w="1188" w:type="dxa"/>
                  <w:noWrap w:val="0"/>
                  <w:vAlign w:val="center"/>
                </w:tcPr>
                <w:p w14:paraId="153F90E9">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b/>
                      <w:bCs/>
                      <w:sz w:val="21"/>
                      <w:szCs w:val="21"/>
                    </w:rPr>
                  </w:pPr>
                  <w:r>
                    <w:rPr>
                      <w:rFonts w:hint="eastAsia" w:ascii="宋体" w:hAnsi="宋体" w:eastAsia="宋体" w:cs="宋体"/>
                      <w:b/>
                      <w:bCs/>
                      <w:sz w:val="21"/>
                      <w:szCs w:val="21"/>
                    </w:rPr>
                    <w:t>编号</w:t>
                  </w:r>
                </w:p>
              </w:tc>
              <w:tc>
                <w:tcPr>
                  <w:tcW w:w="1389" w:type="dxa"/>
                  <w:noWrap w:val="0"/>
                  <w:vAlign w:val="center"/>
                </w:tcPr>
                <w:p w14:paraId="11516272">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b/>
                      <w:bCs/>
                      <w:sz w:val="21"/>
                      <w:szCs w:val="21"/>
                    </w:rPr>
                  </w:pPr>
                  <w:r>
                    <w:rPr>
                      <w:rFonts w:hint="eastAsia" w:ascii="宋体" w:hAnsi="宋体" w:eastAsia="宋体" w:cs="宋体"/>
                      <w:b/>
                      <w:bCs/>
                      <w:sz w:val="21"/>
                      <w:szCs w:val="21"/>
                    </w:rPr>
                    <w:t>产污工序</w:t>
                  </w:r>
                </w:p>
              </w:tc>
              <w:tc>
                <w:tcPr>
                  <w:tcW w:w="1566" w:type="dxa"/>
                  <w:noWrap w:val="0"/>
                  <w:vAlign w:val="center"/>
                </w:tcPr>
                <w:p w14:paraId="1366100D">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b/>
                      <w:bCs/>
                      <w:sz w:val="21"/>
                      <w:szCs w:val="21"/>
                    </w:rPr>
                  </w:pPr>
                  <w:r>
                    <w:rPr>
                      <w:rFonts w:hint="eastAsia" w:ascii="宋体" w:hAnsi="宋体" w:eastAsia="宋体" w:cs="宋体"/>
                      <w:b/>
                      <w:bCs/>
                      <w:sz w:val="21"/>
                      <w:szCs w:val="21"/>
                    </w:rPr>
                    <w:t>主要污染物</w:t>
                  </w:r>
                </w:p>
              </w:tc>
              <w:tc>
                <w:tcPr>
                  <w:tcW w:w="2582" w:type="dxa"/>
                  <w:noWrap w:val="0"/>
                  <w:vAlign w:val="center"/>
                </w:tcPr>
                <w:p w14:paraId="084D031B">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b/>
                      <w:bCs/>
                      <w:sz w:val="21"/>
                      <w:szCs w:val="21"/>
                    </w:rPr>
                  </w:pPr>
                  <w:r>
                    <w:rPr>
                      <w:rFonts w:hint="eastAsia" w:ascii="宋体" w:hAnsi="宋体" w:eastAsia="宋体" w:cs="宋体"/>
                      <w:b/>
                      <w:bCs/>
                      <w:sz w:val="21"/>
                      <w:szCs w:val="21"/>
                    </w:rPr>
                    <w:t>处理处置方式</w:t>
                  </w:r>
                </w:p>
              </w:tc>
            </w:tr>
            <w:tr w14:paraId="10C56F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5" w:hRule="atLeast"/>
                <w:tblHeader/>
                <w:jc w:val="center"/>
              </w:trPr>
              <w:tc>
                <w:tcPr>
                  <w:tcW w:w="1613" w:type="dxa"/>
                  <w:gridSpan w:val="2"/>
                  <w:vMerge w:val="restart"/>
                  <w:noWrap w:val="0"/>
                  <w:vAlign w:val="center"/>
                </w:tcPr>
                <w:p w14:paraId="006200E5">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废气</w:t>
                  </w:r>
                </w:p>
              </w:tc>
              <w:tc>
                <w:tcPr>
                  <w:tcW w:w="1188" w:type="dxa"/>
                  <w:noWrap w:val="0"/>
                  <w:vAlign w:val="center"/>
                </w:tcPr>
                <w:p w14:paraId="54A50134">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rPr>
                  </w:pPr>
                  <w:r>
                    <w:rPr>
                      <w:rFonts w:hint="eastAsia" w:ascii="宋体" w:hAnsi="宋体" w:eastAsia="宋体" w:cs="宋体"/>
                      <w:sz w:val="21"/>
                      <w:szCs w:val="21"/>
                    </w:rPr>
                    <w:t>G1-1、G2-</w:t>
                  </w:r>
                  <w:r>
                    <w:rPr>
                      <w:rFonts w:hint="eastAsia" w:ascii="宋体" w:hAnsi="宋体" w:eastAsia="宋体" w:cs="宋体"/>
                      <w:sz w:val="21"/>
                      <w:szCs w:val="21"/>
                      <w:lang w:val="en-US" w:eastAsia="zh-CN"/>
                    </w:rPr>
                    <w:t>4</w:t>
                  </w:r>
                </w:p>
              </w:tc>
              <w:tc>
                <w:tcPr>
                  <w:tcW w:w="1389" w:type="dxa"/>
                  <w:noWrap w:val="0"/>
                  <w:vAlign w:val="center"/>
                </w:tcPr>
                <w:p w14:paraId="5F70984D">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天然气燃烧</w:t>
                  </w:r>
                </w:p>
              </w:tc>
              <w:tc>
                <w:tcPr>
                  <w:tcW w:w="1566" w:type="dxa"/>
                  <w:noWrap w:val="0"/>
                  <w:vAlign w:val="center"/>
                </w:tcPr>
                <w:p w14:paraId="1240DAD8">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烟尘、SO</w:t>
                  </w:r>
                  <w:r>
                    <w:rPr>
                      <w:rFonts w:hint="eastAsia" w:ascii="宋体" w:hAnsi="宋体" w:eastAsia="宋体" w:cs="宋体"/>
                      <w:sz w:val="21"/>
                      <w:szCs w:val="21"/>
                      <w:vertAlign w:val="subscript"/>
                      <w:lang w:val="en-US" w:eastAsia="zh-CN"/>
                    </w:rPr>
                    <w:t>2</w:t>
                  </w:r>
                  <w:r>
                    <w:rPr>
                      <w:rFonts w:hint="eastAsia" w:ascii="宋体" w:hAnsi="宋体" w:eastAsia="宋体" w:cs="宋体"/>
                      <w:sz w:val="21"/>
                      <w:szCs w:val="21"/>
                      <w:lang w:val="en-US" w:eastAsia="zh-CN"/>
                    </w:rPr>
                    <w:t>、NOx</w:t>
                  </w:r>
                </w:p>
              </w:tc>
              <w:tc>
                <w:tcPr>
                  <w:tcW w:w="2582" w:type="dxa"/>
                  <w:noWrap w:val="0"/>
                  <w:vAlign w:val="center"/>
                </w:tcPr>
                <w:p w14:paraId="0E71DC4A">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通过1个15m排气筒（DA004）排放</w:t>
                  </w:r>
                </w:p>
              </w:tc>
            </w:tr>
            <w:tr w14:paraId="22C90B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5" w:hRule="atLeast"/>
                <w:tblHeader/>
                <w:jc w:val="center"/>
              </w:trPr>
              <w:tc>
                <w:tcPr>
                  <w:tcW w:w="1613" w:type="dxa"/>
                  <w:gridSpan w:val="2"/>
                  <w:vMerge w:val="continue"/>
                  <w:noWrap w:val="0"/>
                  <w:vAlign w:val="center"/>
                </w:tcPr>
                <w:p w14:paraId="44A6AE20">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1188" w:type="dxa"/>
                  <w:noWrap w:val="0"/>
                  <w:vAlign w:val="center"/>
                </w:tcPr>
                <w:p w14:paraId="40B972B2">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G1-2</w:t>
                  </w:r>
                </w:p>
              </w:tc>
              <w:tc>
                <w:tcPr>
                  <w:tcW w:w="1389" w:type="dxa"/>
                  <w:noWrap w:val="0"/>
                  <w:vAlign w:val="center"/>
                </w:tcPr>
                <w:p w14:paraId="01161EA5">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打磨</w:t>
                  </w:r>
                </w:p>
              </w:tc>
              <w:tc>
                <w:tcPr>
                  <w:tcW w:w="1566" w:type="dxa"/>
                  <w:noWrap w:val="0"/>
                  <w:vAlign w:val="center"/>
                </w:tcPr>
                <w:p w14:paraId="7503E470">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颗粒物</w:t>
                  </w:r>
                </w:p>
              </w:tc>
              <w:tc>
                <w:tcPr>
                  <w:tcW w:w="2582" w:type="dxa"/>
                  <w:vMerge w:val="restart"/>
                  <w:noWrap w:val="0"/>
                  <w:vAlign w:val="center"/>
                </w:tcPr>
                <w:p w14:paraId="71F71F69">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经脉冲式布袋除尘器处理后通过1个15m排气筒（DA00</w:t>
                  </w:r>
                  <w:r>
                    <w:rPr>
                      <w:rFonts w:hint="eastAsia" w:ascii="宋体" w:hAnsi="宋体" w:eastAsia="宋体" w:cs="宋体"/>
                      <w:sz w:val="21"/>
                      <w:szCs w:val="21"/>
                      <w:lang w:val="en-US" w:eastAsia="zh-CN"/>
                    </w:rPr>
                    <w:t>3</w:t>
                  </w:r>
                  <w:r>
                    <w:rPr>
                      <w:rFonts w:hint="eastAsia" w:ascii="宋体" w:hAnsi="宋体" w:eastAsia="宋体" w:cs="宋体"/>
                      <w:sz w:val="21"/>
                      <w:szCs w:val="21"/>
                    </w:rPr>
                    <w:t>）排放</w:t>
                  </w:r>
                </w:p>
              </w:tc>
            </w:tr>
            <w:tr w14:paraId="2C4C71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5" w:hRule="atLeast"/>
                <w:tblHeader/>
                <w:jc w:val="center"/>
              </w:trPr>
              <w:tc>
                <w:tcPr>
                  <w:tcW w:w="1613" w:type="dxa"/>
                  <w:gridSpan w:val="2"/>
                  <w:vMerge w:val="continue"/>
                  <w:noWrap w:val="0"/>
                  <w:vAlign w:val="center"/>
                </w:tcPr>
                <w:p w14:paraId="5FA4FDD8">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1188" w:type="dxa"/>
                  <w:noWrap w:val="0"/>
                  <w:vAlign w:val="center"/>
                </w:tcPr>
                <w:p w14:paraId="19159EFF">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rPr>
                    <w:t>G</w:t>
                  </w:r>
                  <w:r>
                    <w:rPr>
                      <w:rFonts w:hint="eastAsia" w:ascii="宋体" w:hAnsi="宋体" w:eastAsia="宋体" w:cs="宋体"/>
                      <w:sz w:val="21"/>
                      <w:szCs w:val="21"/>
                      <w:lang w:val="en-US" w:eastAsia="zh-CN"/>
                    </w:rPr>
                    <w:t>2-1</w:t>
                  </w:r>
                </w:p>
              </w:tc>
              <w:tc>
                <w:tcPr>
                  <w:tcW w:w="1389" w:type="dxa"/>
                  <w:noWrap w:val="0"/>
                  <w:vAlign w:val="center"/>
                </w:tcPr>
                <w:p w14:paraId="6F907A93">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喷砂</w:t>
                  </w:r>
                </w:p>
              </w:tc>
              <w:tc>
                <w:tcPr>
                  <w:tcW w:w="1566" w:type="dxa"/>
                  <w:noWrap w:val="0"/>
                  <w:vAlign w:val="center"/>
                </w:tcPr>
                <w:p w14:paraId="3CF455FD">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颗粒物</w:t>
                  </w:r>
                </w:p>
              </w:tc>
              <w:tc>
                <w:tcPr>
                  <w:tcW w:w="2582" w:type="dxa"/>
                  <w:vMerge w:val="continue"/>
                  <w:noWrap w:val="0"/>
                  <w:vAlign w:val="center"/>
                </w:tcPr>
                <w:p w14:paraId="66F67A37">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rPr>
                  </w:pPr>
                </w:p>
              </w:tc>
            </w:tr>
            <w:tr w14:paraId="0C70E3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5" w:hRule="atLeast"/>
                <w:tblHeader/>
                <w:jc w:val="center"/>
              </w:trPr>
              <w:tc>
                <w:tcPr>
                  <w:tcW w:w="1613" w:type="dxa"/>
                  <w:gridSpan w:val="2"/>
                  <w:vMerge w:val="continue"/>
                  <w:noWrap w:val="0"/>
                  <w:vAlign w:val="center"/>
                </w:tcPr>
                <w:p w14:paraId="4A80535C">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1188" w:type="dxa"/>
                  <w:noWrap w:val="0"/>
                  <w:vAlign w:val="center"/>
                </w:tcPr>
                <w:p w14:paraId="4305C7B8">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rPr>
                    <w:t>G</w:t>
                  </w:r>
                  <w:r>
                    <w:rPr>
                      <w:rFonts w:hint="eastAsia" w:ascii="宋体" w:hAnsi="宋体" w:eastAsia="宋体" w:cs="宋体"/>
                      <w:sz w:val="21"/>
                      <w:szCs w:val="21"/>
                      <w:lang w:val="en-US" w:eastAsia="zh-CN"/>
                    </w:rPr>
                    <w:t>1-3、G2-2</w:t>
                  </w:r>
                </w:p>
              </w:tc>
              <w:tc>
                <w:tcPr>
                  <w:tcW w:w="1389" w:type="dxa"/>
                  <w:noWrap w:val="0"/>
                  <w:vAlign w:val="center"/>
                </w:tcPr>
                <w:p w14:paraId="3AB794F8">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喷塑</w:t>
                  </w:r>
                </w:p>
              </w:tc>
              <w:tc>
                <w:tcPr>
                  <w:tcW w:w="1566" w:type="dxa"/>
                  <w:noWrap w:val="0"/>
                  <w:vAlign w:val="center"/>
                </w:tcPr>
                <w:p w14:paraId="57600BF7">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颗粒物</w:t>
                  </w:r>
                </w:p>
              </w:tc>
              <w:tc>
                <w:tcPr>
                  <w:tcW w:w="2582" w:type="dxa"/>
                  <w:noWrap w:val="0"/>
                  <w:vAlign w:val="center"/>
                </w:tcPr>
                <w:p w14:paraId="5916F68F">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经</w:t>
                  </w:r>
                  <w:r>
                    <w:rPr>
                      <w:rFonts w:hint="eastAsia" w:ascii="宋体" w:hAnsi="宋体" w:eastAsia="宋体" w:cs="宋体"/>
                      <w:sz w:val="21"/>
                      <w:szCs w:val="21"/>
                      <w:lang w:val="en-US" w:eastAsia="zh-CN"/>
                    </w:rPr>
                    <w:t>2套旋风除尘+布袋除尘器</w:t>
                  </w:r>
                  <w:r>
                    <w:rPr>
                      <w:rFonts w:hint="eastAsia" w:ascii="宋体" w:hAnsi="宋体" w:eastAsia="宋体" w:cs="宋体"/>
                      <w:sz w:val="21"/>
                      <w:szCs w:val="21"/>
                    </w:rPr>
                    <w:t>处理后通过</w:t>
                  </w:r>
                  <w:r>
                    <w:rPr>
                      <w:rFonts w:hint="eastAsia" w:ascii="宋体" w:hAnsi="宋体" w:eastAsia="宋体" w:cs="宋体"/>
                      <w:sz w:val="21"/>
                      <w:szCs w:val="21"/>
                      <w:lang w:val="en-US" w:eastAsia="zh-CN"/>
                    </w:rPr>
                    <w:t>2</w:t>
                  </w:r>
                  <w:r>
                    <w:rPr>
                      <w:rFonts w:hint="eastAsia" w:ascii="宋体" w:hAnsi="宋体" w:eastAsia="宋体" w:cs="宋体"/>
                      <w:sz w:val="21"/>
                      <w:szCs w:val="21"/>
                    </w:rPr>
                    <w:t>个15m排气筒（DA001</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DA002</w:t>
                  </w:r>
                  <w:r>
                    <w:rPr>
                      <w:rFonts w:hint="eastAsia" w:ascii="宋体" w:hAnsi="宋体" w:eastAsia="宋体" w:cs="宋体"/>
                      <w:sz w:val="21"/>
                      <w:szCs w:val="21"/>
                    </w:rPr>
                    <w:t>）排放</w:t>
                  </w:r>
                </w:p>
              </w:tc>
            </w:tr>
            <w:tr w14:paraId="56623C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5" w:hRule="atLeast"/>
                <w:tblHeader/>
                <w:jc w:val="center"/>
              </w:trPr>
              <w:tc>
                <w:tcPr>
                  <w:tcW w:w="1613" w:type="dxa"/>
                  <w:gridSpan w:val="2"/>
                  <w:vMerge w:val="continue"/>
                  <w:noWrap w:val="0"/>
                  <w:vAlign w:val="center"/>
                </w:tcPr>
                <w:p w14:paraId="5B9185C5">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1188" w:type="dxa"/>
                  <w:noWrap w:val="0"/>
                  <w:vAlign w:val="center"/>
                </w:tcPr>
                <w:p w14:paraId="0B10E467">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G1-4、G2-3</w:t>
                  </w:r>
                </w:p>
              </w:tc>
              <w:tc>
                <w:tcPr>
                  <w:tcW w:w="1389" w:type="dxa"/>
                  <w:noWrap w:val="0"/>
                  <w:vAlign w:val="center"/>
                </w:tcPr>
                <w:p w14:paraId="2003EA31">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固化</w:t>
                  </w:r>
                </w:p>
              </w:tc>
              <w:tc>
                <w:tcPr>
                  <w:tcW w:w="1566" w:type="dxa"/>
                  <w:noWrap w:val="0"/>
                  <w:vAlign w:val="center"/>
                </w:tcPr>
                <w:p w14:paraId="30D775A8">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非甲烷总烃</w:t>
                  </w:r>
                </w:p>
              </w:tc>
              <w:tc>
                <w:tcPr>
                  <w:tcW w:w="2582" w:type="dxa"/>
                  <w:noWrap w:val="0"/>
                  <w:vAlign w:val="center"/>
                </w:tcPr>
                <w:p w14:paraId="0A748A92">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经</w:t>
                  </w:r>
                  <w:r>
                    <w:rPr>
                      <w:rFonts w:hint="eastAsia" w:ascii="宋体" w:hAnsi="宋体" w:eastAsia="宋体" w:cs="宋体"/>
                      <w:sz w:val="21"/>
                      <w:szCs w:val="21"/>
                      <w:lang w:val="en-US" w:eastAsia="zh-CN"/>
                    </w:rPr>
                    <w:t>水喷淋+</w:t>
                  </w:r>
                  <w:r>
                    <w:rPr>
                      <w:rFonts w:hint="eastAsia" w:ascii="宋体" w:hAnsi="宋体" w:eastAsia="宋体" w:cs="宋体"/>
                      <w:sz w:val="21"/>
                      <w:szCs w:val="21"/>
                    </w:rPr>
                    <w:t>二级活性炭吸附处理后通过1个15m排气筒（DA00</w:t>
                  </w:r>
                  <w:r>
                    <w:rPr>
                      <w:rFonts w:hint="eastAsia" w:ascii="宋体" w:hAnsi="宋体" w:eastAsia="宋体" w:cs="宋体"/>
                      <w:sz w:val="21"/>
                      <w:szCs w:val="21"/>
                      <w:lang w:val="en-US" w:eastAsia="zh-CN"/>
                    </w:rPr>
                    <w:t>5</w:t>
                  </w:r>
                  <w:r>
                    <w:rPr>
                      <w:rFonts w:hint="eastAsia" w:ascii="宋体" w:hAnsi="宋体" w:eastAsia="宋体" w:cs="宋体"/>
                      <w:sz w:val="21"/>
                      <w:szCs w:val="21"/>
                    </w:rPr>
                    <w:t>）排放</w:t>
                  </w:r>
                </w:p>
              </w:tc>
            </w:tr>
            <w:tr w14:paraId="06E02F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13" w:type="dxa"/>
                  <w:gridSpan w:val="2"/>
                  <w:noWrap w:val="0"/>
                  <w:vAlign w:val="center"/>
                </w:tcPr>
                <w:p w14:paraId="160EA342">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废水</w:t>
                  </w:r>
                </w:p>
              </w:tc>
              <w:tc>
                <w:tcPr>
                  <w:tcW w:w="1188" w:type="dxa"/>
                  <w:noWrap w:val="0"/>
                  <w:vAlign w:val="center"/>
                </w:tcPr>
                <w:p w14:paraId="4892300A">
                  <w:pPr>
                    <w:keepNext w:val="0"/>
                    <w:keepLines w:val="0"/>
                    <w:suppressLineNumbers w:val="0"/>
                    <w:adjustRightInd w:val="0"/>
                    <w:snapToGrid w:val="0"/>
                    <w:spacing w:before="0" w:beforeAutospacing="0" w:after="0" w:afterAutospacing="0" w:line="240" w:lineRule="atLeast"/>
                    <w:ind w:left="0" w:leftChars="0" w:right="0" w:rightChars="0"/>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rPr>
                    <w:t>/</w:t>
                  </w:r>
                </w:p>
              </w:tc>
              <w:tc>
                <w:tcPr>
                  <w:tcW w:w="1389" w:type="dxa"/>
                  <w:noWrap w:val="0"/>
                  <w:vAlign w:val="center"/>
                </w:tcPr>
                <w:p w14:paraId="0E529143">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生活污水</w:t>
                  </w:r>
                </w:p>
              </w:tc>
              <w:tc>
                <w:tcPr>
                  <w:tcW w:w="1566" w:type="dxa"/>
                  <w:noWrap w:val="0"/>
                  <w:vAlign w:val="center"/>
                </w:tcPr>
                <w:p w14:paraId="2C59C24B">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COD、SS、氨氮、</w:t>
                  </w:r>
                </w:p>
                <w:p w14:paraId="79D78734">
                  <w:pPr>
                    <w:keepNext w:val="0"/>
                    <w:keepLines w:val="0"/>
                    <w:suppressLineNumbers w:val="0"/>
                    <w:adjustRightInd w:val="0"/>
                    <w:snapToGrid w:val="0"/>
                    <w:spacing w:before="0" w:beforeAutospacing="0" w:after="0" w:afterAutospacing="0" w:line="240" w:lineRule="atLeast"/>
                    <w:ind w:left="0" w:leftChars="0" w:right="0" w:rightChars="0"/>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rPr>
                    <w:t>总磷、总氮</w:t>
                  </w:r>
                </w:p>
              </w:tc>
              <w:tc>
                <w:tcPr>
                  <w:tcW w:w="2582" w:type="dxa"/>
                  <w:noWrap w:val="0"/>
                  <w:vAlign w:val="center"/>
                </w:tcPr>
                <w:p w14:paraId="31A8464E">
                  <w:pPr>
                    <w:keepNext w:val="0"/>
                    <w:keepLines w:val="0"/>
                    <w:suppressLineNumbers w:val="0"/>
                    <w:adjustRightInd w:val="0"/>
                    <w:snapToGrid w:val="0"/>
                    <w:spacing w:before="0" w:beforeAutospacing="0" w:after="0" w:afterAutospacing="0" w:line="240" w:lineRule="atLeast"/>
                    <w:ind w:left="0" w:leftChars="0" w:right="0" w:rightChars="0"/>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rPr>
                    <w:t>经化粪池处理后排入</w:t>
                  </w:r>
                  <w:r>
                    <w:rPr>
                      <w:rFonts w:hint="eastAsia" w:ascii="宋体" w:hAnsi="宋体" w:eastAsia="宋体" w:cs="宋体"/>
                      <w:sz w:val="21"/>
                      <w:szCs w:val="21"/>
                      <w:lang w:eastAsia="zh-CN"/>
                    </w:rPr>
                    <w:t>句容市边城镇污水处理厂</w:t>
                  </w:r>
                  <w:r>
                    <w:rPr>
                      <w:rFonts w:hint="eastAsia" w:ascii="宋体" w:hAnsi="宋体" w:eastAsia="宋体" w:cs="宋体"/>
                      <w:sz w:val="21"/>
                      <w:szCs w:val="21"/>
                    </w:rPr>
                    <w:t>处理</w:t>
                  </w:r>
                </w:p>
              </w:tc>
            </w:tr>
            <w:tr w14:paraId="279DCC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522" w:type="dxa"/>
                  <w:vMerge w:val="restart"/>
                  <w:noWrap w:val="0"/>
                  <w:vAlign w:val="center"/>
                </w:tcPr>
                <w:p w14:paraId="1C3E5B83">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固废</w:t>
                  </w:r>
                </w:p>
              </w:tc>
              <w:tc>
                <w:tcPr>
                  <w:tcW w:w="1091" w:type="dxa"/>
                  <w:noWrap w:val="0"/>
                  <w:vAlign w:val="center"/>
                </w:tcPr>
                <w:p w14:paraId="3199B529">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sz w:val="21"/>
                      <w:szCs w:val="21"/>
                    </w:rPr>
                  </w:pPr>
                  <w:r>
                    <w:rPr>
                      <w:rFonts w:hint="eastAsia" w:ascii="宋体" w:hAnsi="宋体" w:eastAsia="宋体" w:cs="宋体"/>
                      <w:kern w:val="0"/>
                      <w:sz w:val="21"/>
                      <w:szCs w:val="21"/>
                      <w:lang w:eastAsia="zh-CN"/>
                    </w:rPr>
                    <w:t>废砂</w:t>
                  </w:r>
                </w:p>
              </w:tc>
              <w:tc>
                <w:tcPr>
                  <w:tcW w:w="1188" w:type="dxa"/>
                  <w:noWrap w:val="0"/>
                  <w:vAlign w:val="center"/>
                </w:tcPr>
                <w:p w14:paraId="71178C89">
                  <w:pPr>
                    <w:keepNext w:val="0"/>
                    <w:keepLines w:val="0"/>
                    <w:suppressLineNumbers w:val="0"/>
                    <w:adjustRightInd w:val="0"/>
                    <w:snapToGrid w:val="0"/>
                    <w:spacing w:before="0" w:beforeAutospacing="0" w:after="0" w:afterAutospacing="0" w:line="240" w:lineRule="atLeast"/>
                    <w:ind w:left="0" w:leftChars="0" w:right="0" w:rightChars="0"/>
                    <w:jc w:val="center"/>
                    <w:rPr>
                      <w:rFonts w:hint="default" w:ascii="宋体" w:hAnsi="宋体" w:eastAsia="宋体" w:cs="宋体"/>
                      <w:sz w:val="21"/>
                      <w:szCs w:val="21"/>
                      <w:lang w:val="en-US"/>
                    </w:rPr>
                  </w:pPr>
                  <w:r>
                    <w:rPr>
                      <w:rFonts w:hint="eastAsia" w:ascii="宋体" w:hAnsi="宋体" w:eastAsia="宋体" w:cs="宋体"/>
                      <w:sz w:val="21"/>
                      <w:szCs w:val="21"/>
                      <w:lang w:val="en-US" w:eastAsia="zh-CN"/>
                    </w:rPr>
                    <w:t>S2-1</w:t>
                  </w:r>
                </w:p>
              </w:tc>
              <w:tc>
                <w:tcPr>
                  <w:tcW w:w="1389" w:type="dxa"/>
                  <w:noWrap w:val="0"/>
                  <w:vAlign w:val="center"/>
                </w:tcPr>
                <w:p w14:paraId="71629306">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喷砂</w:t>
                  </w:r>
                </w:p>
              </w:tc>
              <w:tc>
                <w:tcPr>
                  <w:tcW w:w="1566" w:type="dxa"/>
                  <w:noWrap w:val="0"/>
                  <w:vAlign w:val="center"/>
                </w:tcPr>
                <w:p w14:paraId="3D6896D8">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rPr>
                  </w:pPr>
                  <w:r>
                    <w:rPr>
                      <w:rFonts w:hint="eastAsia" w:ascii="宋体" w:hAnsi="宋体" w:eastAsia="宋体" w:cs="宋体"/>
                      <w:sz w:val="21"/>
                      <w:szCs w:val="21"/>
                    </w:rPr>
                    <w:t>/</w:t>
                  </w:r>
                </w:p>
              </w:tc>
              <w:tc>
                <w:tcPr>
                  <w:tcW w:w="2582" w:type="dxa"/>
                  <w:vMerge w:val="restart"/>
                  <w:noWrap w:val="0"/>
                  <w:vAlign w:val="center"/>
                </w:tcPr>
                <w:p w14:paraId="2FBB55EC">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卖给物回公司回收</w:t>
                  </w:r>
                </w:p>
              </w:tc>
            </w:tr>
            <w:tr w14:paraId="7D1A98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522" w:type="dxa"/>
                  <w:vMerge w:val="continue"/>
                  <w:noWrap w:val="0"/>
                  <w:vAlign w:val="center"/>
                </w:tcPr>
                <w:p w14:paraId="06792800">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1091" w:type="dxa"/>
                  <w:noWrap w:val="0"/>
                  <w:vAlign w:val="center"/>
                </w:tcPr>
                <w:p w14:paraId="5275C08B">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kern w:val="0"/>
                      <w:sz w:val="21"/>
                      <w:szCs w:val="21"/>
                    </w:rPr>
                    <w:t>收集粉尘</w:t>
                  </w:r>
                </w:p>
              </w:tc>
              <w:tc>
                <w:tcPr>
                  <w:tcW w:w="1188" w:type="dxa"/>
                  <w:noWrap w:val="0"/>
                  <w:vAlign w:val="center"/>
                </w:tcPr>
                <w:p w14:paraId="78B68FE4">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1389" w:type="dxa"/>
                  <w:vMerge w:val="restart"/>
                  <w:noWrap w:val="0"/>
                  <w:vAlign w:val="center"/>
                </w:tcPr>
                <w:p w14:paraId="791BA8D3">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喷砂、抛丸废气治理</w:t>
                  </w:r>
                </w:p>
              </w:tc>
              <w:tc>
                <w:tcPr>
                  <w:tcW w:w="1566" w:type="dxa"/>
                  <w:noWrap w:val="0"/>
                  <w:vAlign w:val="center"/>
                </w:tcPr>
                <w:p w14:paraId="2BB07E30">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2582" w:type="dxa"/>
                  <w:vMerge w:val="continue"/>
                  <w:noWrap w:val="0"/>
                  <w:vAlign w:val="center"/>
                </w:tcPr>
                <w:p w14:paraId="3AB96A3A">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r>
            <w:tr w14:paraId="6B1B3D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522" w:type="dxa"/>
                  <w:vMerge w:val="continue"/>
                  <w:noWrap w:val="0"/>
                  <w:vAlign w:val="center"/>
                </w:tcPr>
                <w:p w14:paraId="4B1D9B26">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1091" w:type="dxa"/>
                  <w:noWrap w:val="0"/>
                  <w:vAlign w:val="center"/>
                </w:tcPr>
                <w:p w14:paraId="6E10D5CB">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kern w:val="0"/>
                      <w:sz w:val="21"/>
                      <w:szCs w:val="21"/>
                    </w:rPr>
                    <w:t>废布袋</w:t>
                  </w:r>
                </w:p>
              </w:tc>
              <w:tc>
                <w:tcPr>
                  <w:tcW w:w="1188" w:type="dxa"/>
                  <w:noWrap w:val="0"/>
                  <w:vAlign w:val="center"/>
                </w:tcPr>
                <w:p w14:paraId="282FED93">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1389" w:type="dxa"/>
                  <w:vMerge w:val="continue"/>
                  <w:noWrap w:val="0"/>
                  <w:vAlign w:val="center"/>
                </w:tcPr>
                <w:p w14:paraId="0FAA5197">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1566" w:type="dxa"/>
                  <w:noWrap w:val="0"/>
                  <w:vAlign w:val="center"/>
                </w:tcPr>
                <w:p w14:paraId="7F25211C">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2582" w:type="dxa"/>
                  <w:vMerge w:val="continue"/>
                  <w:noWrap w:val="0"/>
                  <w:vAlign w:val="center"/>
                </w:tcPr>
                <w:p w14:paraId="1A2715B6">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r>
            <w:tr w14:paraId="2B41D3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522" w:type="dxa"/>
                  <w:vMerge w:val="continue"/>
                  <w:noWrap w:val="0"/>
                  <w:vAlign w:val="center"/>
                </w:tcPr>
                <w:p w14:paraId="52E0C675">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1091" w:type="dxa"/>
                  <w:noWrap w:val="0"/>
                  <w:vAlign w:val="center"/>
                </w:tcPr>
                <w:p w14:paraId="2794C982">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收集粉尘</w:t>
                  </w:r>
                </w:p>
              </w:tc>
              <w:tc>
                <w:tcPr>
                  <w:tcW w:w="1188" w:type="dxa"/>
                  <w:noWrap w:val="0"/>
                  <w:vAlign w:val="center"/>
                </w:tcPr>
                <w:p w14:paraId="65C79FC3">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1389" w:type="dxa"/>
                  <w:noWrap w:val="0"/>
                  <w:vAlign w:val="center"/>
                </w:tcPr>
                <w:p w14:paraId="76CD09C5">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喷粉废气治理</w:t>
                  </w:r>
                </w:p>
              </w:tc>
              <w:tc>
                <w:tcPr>
                  <w:tcW w:w="1566" w:type="dxa"/>
                  <w:noWrap w:val="0"/>
                  <w:vAlign w:val="center"/>
                </w:tcPr>
                <w:p w14:paraId="5D591C95">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582" w:type="dxa"/>
                  <w:noWrap w:val="0"/>
                  <w:vAlign w:val="center"/>
                </w:tcPr>
                <w:p w14:paraId="7D5FA34B">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回用于生产</w:t>
                  </w:r>
                </w:p>
              </w:tc>
            </w:tr>
            <w:tr w14:paraId="648A5D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522" w:type="dxa"/>
                  <w:vMerge w:val="continue"/>
                  <w:noWrap w:val="0"/>
                  <w:vAlign w:val="center"/>
                </w:tcPr>
                <w:p w14:paraId="36ABEFBE">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1091" w:type="dxa"/>
                  <w:noWrap w:val="0"/>
                  <w:vAlign w:val="center"/>
                </w:tcPr>
                <w:p w14:paraId="4398D081">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sz w:val="21"/>
                      <w:szCs w:val="21"/>
                    </w:rPr>
                  </w:pPr>
                  <w:r>
                    <w:rPr>
                      <w:rFonts w:hint="eastAsia" w:ascii="宋体" w:hAnsi="宋体" w:eastAsia="宋体" w:cs="宋体"/>
                      <w:sz w:val="21"/>
                      <w:szCs w:val="21"/>
                    </w:rPr>
                    <w:t>废脱脂液</w:t>
                  </w:r>
                </w:p>
              </w:tc>
              <w:tc>
                <w:tcPr>
                  <w:tcW w:w="1188" w:type="dxa"/>
                  <w:noWrap w:val="0"/>
                  <w:vAlign w:val="center"/>
                </w:tcPr>
                <w:p w14:paraId="4743ACCA">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sz w:val="21"/>
                      <w:szCs w:val="21"/>
                    </w:rPr>
                  </w:pPr>
                  <w:r>
                    <w:rPr>
                      <w:rFonts w:hint="eastAsia" w:ascii="宋体" w:hAnsi="宋体" w:eastAsia="宋体" w:cs="宋体"/>
                      <w:sz w:val="21"/>
                      <w:szCs w:val="21"/>
                    </w:rPr>
                    <w:t>S1-</w:t>
                  </w:r>
                  <w:r>
                    <w:rPr>
                      <w:rFonts w:hint="eastAsia" w:ascii="宋体" w:hAnsi="宋体" w:eastAsia="宋体" w:cs="宋体"/>
                      <w:sz w:val="21"/>
                      <w:szCs w:val="21"/>
                      <w:lang w:val="en-US" w:eastAsia="zh-CN"/>
                    </w:rPr>
                    <w:t>1</w:t>
                  </w:r>
                </w:p>
              </w:tc>
              <w:tc>
                <w:tcPr>
                  <w:tcW w:w="1389" w:type="dxa"/>
                  <w:noWrap w:val="0"/>
                  <w:vAlign w:val="center"/>
                </w:tcPr>
                <w:p w14:paraId="45E325EA">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sz w:val="21"/>
                      <w:szCs w:val="21"/>
                      <w:lang w:eastAsia="zh-CN"/>
                    </w:rPr>
                  </w:pPr>
                  <w:r>
                    <w:rPr>
                      <w:rFonts w:hint="eastAsia" w:ascii="宋体" w:hAnsi="宋体" w:eastAsia="宋体" w:cs="宋体"/>
                      <w:sz w:val="21"/>
                      <w:szCs w:val="21"/>
                    </w:rPr>
                    <w:t>脱脂</w:t>
                  </w:r>
                </w:p>
              </w:tc>
              <w:tc>
                <w:tcPr>
                  <w:tcW w:w="1566" w:type="dxa"/>
                  <w:noWrap w:val="0"/>
                  <w:vAlign w:val="center"/>
                </w:tcPr>
                <w:p w14:paraId="7433798C">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2582" w:type="dxa"/>
                  <w:vMerge w:val="restart"/>
                  <w:noWrap w:val="0"/>
                  <w:vAlign w:val="center"/>
                </w:tcPr>
                <w:p w14:paraId="791F531D">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委托有资质单位处理</w:t>
                  </w:r>
                </w:p>
              </w:tc>
            </w:tr>
            <w:tr w14:paraId="69274A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522" w:type="dxa"/>
                  <w:vMerge w:val="continue"/>
                  <w:noWrap w:val="0"/>
                  <w:vAlign w:val="center"/>
                </w:tcPr>
                <w:p w14:paraId="15B739A9">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1091" w:type="dxa"/>
                  <w:noWrap w:val="0"/>
                  <w:vAlign w:val="center"/>
                </w:tcPr>
                <w:p w14:paraId="2776B8F2">
                  <w:pPr>
                    <w:keepNext w:val="0"/>
                    <w:keepLines w:val="0"/>
                    <w:suppressLineNumbers w:val="0"/>
                    <w:adjustRightInd w:val="0"/>
                    <w:snapToGrid w:val="0"/>
                    <w:spacing w:before="0" w:beforeAutospacing="0" w:after="0" w:afterAutospacing="0" w:line="240" w:lineRule="atLeast"/>
                    <w:ind w:left="0" w:leftChars="0" w:right="0" w:right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水洗废液</w:t>
                  </w:r>
                </w:p>
              </w:tc>
              <w:tc>
                <w:tcPr>
                  <w:tcW w:w="1188" w:type="dxa"/>
                  <w:noWrap w:val="0"/>
                  <w:vAlign w:val="center"/>
                </w:tcPr>
                <w:p w14:paraId="508C46A8">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sz w:val="21"/>
                      <w:szCs w:val="21"/>
                    </w:rPr>
                    <w:t>S1-</w:t>
                  </w:r>
                  <w:r>
                    <w:rPr>
                      <w:rFonts w:hint="eastAsia" w:ascii="宋体" w:hAnsi="宋体" w:eastAsia="宋体" w:cs="宋体"/>
                      <w:sz w:val="21"/>
                      <w:szCs w:val="21"/>
                      <w:lang w:val="en-US" w:eastAsia="zh-CN"/>
                    </w:rPr>
                    <w:t>2</w:t>
                  </w:r>
                </w:p>
              </w:tc>
              <w:tc>
                <w:tcPr>
                  <w:tcW w:w="1389" w:type="dxa"/>
                  <w:noWrap w:val="0"/>
                  <w:vAlign w:val="center"/>
                </w:tcPr>
                <w:p w14:paraId="1684E770">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水洗</w:t>
                  </w:r>
                </w:p>
              </w:tc>
              <w:tc>
                <w:tcPr>
                  <w:tcW w:w="1566" w:type="dxa"/>
                  <w:noWrap w:val="0"/>
                  <w:vAlign w:val="center"/>
                </w:tcPr>
                <w:p w14:paraId="01F64329">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582" w:type="dxa"/>
                  <w:vMerge w:val="continue"/>
                  <w:noWrap w:val="0"/>
                  <w:vAlign w:val="center"/>
                </w:tcPr>
                <w:p w14:paraId="1748F6D0">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r>
            <w:tr w14:paraId="04B033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522" w:type="dxa"/>
                  <w:vMerge w:val="continue"/>
                  <w:noWrap w:val="0"/>
                  <w:vAlign w:val="center"/>
                </w:tcPr>
                <w:p w14:paraId="2FE8D8CA">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1091" w:type="dxa"/>
                  <w:noWrap w:val="0"/>
                  <w:vAlign w:val="center"/>
                </w:tcPr>
                <w:p w14:paraId="506C4147">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废</w:t>
                  </w:r>
                  <w:r>
                    <w:rPr>
                      <w:rFonts w:hint="eastAsia" w:ascii="宋体" w:hAnsi="宋体" w:eastAsia="宋体" w:cs="宋体"/>
                      <w:sz w:val="21"/>
                      <w:szCs w:val="21"/>
                      <w:lang w:eastAsia="zh-CN"/>
                    </w:rPr>
                    <w:t>硅烷处理剂</w:t>
                  </w:r>
                </w:p>
              </w:tc>
              <w:tc>
                <w:tcPr>
                  <w:tcW w:w="1188" w:type="dxa"/>
                  <w:noWrap w:val="0"/>
                  <w:vAlign w:val="center"/>
                </w:tcPr>
                <w:p w14:paraId="5B07E653">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S1-</w:t>
                  </w:r>
                  <w:r>
                    <w:rPr>
                      <w:rFonts w:hint="eastAsia" w:ascii="宋体" w:hAnsi="宋体" w:eastAsia="宋体" w:cs="宋体"/>
                      <w:sz w:val="21"/>
                      <w:szCs w:val="21"/>
                      <w:lang w:val="en-US" w:eastAsia="zh-CN"/>
                    </w:rPr>
                    <w:t>3</w:t>
                  </w:r>
                </w:p>
              </w:tc>
              <w:tc>
                <w:tcPr>
                  <w:tcW w:w="1389" w:type="dxa"/>
                  <w:noWrap w:val="0"/>
                  <w:vAlign w:val="center"/>
                </w:tcPr>
                <w:p w14:paraId="5CF9642C">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硅烷</w:t>
                  </w:r>
                </w:p>
              </w:tc>
              <w:tc>
                <w:tcPr>
                  <w:tcW w:w="1566" w:type="dxa"/>
                  <w:noWrap w:val="0"/>
                  <w:vAlign w:val="center"/>
                </w:tcPr>
                <w:p w14:paraId="40F66B90">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2582" w:type="dxa"/>
                  <w:vMerge w:val="continue"/>
                  <w:noWrap w:val="0"/>
                  <w:vAlign w:val="center"/>
                </w:tcPr>
                <w:p w14:paraId="48ED48A9">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r>
            <w:tr w14:paraId="626243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522" w:type="dxa"/>
                  <w:vMerge w:val="continue"/>
                  <w:noWrap w:val="0"/>
                  <w:vAlign w:val="center"/>
                </w:tcPr>
                <w:p w14:paraId="74C3D76C">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1091" w:type="dxa"/>
                  <w:noWrap w:val="0"/>
                  <w:vAlign w:val="center"/>
                </w:tcPr>
                <w:p w14:paraId="1313889F">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kern w:val="0"/>
                      <w:sz w:val="21"/>
                      <w:szCs w:val="21"/>
                    </w:rPr>
                  </w:pPr>
                  <w:r>
                    <w:rPr>
                      <w:rFonts w:hint="eastAsia" w:ascii="宋体" w:hAnsi="宋体" w:eastAsia="宋体" w:cs="宋体"/>
                      <w:sz w:val="21"/>
                      <w:szCs w:val="21"/>
                    </w:rPr>
                    <w:t>槽渣</w:t>
                  </w:r>
                </w:p>
              </w:tc>
              <w:tc>
                <w:tcPr>
                  <w:tcW w:w="1188" w:type="dxa"/>
                  <w:noWrap w:val="0"/>
                  <w:vAlign w:val="center"/>
                </w:tcPr>
                <w:p w14:paraId="75282998">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1389" w:type="dxa"/>
                  <w:noWrap w:val="0"/>
                  <w:vAlign w:val="center"/>
                </w:tcPr>
                <w:p w14:paraId="383D7903">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eastAsia="zh-CN"/>
                    </w:rPr>
                  </w:pPr>
                  <w:r>
                    <w:rPr>
                      <w:rFonts w:hint="eastAsia" w:ascii="宋体" w:hAnsi="宋体" w:eastAsia="宋体" w:cs="宋体"/>
                      <w:sz w:val="21"/>
                      <w:szCs w:val="21"/>
                    </w:rPr>
                    <w:t>脱脂、</w:t>
                  </w:r>
                  <w:r>
                    <w:rPr>
                      <w:rFonts w:hint="eastAsia" w:ascii="宋体" w:hAnsi="宋体" w:eastAsia="宋体" w:cs="宋体"/>
                      <w:sz w:val="21"/>
                      <w:szCs w:val="21"/>
                      <w:lang w:val="en-US" w:eastAsia="zh-CN"/>
                    </w:rPr>
                    <w:t>硅烷</w:t>
                  </w:r>
                </w:p>
              </w:tc>
              <w:tc>
                <w:tcPr>
                  <w:tcW w:w="1566" w:type="dxa"/>
                  <w:noWrap w:val="0"/>
                  <w:vAlign w:val="center"/>
                </w:tcPr>
                <w:p w14:paraId="11D2FC6B">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582" w:type="dxa"/>
                  <w:vMerge w:val="continue"/>
                  <w:noWrap w:val="0"/>
                  <w:vAlign w:val="center"/>
                </w:tcPr>
                <w:p w14:paraId="74004F86">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r>
            <w:tr w14:paraId="50A1F6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522" w:type="dxa"/>
                  <w:vMerge w:val="continue"/>
                  <w:noWrap w:val="0"/>
                  <w:vAlign w:val="center"/>
                </w:tcPr>
                <w:p w14:paraId="2DB5B68C">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1091" w:type="dxa"/>
                  <w:noWrap w:val="0"/>
                  <w:vAlign w:val="center"/>
                </w:tcPr>
                <w:p w14:paraId="48E9A0C2">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kern w:val="0"/>
                      <w:sz w:val="21"/>
                      <w:szCs w:val="21"/>
                    </w:rPr>
                    <w:t>废包装桶</w:t>
                  </w:r>
                </w:p>
              </w:tc>
              <w:tc>
                <w:tcPr>
                  <w:tcW w:w="1188" w:type="dxa"/>
                  <w:noWrap w:val="0"/>
                  <w:vAlign w:val="center"/>
                </w:tcPr>
                <w:p w14:paraId="06B912C6">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1389" w:type="dxa"/>
                  <w:noWrap w:val="0"/>
                  <w:vAlign w:val="center"/>
                </w:tcPr>
                <w:p w14:paraId="38A54F65">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原料包装</w:t>
                  </w:r>
                </w:p>
              </w:tc>
              <w:tc>
                <w:tcPr>
                  <w:tcW w:w="1566" w:type="dxa"/>
                  <w:noWrap w:val="0"/>
                  <w:vAlign w:val="center"/>
                </w:tcPr>
                <w:p w14:paraId="1DD7EFEE">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582" w:type="dxa"/>
                  <w:vMerge w:val="continue"/>
                  <w:noWrap w:val="0"/>
                  <w:vAlign w:val="center"/>
                </w:tcPr>
                <w:p w14:paraId="68CBB233">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r>
            <w:tr w14:paraId="1A8DB2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522" w:type="dxa"/>
                  <w:vMerge w:val="continue"/>
                  <w:noWrap w:val="0"/>
                  <w:vAlign w:val="center"/>
                </w:tcPr>
                <w:p w14:paraId="65259C84">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1091" w:type="dxa"/>
                  <w:noWrap w:val="0"/>
                  <w:vAlign w:val="center"/>
                </w:tcPr>
                <w:p w14:paraId="7C67A613">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eastAsia="zh-CN"/>
                    </w:rPr>
                  </w:pPr>
                  <w:r>
                    <w:rPr>
                      <w:rFonts w:hint="eastAsia" w:ascii="宋体" w:hAnsi="宋体" w:eastAsia="宋体" w:cs="宋体"/>
                      <w:kern w:val="0"/>
                      <w:sz w:val="21"/>
                      <w:szCs w:val="21"/>
                      <w:lang w:val="en-US" w:eastAsia="zh-CN"/>
                    </w:rPr>
                    <w:t>污泥</w:t>
                  </w:r>
                </w:p>
              </w:tc>
              <w:tc>
                <w:tcPr>
                  <w:tcW w:w="1188" w:type="dxa"/>
                  <w:noWrap w:val="0"/>
                  <w:vAlign w:val="center"/>
                </w:tcPr>
                <w:p w14:paraId="24A8358D">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1389" w:type="dxa"/>
                  <w:noWrap w:val="0"/>
                  <w:vAlign w:val="center"/>
                </w:tcPr>
                <w:p w14:paraId="22E407AC">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污水处理站</w:t>
                  </w:r>
                </w:p>
              </w:tc>
              <w:tc>
                <w:tcPr>
                  <w:tcW w:w="1566" w:type="dxa"/>
                  <w:noWrap w:val="0"/>
                  <w:vAlign w:val="center"/>
                </w:tcPr>
                <w:p w14:paraId="2AF7C8C5">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582" w:type="dxa"/>
                  <w:vMerge w:val="continue"/>
                  <w:noWrap w:val="0"/>
                  <w:vAlign w:val="center"/>
                </w:tcPr>
                <w:p w14:paraId="3466BF82">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r>
            <w:tr w14:paraId="678D7F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522" w:type="dxa"/>
                  <w:vMerge w:val="continue"/>
                  <w:noWrap w:val="0"/>
                  <w:vAlign w:val="center"/>
                </w:tcPr>
                <w:p w14:paraId="13C31CC6">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1091" w:type="dxa"/>
                  <w:noWrap w:val="0"/>
                  <w:vAlign w:val="center"/>
                </w:tcPr>
                <w:p w14:paraId="5EE7382F">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废活性炭</w:t>
                  </w:r>
                </w:p>
              </w:tc>
              <w:tc>
                <w:tcPr>
                  <w:tcW w:w="1188" w:type="dxa"/>
                  <w:noWrap w:val="0"/>
                  <w:vAlign w:val="center"/>
                </w:tcPr>
                <w:p w14:paraId="0DDDCAD8">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rPr>
                  </w:pPr>
                  <w:r>
                    <w:rPr>
                      <w:rFonts w:hint="eastAsia" w:ascii="宋体" w:hAnsi="宋体" w:eastAsia="宋体" w:cs="宋体"/>
                      <w:sz w:val="21"/>
                      <w:szCs w:val="21"/>
                    </w:rPr>
                    <w:t>/</w:t>
                  </w:r>
                </w:p>
              </w:tc>
              <w:tc>
                <w:tcPr>
                  <w:tcW w:w="1389" w:type="dxa"/>
                  <w:noWrap w:val="0"/>
                  <w:vAlign w:val="center"/>
                </w:tcPr>
                <w:p w14:paraId="49D76C68">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废气治理</w:t>
                  </w:r>
                </w:p>
              </w:tc>
              <w:tc>
                <w:tcPr>
                  <w:tcW w:w="1566" w:type="dxa"/>
                  <w:noWrap w:val="0"/>
                  <w:vAlign w:val="center"/>
                </w:tcPr>
                <w:p w14:paraId="4A5FA61D">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582" w:type="dxa"/>
                  <w:vMerge w:val="continue"/>
                  <w:noWrap w:val="0"/>
                  <w:vAlign w:val="center"/>
                </w:tcPr>
                <w:p w14:paraId="3B0A91AF">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r>
            <w:tr w14:paraId="2939B9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522" w:type="dxa"/>
                  <w:vMerge w:val="continue"/>
                  <w:noWrap w:val="0"/>
                  <w:vAlign w:val="center"/>
                </w:tcPr>
                <w:p w14:paraId="2EBEAD9C">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1091" w:type="dxa"/>
                  <w:noWrap w:val="0"/>
                  <w:vAlign w:val="center"/>
                </w:tcPr>
                <w:p w14:paraId="425ED21D">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生活垃圾</w:t>
                  </w:r>
                </w:p>
              </w:tc>
              <w:tc>
                <w:tcPr>
                  <w:tcW w:w="1188" w:type="dxa"/>
                  <w:noWrap w:val="0"/>
                  <w:vAlign w:val="center"/>
                </w:tcPr>
                <w:p w14:paraId="3911DD8B">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1389" w:type="dxa"/>
                  <w:noWrap w:val="0"/>
                  <w:vAlign w:val="center"/>
                </w:tcPr>
                <w:p w14:paraId="30883E50">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职工活动</w:t>
                  </w:r>
                </w:p>
              </w:tc>
              <w:tc>
                <w:tcPr>
                  <w:tcW w:w="1566" w:type="dxa"/>
                  <w:noWrap w:val="0"/>
                  <w:vAlign w:val="center"/>
                </w:tcPr>
                <w:p w14:paraId="6AFF956D">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2582" w:type="dxa"/>
                  <w:noWrap w:val="0"/>
                  <w:vAlign w:val="center"/>
                </w:tcPr>
                <w:p w14:paraId="7B6EA770">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环卫部门统一处置</w:t>
                  </w:r>
                </w:p>
              </w:tc>
            </w:tr>
          </w:tbl>
          <w:p w14:paraId="6B8FDBE1">
            <w:pPr>
              <w:pStyle w:val="13"/>
              <w:keepNext w:val="0"/>
              <w:keepLines w:val="0"/>
              <w:suppressLineNumbers w:val="0"/>
              <w:spacing w:before="0" w:beforeAutospacing="0" w:after="0" w:afterAutospacing="0"/>
              <w:ind w:left="0" w:right="0" w:firstLine="420"/>
              <w:rPr>
                <w:rFonts w:hint="eastAsia" w:cs="Times New Roman"/>
              </w:rPr>
            </w:pPr>
          </w:p>
          <w:p w14:paraId="415EFC41">
            <w:pPr>
              <w:pStyle w:val="10"/>
              <w:keepNext w:val="0"/>
              <w:keepLines w:val="0"/>
              <w:suppressLineNumbers w:val="0"/>
              <w:adjustRightInd w:val="0"/>
              <w:snapToGrid w:val="0"/>
              <w:spacing w:before="0" w:beforeAutospacing="0" w:after="0" w:afterAutospacing="0"/>
              <w:ind w:left="0" w:right="0"/>
              <w:rPr>
                <w:rFonts w:hint="default" w:ascii="宋体" w:hAnsi="宋体" w:eastAsia="宋体" w:cs="宋体"/>
              </w:rPr>
            </w:pPr>
            <w:r>
              <w:rPr>
                <w:rFonts w:hint="eastAsia" w:ascii="宋体" w:hAnsi="宋体" w:eastAsia="宋体" w:cs="宋体"/>
                <w:b/>
                <w:bCs/>
              </w:rPr>
              <w:t>二、塑粉物料平衡</w:t>
            </w:r>
          </w:p>
          <w:p w14:paraId="755D353F">
            <w:pPr>
              <w:keepNext w:val="0"/>
              <w:keepLines w:val="0"/>
              <w:widowControl/>
              <w:suppressLineNumbers w:val="0"/>
              <w:spacing w:before="0" w:beforeAutospacing="0" w:after="0" w:afterAutospacing="0"/>
              <w:ind w:left="0" w:right="0" w:firstLine="480" w:firstLineChars="200"/>
              <w:outlineLvl w:val="0"/>
              <w:rPr>
                <w:rFonts w:hint="eastAsia" w:ascii="宋体" w:hAnsi="宋体" w:eastAsia="宋体" w:cs="宋体"/>
                <w:u w:val="none"/>
              </w:rPr>
            </w:pPr>
            <w:r>
              <w:rPr>
                <w:rFonts w:hint="eastAsia" w:ascii="宋体" w:hAnsi="宋体" w:eastAsia="宋体" w:cs="宋体"/>
                <w:u w:val="none"/>
              </w:rPr>
              <w:t>本项目对工件进行喷塑处理，喷涂厚度为0.0</w:t>
            </w:r>
            <w:r>
              <w:rPr>
                <w:rFonts w:hint="eastAsia" w:ascii="宋体" w:hAnsi="宋体" w:eastAsia="宋体" w:cs="宋体"/>
                <w:u w:val="none"/>
                <w:lang w:val="en-US" w:eastAsia="zh-CN"/>
              </w:rPr>
              <w:t>65</w:t>
            </w:r>
            <w:r>
              <w:rPr>
                <w:rFonts w:hint="eastAsia" w:ascii="宋体" w:hAnsi="宋体" w:eastAsia="宋体" w:cs="宋体"/>
                <w:u w:val="none"/>
              </w:rPr>
              <w:t>mm，喷涂参数见表2-</w:t>
            </w:r>
            <w:r>
              <w:rPr>
                <w:rFonts w:hint="eastAsia" w:ascii="宋体" w:hAnsi="宋体" w:eastAsia="宋体" w:cs="宋体"/>
                <w:u w:val="none"/>
                <w:lang w:val="en-US" w:eastAsia="zh-CN"/>
              </w:rPr>
              <w:t>8</w:t>
            </w:r>
            <w:r>
              <w:rPr>
                <w:rFonts w:hint="eastAsia" w:ascii="宋体" w:hAnsi="宋体" w:eastAsia="宋体" w:cs="宋体"/>
                <w:u w:val="none"/>
              </w:rPr>
              <w:t>。</w:t>
            </w:r>
          </w:p>
          <w:p w14:paraId="66A495C7">
            <w:pPr>
              <w:keepNext w:val="0"/>
              <w:keepLines w:val="0"/>
              <w:widowControl/>
              <w:suppressLineNumbers w:val="0"/>
              <w:spacing w:before="0" w:beforeAutospacing="0" w:after="0" w:afterAutospacing="0"/>
              <w:ind w:left="0" w:right="0" w:firstLine="482" w:firstLineChars="200"/>
              <w:jc w:val="center"/>
              <w:outlineLvl w:val="0"/>
              <w:rPr>
                <w:rFonts w:hint="eastAsia" w:ascii="宋体" w:hAnsi="宋体" w:eastAsia="宋体" w:cs="宋体"/>
                <w:u w:val="none"/>
              </w:rPr>
            </w:pPr>
            <w:r>
              <w:rPr>
                <w:rFonts w:hint="eastAsia" w:ascii="宋体" w:hAnsi="宋体" w:eastAsia="宋体" w:cs="宋体"/>
                <w:b/>
                <w:bCs/>
                <w:u w:val="none"/>
              </w:rPr>
              <w:t>表 2-</w:t>
            </w:r>
            <w:r>
              <w:rPr>
                <w:rFonts w:hint="eastAsia" w:ascii="宋体" w:hAnsi="宋体" w:eastAsia="宋体" w:cs="宋体"/>
                <w:b/>
                <w:bCs/>
                <w:u w:val="none"/>
                <w:lang w:val="en-US" w:eastAsia="zh-CN"/>
              </w:rPr>
              <w:t>8</w:t>
            </w:r>
            <w:r>
              <w:rPr>
                <w:rFonts w:hint="eastAsia" w:ascii="宋体" w:hAnsi="宋体" w:eastAsia="宋体" w:cs="宋体"/>
                <w:b/>
                <w:bCs/>
                <w:u w:val="none"/>
              </w:rPr>
              <w:t xml:space="preserve"> 本项目树脂粉末涂料原料用量核算表</w:t>
            </w:r>
          </w:p>
          <w:tbl>
            <w:tblPr>
              <w:tblStyle w:val="30"/>
              <w:tblW w:w="824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366"/>
              <w:gridCol w:w="1176"/>
              <w:gridCol w:w="971"/>
              <w:gridCol w:w="1191"/>
              <w:gridCol w:w="1294"/>
              <w:gridCol w:w="1250"/>
              <w:gridCol w:w="998"/>
            </w:tblGrid>
            <w:tr w14:paraId="027582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66" w:type="dxa"/>
                  <w:noWrap w:val="0"/>
                  <w:vAlign w:val="center"/>
                </w:tcPr>
                <w:p w14:paraId="695AF723">
                  <w:pPr>
                    <w:keepNext w:val="0"/>
                    <w:keepLines w:val="0"/>
                    <w:widowControl/>
                    <w:suppressLineNumbers w:val="0"/>
                    <w:kinsoku w:val="0"/>
                    <w:autoSpaceDE w:val="0"/>
                    <w:autoSpaceDN w:val="0"/>
                    <w:spacing w:before="0" w:beforeAutospacing="0" w:after="0" w:afterAutospacing="0" w:line="240" w:lineRule="atLeast"/>
                    <w:ind w:left="0" w:right="0" w:firstLine="66"/>
                    <w:jc w:val="center"/>
                    <w:textAlignment w:val="baseline"/>
                    <w:rPr>
                      <w:rFonts w:hint="eastAsia" w:ascii="宋体" w:hAnsi="宋体" w:eastAsia="宋体" w:cs="宋体"/>
                      <w:snapToGrid w:val="0"/>
                      <w:kern w:val="0"/>
                      <w:sz w:val="21"/>
                      <w:szCs w:val="21"/>
                      <w:u w:val="none"/>
                    </w:rPr>
                  </w:pPr>
                  <w:r>
                    <w:rPr>
                      <w:rFonts w:hint="eastAsia" w:ascii="宋体" w:hAnsi="宋体" w:eastAsia="宋体" w:cs="宋体"/>
                      <w:snapToGrid w:val="0"/>
                      <w:kern w:val="0"/>
                      <w:sz w:val="21"/>
                      <w:szCs w:val="21"/>
                      <w:u w:val="none"/>
                    </w:rPr>
                    <w:t>喷涂面积</w:t>
                  </w:r>
                </w:p>
                <w:p w14:paraId="5D2C6FCA">
                  <w:pPr>
                    <w:keepNext w:val="0"/>
                    <w:keepLines w:val="0"/>
                    <w:widowControl/>
                    <w:suppressLineNumbers w:val="0"/>
                    <w:kinsoku w:val="0"/>
                    <w:autoSpaceDE w:val="0"/>
                    <w:autoSpaceDN w:val="0"/>
                    <w:spacing w:before="0" w:beforeAutospacing="0" w:after="0" w:afterAutospacing="0" w:line="240" w:lineRule="atLeast"/>
                    <w:ind w:left="0" w:right="0" w:firstLine="66"/>
                    <w:jc w:val="center"/>
                    <w:textAlignment w:val="baseline"/>
                    <w:rPr>
                      <w:rFonts w:hint="eastAsia" w:ascii="宋体" w:hAnsi="宋体" w:eastAsia="宋体" w:cs="宋体"/>
                      <w:snapToGrid w:val="0"/>
                      <w:kern w:val="0"/>
                      <w:sz w:val="21"/>
                      <w:szCs w:val="21"/>
                      <w:u w:val="none"/>
                    </w:rPr>
                  </w:pPr>
                  <w:r>
                    <w:rPr>
                      <w:rFonts w:hint="eastAsia" w:ascii="宋体" w:hAnsi="宋体" w:eastAsia="宋体" w:cs="宋体"/>
                      <w:snapToGrid w:val="0"/>
                      <w:kern w:val="0"/>
                      <w:sz w:val="21"/>
                      <w:szCs w:val="21"/>
                      <w:u w:val="none"/>
                    </w:rPr>
                    <w:t>（m</w:t>
                  </w:r>
                  <w:r>
                    <w:rPr>
                      <w:rFonts w:hint="eastAsia" w:ascii="宋体" w:hAnsi="宋体" w:eastAsia="宋体" w:cs="宋体"/>
                      <w:snapToGrid w:val="0"/>
                      <w:kern w:val="0"/>
                      <w:sz w:val="21"/>
                      <w:szCs w:val="21"/>
                      <w:u w:val="none"/>
                      <w:vertAlign w:val="superscript"/>
                    </w:rPr>
                    <w:t>2</w:t>
                  </w:r>
                  <w:r>
                    <w:rPr>
                      <w:rFonts w:hint="eastAsia" w:ascii="宋体" w:hAnsi="宋体" w:eastAsia="宋体" w:cs="宋体"/>
                      <w:snapToGrid w:val="0"/>
                      <w:kern w:val="0"/>
                      <w:sz w:val="21"/>
                      <w:szCs w:val="21"/>
                      <w:u w:val="none"/>
                    </w:rPr>
                    <w:t>/a）</w:t>
                  </w:r>
                </w:p>
              </w:tc>
              <w:tc>
                <w:tcPr>
                  <w:tcW w:w="1176" w:type="dxa"/>
                  <w:noWrap w:val="0"/>
                  <w:vAlign w:val="center"/>
                </w:tcPr>
                <w:p w14:paraId="79127AF5">
                  <w:pPr>
                    <w:keepNext w:val="0"/>
                    <w:keepLines w:val="0"/>
                    <w:widowControl/>
                    <w:suppressLineNumbers w:val="0"/>
                    <w:kinsoku w:val="0"/>
                    <w:autoSpaceDE w:val="0"/>
                    <w:autoSpaceDN w:val="0"/>
                    <w:spacing w:before="0" w:beforeAutospacing="0" w:after="0" w:afterAutospacing="0" w:line="240" w:lineRule="atLeast"/>
                    <w:ind w:left="0" w:right="0" w:firstLine="169"/>
                    <w:jc w:val="center"/>
                    <w:textAlignment w:val="baseline"/>
                    <w:rPr>
                      <w:rFonts w:hint="eastAsia" w:ascii="宋体" w:hAnsi="宋体" w:eastAsia="宋体" w:cs="宋体"/>
                      <w:snapToGrid w:val="0"/>
                      <w:kern w:val="0"/>
                      <w:sz w:val="21"/>
                      <w:szCs w:val="21"/>
                      <w:u w:val="none"/>
                    </w:rPr>
                  </w:pPr>
                  <w:r>
                    <w:rPr>
                      <w:rFonts w:hint="eastAsia" w:ascii="宋体" w:hAnsi="宋体" w:eastAsia="宋体" w:cs="宋体"/>
                      <w:snapToGrid w:val="0"/>
                      <w:kern w:val="0"/>
                      <w:sz w:val="21"/>
                      <w:szCs w:val="21"/>
                      <w:u w:val="none"/>
                    </w:rPr>
                    <w:t>喷涂厚度</w:t>
                  </w:r>
                </w:p>
                <w:p w14:paraId="73AA847E">
                  <w:pPr>
                    <w:keepNext w:val="0"/>
                    <w:keepLines w:val="0"/>
                    <w:widowControl/>
                    <w:suppressLineNumbers w:val="0"/>
                    <w:kinsoku w:val="0"/>
                    <w:autoSpaceDE w:val="0"/>
                    <w:autoSpaceDN w:val="0"/>
                    <w:spacing w:before="0" w:beforeAutospacing="0" w:after="0" w:afterAutospacing="0" w:line="240" w:lineRule="atLeast"/>
                    <w:ind w:left="0" w:right="0"/>
                    <w:jc w:val="center"/>
                    <w:textAlignment w:val="baseline"/>
                    <w:rPr>
                      <w:rFonts w:hint="eastAsia" w:ascii="宋体" w:hAnsi="宋体" w:eastAsia="宋体" w:cs="宋体"/>
                      <w:snapToGrid w:val="0"/>
                      <w:kern w:val="0"/>
                      <w:sz w:val="21"/>
                      <w:szCs w:val="21"/>
                      <w:u w:val="none"/>
                    </w:rPr>
                  </w:pPr>
                  <w:r>
                    <w:rPr>
                      <w:rFonts w:hint="eastAsia" w:ascii="宋体" w:hAnsi="宋体" w:eastAsia="宋体" w:cs="宋体"/>
                      <w:snapToGrid w:val="0"/>
                      <w:kern w:val="0"/>
                      <w:sz w:val="21"/>
                      <w:szCs w:val="21"/>
                      <w:u w:val="none"/>
                    </w:rPr>
                    <w:t>（mm）</w:t>
                  </w:r>
                </w:p>
              </w:tc>
              <w:tc>
                <w:tcPr>
                  <w:tcW w:w="971" w:type="dxa"/>
                  <w:noWrap w:val="0"/>
                  <w:vAlign w:val="center"/>
                </w:tcPr>
                <w:p w14:paraId="5499797D">
                  <w:pPr>
                    <w:keepNext w:val="0"/>
                    <w:keepLines w:val="0"/>
                    <w:widowControl/>
                    <w:suppressLineNumbers w:val="0"/>
                    <w:kinsoku w:val="0"/>
                    <w:autoSpaceDE w:val="0"/>
                    <w:autoSpaceDN w:val="0"/>
                    <w:spacing w:before="0" w:beforeAutospacing="0" w:after="0" w:afterAutospacing="0" w:line="240" w:lineRule="atLeast"/>
                    <w:ind w:left="0" w:right="0" w:firstLine="47"/>
                    <w:jc w:val="center"/>
                    <w:textAlignment w:val="baseline"/>
                    <w:rPr>
                      <w:rFonts w:hint="eastAsia" w:ascii="宋体" w:hAnsi="宋体" w:eastAsia="宋体" w:cs="宋体"/>
                      <w:snapToGrid w:val="0"/>
                      <w:kern w:val="0"/>
                      <w:sz w:val="21"/>
                      <w:szCs w:val="21"/>
                      <w:u w:val="none"/>
                    </w:rPr>
                  </w:pPr>
                  <w:r>
                    <w:rPr>
                      <w:rFonts w:hint="eastAsia" w:ascii="宋体" w:hAnsi="宋体" w:eastAsia="宋体" w:cs="宋体"/>
                      <w:snapToGrid w:val="0"/>
                      <w:kern w:val="0"/>
                      <w:sz w:val="21"/>
                      <w:szCs w:val="21"/>
                      <w:u w:val="none"/>
                    </w:rPr>
                    <w:t>涂料密度</w:t>
                  </w:r>
                </w:p>
                <w:p w14:paraId="58C73E7B">
                  <w:pPr>
                    <w:keepNext w:val="0"/>
                    <w:keepLines w:val="0"/>
                    <w:widowControl/>
                    <w:suppressLineNumbers w:val="0"/>
                    <w:kinsoku w:val="0"/>
                    <w:autoSpaceDE w:val="0"/>
                    <w:autoSpaceDN w:val="0"/>
                    <w:spacing w:before="0" w:beforeAutospacing="0" w:after="0" w:afterAutospacing="0" w:line="240" w:lineRule="atLeast"/>
                    <w:ind w:left="0" w:right="0" w:firstLine="47"/>
                    <w:jc w:val="center"/>
                    <w:textAlignment w:val="baseline"/>
                    <w:rPr>
                      <w:rFonts w:hint="eastAsia" w:ascii="宋体" w:hAnsi="宋体" w:eastAsia="宋体" w:cs="宋体"/>
                      <w:snapToGrid w:val="0"/>
                      <w:kern w:val="0"/>
                      <w:sz w:val="21"/>
                      <w:szCs w:val="21"/>
                      <w:u w:val="none"/>
                    </w:rPr>
                  </w:pPr>
                  <w:r>
                    <w:rPr>
                      <w:rFonts w:hint="eastAsia" w:ascii="宋体" w:hAnsi="宋体" w:eastAsia="宋体" w:cs="宋体"/>
                      <w:snapToGrid w:val="0"/>
                      <w:kern w:val="0"/>
                      <w:sz w:val="21"/>
                      <w:szCs w:val="21"/>
                      <w:u w:val="none"/>
                    </w:rPr>
                    <w:t>（kg/cm</w:t>
                  </w:r>
                  <w:r>
                    <w:rPr>
                      <w:rFonts w:hint="eastAsia" w:ascii="宋体" w:hAnsi="宋体" w:eastAsia="宋体" w:cs="宋体"/>
                      <w:snapToGrid w:val="0"/>
                      <w:kern w:val="0"/>
                      <w:sz w:val="21"/>
                      <w:szCs w:val="21"/>
                      <w:u w:val="none"/>
                      <w:vertAlign w:val="superscript"/>
                    </w:rPr>
                    <w:t>3</w:t>
                  </w:r>
                  <w:r>
                    <w:rPr>
                      <w:rFonts w:hint="eastAsia" w:ascii="宋体" w:hAnsi="宋体" w:eastAsia="宋体" w:cs="宋体"/>
                      <w:snapToGrid w:val="0"/>
                      <w:kern w:val="0"/>
                      <w:sz w:val="21"/>
                      <w:szCs w:val="21"/>
                      <w:u w:val="none"/>
                    </w:rPr>
                    <w:t>）</w:t>
                  </w:r>
                </w:p>
              </w:tc>
              <w:tc>
                <w:tcPr>
                  <w:tcW w:w="1191" w:type="dxa"/>
                  <w:noWrap w:val="0"/>
                  <w:vAlign w:val="center"/>
                </w:tcPr>
                <w:p w14:paraId="40CC34F2">
                  <w:pPr>
                    <w:keepNext w:val="0"/>
                    <w:keepLines w:val="0"/>
                    <w:widowControl/>
                    <w:suppressLineNumbers w:val="0"/>
                    <w:kinsoku w:val="0"/>
                    <w:autoSpaceDE w:val="0"/>
                    <w:autoSpaceDN w:val="0"/>
                    <w:spacing w:before="0" w:beforeAutospacing="0" w:after="0" w:afterAutospacing="0" w:line="240" w:lineRule="atLeast"/>
                    <w:ind w:left="0" w:right="0" w:firstLine="96"/>
                    <w:jc w:val="center"/>
                    <w:textAlignment w:val="baseline"/>
                    <w:rPr>
                      <w:rFonts w:hint="eastAsia" w:ascii="宋体" w:hAnsi="宋体" w:eastAsia="宋体" w:cs="宋体"/>
                      <w:snapToGrid w:val="0"/>
                      <w:kern w:val="0"/>
                      <w:sz w:val="21"/>
                      <w:szCs w:val="21"/>
                      <w:u w:val="none"/>
                    </w:rPr>
                  </w:pPr>
                  <w:r>
                    <w:rPr>
                      <w:rFonts w:hint="eastAsia" w:ascii="宋体" w:hAnsi="宋体" w:eastAsia="宋体" w:cs="宋体"/>
                      <w:snapToGrid w:val="0"/>
                      <w:kern w:val="0"/>
                      <w:sz w:val="21"/>
                      <w:szCs w:val="21"/>
                      <w:u w:val="none"/>
                    </w:rPr>
                    <w:t>一次上粉率（%）</w:t>
                  </w:r>
                </w:p>
              </w:tc>
              <w:tc>
                <w:tcPr>
                  <w:tcW w:w="1294" w:type="dxa"/>
                  <w:noWrap w:val="0"/>
                  <w:vAlign w:val="center"/>
                </w:tcPr>
                <w:p w14:paraId="51026B81">
                  <w:pPr>
                    <w:keepNext w:val="0"/>
                    <w:keepLines w:val="0"/>
                    <w:widowControl/>
                    <w:suppressLineNumbers w:val="0"/>
                    <w:kinsoku w:val="0"/>
                    <w:autoSpaceDE w:val="0"/>
                    <w:autoSpaceDN w:val="0"/>
                    <w:spacing w:before="0" w:beforeAutospacing="0" w:after="0" w:afterAutospacing="0" w:line="240" w:lineRule="atLeast"/>
                    <w:ind w:left="0" w:right="0" w:firstLine="119"/>
                    <w:jc w:val="center"/>
                    <w:textAlignment w:val="baseline"/>
                    <w:rPr>
                      <w:rFonts w:hint="eastAsia" w:ascii="宋体" w:hAnsi="宋体" w:eastAsia="宋体" w:cs="宋体"/>
                      <w:snapToGrid w:val="0"/>
                      <w:kern w:val="0"/>
                      <w:sz w:val="21"/>
                      <w:szCs w:val="21"/>
                      <w:u w:val="none"/>
                    </w:rPr>
                  </w:pPr>
                  <w:r>
                    <w:rPr>
                      <w:rFonts w:hint="eastAsia" w:ascii="宋体" w:hAnsi="宋体" w:eastAsia="宋体" w:cs="宋体"/>
                      <w:snapToGrid w:val="0"/>
                      <w:kern w:val="0"/>
                      <w:sz w:val="21"/>
                      <w:szCs w:val="21"/>
                      <w:u w:val="none"/>
                    </w:rPr>
                    <w:t>综合利用率</w:t>
                  </w:r>
                  <w:r>
                    <w:rPr>
                      <w:rFonts w:hint="eastAsia" w:ascii="宋体" w:hAnsi="宋体" w:eastAsia="宋体" w:cs="宋体"/>
                      <w:snapToGrid w:val="0"/>
                      <w:kern w:val="0"/>
                      <w:sz w:val="21"/>
                      <w:szCs w:val="21"/>
                      <w:u w:val="none"/>
                      <w:vertAlign w:val="superscript"/>
                    </w:rPr>
                    <w:t>*</w:t>
                  </w:r>
                </w:p>
              </w:tc>
              <w:tc>
                <w:tcPr>
                  <w:tcW w:w="1250" w:type="dxa"/>
                  <w:noWrap w:val="0"/>
                  <w:vAlign w:val="center"/>
                </w:tcPr>
                <w:p w14:paraId="318C2997">
                  <w:pPr>
                    <w:keepNext w:val="0"/>
                    <w:keepLines w:val="0"/>
                    <w:widowControl/>
                    <w:suppressLineNumbers w:val="0"/>
                    <w:kinsoku w:val="0"/>
                    <w:autoSpaceDE w:val="0"/>
                    <w:autoSpaceDN w:val="0"/>
                    <w:spacing w:before="0" w:beforeAutospacing="0" w:after="0" w:afterAutospacing="0" w:line="240" w:lineRule="atLeast"/>
                    <w:ind w:left="0" w:right="0"/>
                    <w:jc w:val="center"/>
                    <w:textAlignment w:val="baseline"/>
                    <w:rPr>
                      <w:rFonts w:hint="eastAsia" w:ascii="宋体" w:hAnsi="宋体" w:eastAsia="宋体" w:cs="宋体"/>
                      <w:snapToGrid w:val="0"/>
                      <w:kern w:val="0"/>
                      <w:sz w:val="21"/>
                      <w:szCs w:val="21"/>
                      <w:u w:val="none"/>
                    </w:rPr>
                  </w:pPr>
                  <w:r>
                    <w:rPr>
                      <w:rFonts w:hint="eastAsia" w:ascii="宋体" w:hAnsi="宋体" w:eastAsia="宋体" w:cs="宋体"/>
                      <w:snapToGrid w:val="0"/>
                      <w:kern w:val="0"/>
                      <w:sz w:val="21"/>
                      <w:szCs w:val="21"/>
                      <w:u w:val="none"/>
                    </w:rPr>
                    <w:t>固含率</w:t>
                  </w:r>
                </w:p>
                <w:p w14:paraId="2BCB94F4">
                  <w:pPr>
                    <w:keepNext w:val="0"/>
                    <w:keepLines w:val="0"/>
                    <w:widowControl/>
                    <w:suppressLineNumbers w:val="0"/>
                    <w:kinsoku w:val="0"/>
                    <w:autoSpaceDE w:val="0"/>
                    <w:autoSpaceDN w:val="0"/>
                    <w:spacing w:before="0" w:beforeAutospacing="0" w:after="0" w:afterAutospacing="0" w:line="240" w:lineRule="atLeast"/>
                    <w:ind w:left="0" w:right="0"/>
                    <w:jc w:val="center"/>
                    <w:textAlignment w:val="baseline"/>
                    <w:rPr>
                      <w:rFonts w:hint="eastAsia" w:ascii="宋体" w:hAnsi="宋体" w:eastAsia="宋体" w:cs="宋体"/>
                      <w:snapToGrid w:val="0"/>
                      <w:kern w:val="0"/>
                      <w:sz w:val="21"/>
                      <w:szCs w:val="21"/>
                      <w:u w:val="none"/>
                    </w:rPr>
                  </w:pPr>
                  <w:r>
                    <w:rPr>
                      <w:rFonts w:hint="eastAsia" w:ascii="宋体" w:hAnsi="宋体" w:eastAsia="宋体" w:cs="宋体"/>
                      <w:snapToGrid w:val="0"/>
                      <w:kern w:val="0"/>
                      <w:sz w:val="21"/>
                      <w:szCs w:val="21"/>
                      <w:u w:val="none"/>
                    </w:rPr>
                    <w:t>（%）</w:t>
                  </w:r>
                </w:p>
              </w:tc>
              <w:tc>
                <w:tcPr>
                  <w:tcW w:w="998" w:type="dxa"/>
                  <w:noWrap w:val="0"/>
                  <w:vAlign w:val="center"/>
                </w:tcPr>
                <w:p w14:paraId="754E6073">
                  <w:pPr>
                    <w:keepNext w:val="0"/>
                    <w:keepLines w:val="0"/>
                    <w:widowControl/>
                    <w:suppressLineNumbers w:val="0"/>
                    <w:kinsoku w:val="0"/>
                    <w:autoSpaceDE w:val="0"/>
                    <w:autoSpaceDN w:val="0"/>
                    <w:spacing w:before="0" w:beforeAutospacing="0" w:after="0" w:afterAutospacing="0" w:line="240" w:lineRule="atLeast"/>
                    <w:ind w:left="0" w:right="0"/>
                    <w:jc w:val="center"/>
                    <w:textAlignment w:val="baseline"/>
                    <w:rPr>
                      <w:rFonts w:hint="eastAsia" w:ascii="宋体" w:hAnsi="宋体" w:eastAsia="宋体" w:cs="宋体"/>
                      <w:snapToGrid w:val="0"/>
                      <w:kern w:val="0"/>
                      <w:sz w:val="21"/>
                      <w:szCs w:val="21"/>
                      <w:u w:val="none"/>
                    </w:rPr>
                  </w:pPr>
                  <w:r>
                    <w:rPr>
                      <w:rFonts w:hint="eastAsia" w:ascii="宋体" w:hAnsi="宋体" w:eastAsia="宋体" w:cs="宋体"/>
                      <w:snapToGrid w:val="0"/>
                      <w:kern w:val="0"/>
                      <w:sz w:val="21"/>
                      <w:szCs w:val="21"/>
                      <w:u w:val="none"/>
                    </w:rPr>
                    <w:t>粉末涂料</w:t>
                  </w:r>
                </w:p>
                <w:p w14:paraId="3C0B7A40">
                  <w:pPr>
                    <w:keepNext w:val="0"/>
                    <w:keepLines w:val="0"/>
                    <w:widowControl/>
                    <w:suppressLineNumbers w:val="0"/>
                    <w:kinsoku w:val="0"/>
                    <w:autoSpaceDE w:val="0"/>
                    <w:autoSpaceDN w:val="0"/>
                    <w:spacing w:before="0" w:beforeAutospacing="0" w:after="0" w:afterAutospacing="0" w:line="240" w:lineRule="atLeast"/>
                    <w:ind w:left="0" w:right="0"/>
                    <w:jc w:val="center"/>
                    <w:textAlignment w:val="baseline"/>
                    <w:rPr>
                      <w:rFonts w:hint="eastAsia" w:ascii="宋体" w:hAnsi="宋体" w:eastAsia="宋体" w:cs="宋体"/>
                      <w:snapToGrid w:val="0"/>
                      <w:kern w:val="0"/>
                      <w:sz w:val="21"/>
                      <w:szCs w:val="21"/>
                      <w:u w:val="none"/>
                    </w:rPr>
                  </w:pPr>
                  <w:r>
                    <w:rPr>
                      <w:rFonts w:hint="eastAsia" w:ascii="宋体" w:hAnsi="宋体" w:eastAsia="宋体" w:cs="宋体"/>
                      <w:snapToGrid w:val="0"/>
                      <w:kern w:val="0"/>
                      <w:sz w:val="21"/>
                      <w:szCs w:val="21"/>
                      <w:u w:val="none"/>
                    </w:rPr>
                    <w:t>年用量</w:t>
                  </w:r>
                </w:p>
                <w:p w14:paraId="4929DED4">
                  <w:pPr>
                    <w:keepNext w:val="0"/>
                    <w:keepLines w:val="0"/>
                    <w:widowControl/>
                    <w:suppressLineNumbers w:val="0"/>
                    <w:kinsoku w:val="0"/>
                    <w:autoSpaceDE w:val="0"/>
                    <w:autoSpaceDN w:val="0"/>
                    <w:spacing w:before="0" w:beforeAutospacing="0" w:after="0" w:afterAutospacing="0" w:line="240" w:lineRule="atLeast"/>
                    <w:ind w:left="0" w:right="0" w:firstLine="190"/>
                    <w:jc w:val="center"/>
                    <w:textAlignment w:val="baseline"/>
                    <w:rPr>
                      <w:rFonts w:hint="eastAsia" w:ascii="宋体" w:hAnsi="宋体" w:eastAsia="宋体" w:cs="宋体"/>
                      <w:snapToGrid w:val="0"/>
                      <w:kern w:val="0"/>
                      <w:sz w:val="21"/>
                      <w:szCs w:val="21"/>
                      <w:u w:val="none"/>
                    </w:rPr>
                  </w:pPr>
                  <w:r>
                    <w:rPr>
                      <w:rFonts w:hint="eastAsia" w:ascii="宋体" w:hAnsi="宋体" w:eastAsia="宋体" w:cs="宋体"/>
                      <w:snapToGrid w:val="0"/>
                      <w:kern w:val="0"/>
                      <w:sz w:val="21"/>
                      <w:szCs w:val="21"/>
                      <w:u w:val="none"/>
                    </w:rPr>
                    <w:t>（t/a）</w:t>
                  </w:r>
                </w:p>
              </w:tc>
            </w:tr>
            <w:tr w14:paraId="777317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66" w:type="dxa"/>
                  <w:noWrap w:val="0"/>
                  <w:vAlign w:val="center"/>
                </w:tcPr>
                <w:p w14:paraId="177B1D28">
                  <w:pPr>
                    <w:keepNext w:val="0"/>
                    <w:keepLines w:val="0"/>
                    <w:widowControl/>
                    <w:suppressLineNumbers w:val="0"/>
                    <w:kinsoku w:val="0"/>
                    <w:autoSpaceDE w:val="0"/>
                    <w:autoSpaceDN w:val="0"/>
                    <w:spacing w:before="0" w:beforeAutospacing="0" w:after="0" w:afterAutospacing="0" w:line="240" w:lineRule="atLeast"/>
                    <w:ind w:left="0" w:right="0"/>
                    <w:jc w:val="center"/>
                    <w:textAlignment w:val="baseline"/>
                    <w:rPr>
                      <w:rFonts w:hint="default" w:ascii="宋体" w:hAnsi="宋体" w:eastAsia="宋体" w:cs="宋体"/>
                      <w:sz w:val="21"/>
                      <w:szCs w:val="21"/>
                      <w:u w:val="none"/>
                    </w:rPr>
                  </w:pPr>
                  <w:r>
                    <w:rPr>
                      <w:rFonts w:hint="eastAsia" w:ascii="宋体" w:hAnsi="宋体" w:eastAsia="宋体" w:cs="宋体"/>
                      <w:spacing w:val="-4"/>
                      <w:sz w:val="21"/>
                      <w:szCs w:val="21"/>
                      <w:u w:val="none"/>
                      <w:lang w:val="en-US" w:eastAsia="zh-CN"/>
                    </w:rPr>
                    <w:t>2</w:t>
                  </w:r>
                  <w:r>
                    <w:rPr>
                      <w:rFonts w:hint="eastAsia" w:ascii="宋体" w:hAnsi="宋体" w:eastAsia="宋体" w:cs="宋体"/>
                      <w:spacing w:val="-4"/>
                      <w:sz w:val="21"/>
                      <w:szCs w:val="21"/>
                      <w:u w:val="none"/>
                    </w:rPr>
                    <w:t>0万</w:t>
                  </w:r>
                </w:p>
              </w:tc>
              <w:tc>
                <w:tcPr>
                  <w:tcW w:w="1176" w:type="dxa"/>
                  <w:noWrap w:val="0"/>
                  <w:vAlign w:val="center"/>
                </w:tcPr>
                <w:p w14:paraId="5027F2E1">
                  <w:pPr>
                    <w:keepNext w:val="0"/>
                    <w:keepLines w:val="0"/>
                    <w:widowControl/>
                    <w:suppressLineNumbers w:val="0"/>
                    <w:kinsoku w:val="0"/>
                    <w:autoSpaceDE w:val="0"/>
                    <w:autoSpaceDN w:val="0"/>
                    <w:spacing w:before="0" w:beforeAutospacing="0" w:after="0" w:afterAutospacing="0" w:line="240" w:lineRule="atLeast"/>
                    <w:ind w:left="0" w:right="0"/>
                    <w:jc w:val="center"/>
                    <w:textAlignment w:val="baseline"/>
                    <w:rPr>
                      <w:rFonts w:hint="default" w:ascii="宋体" w:hAnsi="宋体" w:eastAsia="宋体" w:cs="宋体"/>
                      <w:sz w:val="21"/>
                      <w:szCs w:val="21"/>
                      <w:u w:val="none"/>
                      <w:lang w:val="en-US" w:eastAsia="zh-CN"/>
                    </w:rPr>
                  </w:pPr>
                  <w:r>
                    <w:rPr>
                      <w:rFonts w:hint="eastAsia" w:ascii="宋体" w:hAnsi="宋体" w:eastAsia="宋体" w:cs="宋体"/>
                      <w:spacing w:val="-2"/>
                      <w:sz w:val="21"/>
                      <w:szCs w:val="21"/>
                      <w:u w:val="none"/>
                    </w:rPr>
                    <w:t>0.0</w:t>
                  </w:r>
                  <w:r>
                    <w:rPr>
                      <w:rFonts w:hint="eastAsia" w:ascii="宋体" w:hAnsi="宋体" w:eastAsia="宋体" w:cs="宋体"/>
                      <w:spacing w:val="-2"/>
                      <w:sz w:val="21"/>
                      <w:szCs w:val="21"/>
                      <w:u w:val="none"/>
                      <w:lang w:val="en-US" w:eastAsia="zh-CN"/>
                    </w:rPr>
                    <w:t>65</w:t>
                  </w:r>
                </w:p>
              </w:tc>
              <w:tc>
                <w:tcPr>
                  <w:tcW w:w="971" w:type="dxa"/>
                  <w:noWrap w:val="0"/>
                  <w:vAlign w:val="center"/>
                </w:tcPr>
                <w:p w14:paraId="45AF4731">
                  <w:pPr>
                    <w:keepNext w:val="0"/>
                    <w:keepLines w:val="0"/>
                    <w:widowControl/>
                    <w:suppressLineNumbers w:val="0"/>
                    <w:kinsoku w:val="0"/>
                    <w:autoSpaceDE w:val="0"/>
                    <w:autoSpaceDN w:val="0"/>
                    <w:spacing w:before="0" w:beforeAutospacing="0" w:after="0" w:afterAutospacing="0" w:line="240" w:lineRule="atLeast"/>
                    <w:ind w:left="0" w:right="0"/>
                    <w:jc w:val="center"/>
                    <w:textAlignment w:val="baseline"/>
                    <w:rPr>
                      <w:rFonts w:hint="eastAsia" w:ascii="宋体" w:hAnsi="宋体" w:eastAsia="宋体" w:cs="宋体"/>
                      <w:sz w:val="21"/>
                      <w:szCs w:val="21"/>
                      <w:u w:val="none"/>
                    </w:rPr>
                  </w:pPr>
                  <w:r>
                    <w:rPr>
                      <w:rFonts w:hint="eastAsia" w:ascii="宋体" w:hAnsi="宋体" w:eastAsia="宋体" w:cs="宋体"/>
                      <w:spacing w:val="-5"/>
                      <w:sz w:val="21"/>
                      <w:szCs w:val="21"/>
                      <w:u w:val="none"/>
                    </w:rPr>
                    <w:t>1</w:t>
                  </w:r>
                  <w:r>
                    <w:rPr>
                      <w:rFonts w:hint="eastAsia" w:ascii="宋体" w:hAnsi="宋体" w:eastAsia="宋体" w:cs="宋体"/>
                      <w:spacing w:val="-5"/>
                      <w:sz w:val="21"/>
                      <w:szCs w:val="21"/>
                      <w:u w:val="none"/>
                      <w:lang w:val="en-US" w:eastAsia="zh-CN"/>
                    </w:rPr>
                    <w:t>5</w:t>
                  </w:r>
                  <w:r>
                    <w:rPr>
                      <w:rFonts w:hint="eastAsia" w:ascii="宋体" w:hAnsi="宋体" w:eastAsia="宋体" w:cs="宋体"/>
                      <w:spacing w:val="-5"/>
                      <w:sz w:val="21"/>
                      <w:szCs w:val="21"/>
                      <w:u w:val="none"/>
                    </w:rPr>
                    <w:t>00</w:t>
                  </w:r>
                </w:p>
              </w:tc>
              <w:tc>
                <w:tcPr>
                  <w:tcW w:w="1191" w:type="dxa"/>
                  <w:noWrap w:val="0"/>
                  <w:vAlign w:val="center"/>
                </w:tcPr>
                <w:p w14:paraId="4DE39FC3">
                  <w:pPr>
                    <w:keepNext w:val="0"/>
                    <w:keepLines w:val="0"/>
                    <w:widowControl/>
                    <w:suppressLineNumbers w:val="0"/>
                    <w:kinsoku w:val="0"/>
                    <w:autoSpaceDE w:val="0"/>
                    <w:autoSpaceDN w:val="0"/>
                    <w:spacing w:before="0" w:beforeAutospacing="0" w:after="0" w:afterAutospacing="0" w:line="240" w:lineRule="atLeast"/>
                    <w:ind w:left="0" w:right="0"/>
                    <w:jc w:val="center"/>
                    <w:textAlignment w:val="baseline"/>
                    <w:rPr>
                      <w:rFonts w:hint="default" w:ascii="宋体" w:hAnsi="宋体" w:eastAsia="宋体" w:cs="宋体"/>
                      <w:sz w:val="21"/>
                      <w:szCs w:val="21"/>
                      <w:u w:val="none"/>
                      <w:lang w:val="en-US" w:eastAsia="zh-CN"/>
                    </w:rPr>
                  </w:pPr>
                  <w:r>
                    <w:rPr>
                      <w:rFonts w:hint="eastAsia" w:ascii="宋体" w:hAnsi="宋体" w:cs="宋体"/>
                      <w:sz w:val="21"/>
                      <w:szCs w:val="21"/>
                      <w:u w:val="none"/>
                      <w:lang w:val="en-US" w:eastAsia="zh-CN"/>
                    </w:rPr>
                    <w:t>70</w:t>
                  </w:r>
                </w:p>
              </w:tc>
              <w:tc>
                <w:tcPr>
                  <w:tcW w:w="1294" w:type="dxa"/>
                  <w:noWrap w:val="0"/>
                  <w:vAlign w:val="center"/>
                </w:tcPr>
                <w:p w14:paraId="57938FDA">
                  <w:pPr>
                    <w:keepNext w:val="0"/>
                    <w:keepLines w:val="0"/>
                    <w:widowControl/>
                    <w:suppressLineNumbers w:val="0"/>
                    <w:kinsoku w:val="0"/>
                    <w:autoSpaceDE w:val="0"/>
                    <w:autoSpaceDN w:val="0"/>
                    <w:spacing w:before="0" w:beforeAutospacing="0" w:after="0" w:afterAutospacing="0" w:line="240" w:lineRule="atLeast"/>
                    <w:ind w:left="0" w:right="0"/>
                    <w:jc w:val="center"/>
                    <w:textAlignment w:val="baseline"/>
                    <w:rPr>
                      <w:rFonts w:hint="default" w:ascii="宋体" w:hAnsi="宋体" w:eastAsia="宋体" w:cs="宋体"/>
                      <w:sz w:val="21"/>
                      <w:szCs w:val="21"/>
                      <w:u w:val="none"/>
                      <w:lang w:val="en-US" w:eastAsia="zh-CN"/>
                    </w:rPr>
                  </w:pPr>
                  <w:r>
                    <w:rPr>
                      <w:rFonts w:hint="eastAsia" w:ascii="宋体" w:hAnsi="宋体" w:eastAsia="宋体" w:cs="宋体"/>
                      <w:spacing w:val="-2"/>
                      <w:sz w:val="21"/>
                      <w:szCs w:val="21"/>
                      <w:u w:val="none"/>
                    </w:rPr>
                    <w:t>0.9</w:t>
                  </w:r>
                  <w:r>
                    <w:rPr>
                      <w:rFonts w:hint="eastAsia" w:ascii="宋体" w:hAnsi="宋体" w:eastAsia="宋体" w:cs="宋体"/>
                      <w:spacing w:val="-2"/>
                      <w:sz w:val="21"/>
                      <w:szCs w:val="21"/>
                      <w:u w:val="none"/>
                      <w:lang w:val="en-US" w:eastAsia="zh-CN"/>
                    </w:rPr>
                    <w:t>7075</w:t>
                  </w:r>
                </w:p>
              </w:tc>
              <w:tc>
                <w:tcPr>
                  <w:tcW w:w="1250" w:type="dxa"/>
                  <w:noWrap w:val="0"/>
                  <w:vAlign w:val="center"/>
                </w:tcPr>
                <w:p w14:paraId="0F9D131C">
                  <w:pPr>
                    <w:keepNext w:val="0"/>
                    <w:keepLines w:val="0"/>
                    <w:widowControl/>
                    <w:suppressLineNumbers w:val="0"/>
                    <w:kinsoku w:val="0"/>
                    <w:autoSpaceDE w:val="0"/>
                    <w:autoSpaceDN w:val="0"/>
                    <w:spacing w:before="0" w:beforeAutospacing="0" w:after="0" w:afterAutospacing="0" w:line="240" w:lineRule="atLeast"/>
                    <w:ind w:left="0" w:right="0"/>
                    <w:jc w:val="center"/>
                    <w:textAlignment w:val="baseline"/>
                    <w:rPr>
                      <w:rFonts w:hint="eastAsia" w:ascii="宋体" w:hAnsi="宋体" w:eastAsia="宋体" w:cs="宋体"/>
                      <w:sz w:val="21"/>
                      <w:szCs w:val="21"/>
                      <w:u w:val="none"/>
                    </w:rPr>
                  </w:pPr>
                  <w:r>
                    <w:rPr>
                      <w:rFonts w:hint="eastAsia" w:ascii="宋体" w:hAnsi="宋体" w:eastAsia="宋体" w:cs="宋体"/>
                      <w:spacing w:val="-7"/>
                      <w:sz w:val="21"/>
                      <w:szCs w:val="21"/>
                      <w:u w:val="none"/>
                    </w:rPr>
                    <w:t>100</w:t>
                  </w:r>
                </w:p>
              </w:tc>
              <w:tc>
                <w:tcPr>
                  <w:tcW w:w="998" w:type="dxa"/>
                  <w:noWrap w:val="0"/>
                  <w:vAlign w:val="center"/>
                </w:tcPr>
                <w:p w14:paraId="0EFA8856">
                  <w:pPr>
                    <w:keepNext w:val="0"/>
                    <w:keepLines w:val="0"/>
                    <w:widowControl/>
                    <w:suppressLineNumbers w:val="0"/>
                    <w:kinsoku w:val="0"/>
                    <w:autoSpaceDE w:val="0"/>
                    <w:autoSpaceDN w:val="0"/>
                    <w:spacing w:before="0" w:beforeAutospacing="0" w:after="0" w:afterAutospacing="0" w:line="240" w:lineRule="atLeast"/>
                    <w:ind w:left="0" w:right="0" w:firstLine="183"/>
                    <w:jc w:val="center"/>
                    <w:textAlignment w:val="baseline"/>
                    <w:rPr>
                      <w:rFonts w:hint="default" w:ascii="宋体" w:hAnsi="宋体" w:eastAsia="宋体" w:cs="宋体"/>
                      <w:sz w:val="21"/>
                      <w:szCs w:val="21"/>
                      <w:u w:val="none"/>
                    </w:rPr>
                  </w:pPr>
                  <w:r>
                    <w:rPr>
                      <w:rFonts w:hint="eastAsia" w:ascii="宋体" w:hAnsi="宋体" w:eastAsia="宋体" w:cs="宋体"/>
                      <w:spacing w:val="-4"/>
                      <w:w w:val="99"/>
                      <w:sz w:val="21"/>
                      <w:szCs w:val="21"/>
                      <w:u w:val="none"/>
                      <w:lang w:val="en-US" w:eastAsia="zh-CN"/>
                    </w:rPr>
                    <w:t>2</w:t>
                  </w:r>
                  <w:r>
                    <w:rPr>
                      <w:rFonts w:hint="eastAsia" w:ascii="宋体" w:hAnsi="宋体" w:eastAsia="宋体" w:cs="宋体"/>
                      <w:spacing w:val="-4"/>
                      <w:w w:val="99"/>
                      <w:sz w:val="21"/>
                      <w:szCs w:val="21"/>
                      <w:u w:val="none"/>
                    </w:rPr>
                    <w:t>0</w:t>
                  </w:r>
                </w:p>
              </w:tc>
            </w:tr>
          </w:tbl>
          <w:p w14:paraId="1F1905D8">
            <w:pPr>
              <w:pStyle w:val="10"/>
              <w:keepNext w:val="0"/>
              <w:keepLines w:val="0"/>
              <w:suppressLineNumbers w:val="0"/>
              <w:adjustRightInd w:val="0"/>
              <w:snapToGrid w:val="0"/>
              <w:spacing w:before="0" w:beforeAutospacing="0" w:after="0" w:afterAutospacing="0"/>
              <w:ind w:left="0" w:right="0" w:firstLine="420" w:firstLineChars="200"/>
              <w:rPr>
                <w:rFonts w:hint="eastAsia" w:ascii="宋体" w:hAnsi="宋体" w:eastAsia="宋体" w:cs="宋体"/>
                <w:u w:val="none"/>
              </w:rPr>
            </w:pPr>
            <w:r>
              <w:rPr>
                <w:rFonts w:hint="eastAsia" w:ascii="宋体" w:hAnsi="宋体" w:eastAsia="宋体" w:cs="宋体"/>
                <w:sz w:val="21"/>
                <w:szCs w:val="21"/>
                <w:u w:val="none"/>
              </w:rPr>
              <w:t>*注：本项目喷塑工艺采用静电喷涂方式，喷塑粉末的一次上粉率为</w:t>
            </w:r>
            <w:r>
              <w:rPr>
                <w:rFonts w:hint="eastAsia" w:ascii="宋体" w:hAnsi="宋体" w:eastAsia="宋体" w:cs="宋体"/>
                <w:sz w:val="21"/>
                <w:szCs w:val="21"/>
                <w:u w:val="none"/>
                <w:lang w:val="en-US" w:eastAsia="zh-CN"/>
              </w:rPr>
              <w:t>70</w:t>
            </w:r>
            <w:r>
              <w:rPr>
                <w:rFonts w:hint="eastAsia" w:ascii="宋体" w:hAnsi="宋体" w:eastAsia="宋体" w:cs="宋体"/>
                <w:sz w:val="21"/>
                <w:szCs w:val="21"/>
                <w:u w:val="none"/>
              </w:rPr>
              <w:t>，剩余</w:t>
            </w:r>
            <w:r>
              <w:rPr>
                <w:rFonts w:hint="eastAsia" w:ascii="宋体" w:hAnsi="宋体" w:eastAsia="宋体" w:cs="宋体"/>
                <w:sz w:val="21"/>
                <w:szCs w:val="21"/>
                <w:u w:val="none"/>
                <w:lang w:val="en-US" w:eastAsia="zh-CN"/>
              </w:rPr>
              <w:t>30</w:t>
            </w:r>
            <w:r>
              <w:rPr>
                <w:rFonts w:hint="eastAsia" w:ascii="宋体" w:hAnsi="宋体" w:eastAsia="宋体" w:cs="宋体"/>
                <w:sz w:val="21"/>
                <w:szCs w:val="21"/>
                <w:u w:val="none"/>
              </w:rPr>
              <w:t>%收集后进入</w:t>
            </w:r>
            <w:r>
              <w:rPr>
                <w:rFonts w:hint="eastAsia" w:ascii="宋体" w:hAnsi="宋体" w:eastAsia="宋体" w:cs="宋体"/>
                <w:sz w:val="21"/>
                <w:szCs w:val="21"/>
                <w:u w:val="none"/>
                <w:lang w:eastAsia="zh-CN"/>
              </w:rPr>
              <w:t>旋风除尘</w:t>
            </w:r>
            <w:r>
              <w:rPr>
                <w:rFonts w:hint="eastAsia" w:ascii="宋体" w:hAnsi="宋体" w:eastAsia="宋体" w:cs="宋体"/>
                <w:sz w:val="21"/>
                <w:szCs w:val="21"/>
                <w:u w:val="none"/>
                <w:lang w:val="en-US" w:eastAsia="zh-CN"/>
              </w:rPr>
              <w:t>+布袋除尘器</w:t>
            </w:r>
            <w:r>
              <w:rPr>
                <w:rFonts w:hint="eastAsia" w:ascii="宋体" w:hAnsi="宋体" w:eastAsia="宋体" w:cs="宋体"/>
                <w:sz w:val="21"/>
                <w:szCs w:val="21"/>
                <w:u w:val="none"/>
              </w:rPr>
              <w:t>处理，喷柜收集效率9</w:t>
            </w:r>
            <w:r>
              <w:rPr>
                <w:rFonts w:hint="eastAsia" w:ascii="宋体" w:hAnsi="宋体" w:eastAsia="宋体" w:cs="宋体"/>
                <w:sz w:val="21"/>
                <w:szCs w:val="21"/>
                <w:u w:val="none"/>
                <w:lang w:val="en-US" w:eastAsia="zh-CN"/>
              </w:rPr>
              <w:t>5</w:t>
            </w:r>
            <w:r>
              <w:rPr>
                <w:rFonts w:hint="eastAsia" w:ascii="宋体" w:hAnsi="宋体" w:eastAsia="宋体" w:cs="宋体"/>
                <w:sz w:val="21"/>
                <w:szCs w:val="21"/>
                <w:u w:val="none"/>
              </w:rPr>
              <w:t>%，除尘器处理效率95%，除尘器收集下来的塑粉再回用到喷塑工段，经重复利用后，粉末的总利用率可达9</w:t>
            </w:r>
            <w:r>
              <w:rPr>
                <w:rFonts w:hint="eastAsia" w:ascii="宋体" w:hAnsi="宋体" w:eastAsia="宋体" w:cs="宋体"/>
                <w:sz w:val="21"/>
                <w:szCs w:val="21"/>
                <w:u w:val="none"/>
                <w:lang w:val="en-US" w:eastAsia="zh-CN"/>
              </w:rPr>
              <w:t>7</w:t>
            </w:r>
            <w:r>
              <w:rPr>
                <w:rFonts w:hint="eastAsia" w:ascii="宋体" w:hAnsi="宋体" w:eastAsia="宋体" w:cs="宋体"/>
                <w:sz w:val="21"/>
                <w:szCs w:val="21"/>
                <w:u w:val="none"/>
              </w:rPr>
              <w:t>.</w:t>
            </w:r>
            <w:r>
              <w:rPr>
                <w:rFonts w:hint="eastAsia" w:ascii="宋体" w:hAnsi="宋体" w:eastAsia="宋体" w:cs="宋体"/>
                <w:sz w:val="21"/>
                <w:szCs w:val="21"/>
                <w:u w:val="none"/>
                <w:lang w:val="en-US" w:eastAsia="zh-CN"/>
              </w:rPr>
              <w:t>07</w:t>
            </w:r>
            <w:r>
              <w:rPr>
                <w:rFonts w:hint="eastAsia" w:ascii="宋体" w:hAnsi="宋体" w:eastAsia="宋体" w:cs="宋体"/>
                <w:sz w:val="21"/>
                <w:szCs w:val="21"/>
                <w:u w:val="none"/>
              </w:rPr>
              <w:t>5%。</w:t>
            </w:r>
          </w:p>
          <w:p w14:paraId="6489AB35">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rPr>
            </w:pPr>
            <w:r>
              <w:rPr>
                <w:rFonts w:hint="eastAsia" w:ascii="宋体" w:hAnsi="宋体" w:eastAsia="宋体" w:cs="宋体"/>
                <w:u w:val="none"/>
              </w:rPr>
              <w:t>本项目粉末涂料年用量为</w:t>
            </w:r>
            <w:r>
              <w:rPr>
                <w:rFonts w:hint="eastAsia" w:ascii="宋体" w:hAnsi="宋体" w:eastAsia="宋体" w:cs="宋体"/>
                <w:u w:val="none"/>
                <w:lang w:val="en-US" w:eastAsia="zh-CN"/>
              </w:rPr>
              <w:t>2</w:t>
            </w:r>
            <w:r>
              <w:rPr>
                <w:rFonts w:hint="eastAsia" w:ascii="宋体" w:hAnsi="宋体" w:eastAsia="宋体" w:cs="宋体"/>
                <w:u w:val="none"/>
              </w:rPr>
              <w:t>0t，进入工件的粉末涂料量为</w:t>
            </w:r>
            <w:r>
              <w:rPr>
                <w:rFonts w:hint="eastAsia" w:ascii="宋体" w:hAnsi="宋体" w:eastAsia="宋体" w:cs="宋体"/>
                <w:u w:val="none"/>
                <w:lang w:val="en-US" w:eastAsia="zh-CN"/>
              </w:rPr>
              <w:t>19.415</w:t>
            </w:r>
            <w:r>
              <w:rPr>
                <w:rFonts w:hint="eastAsia" w:ascii="宋体" w:hAnsi="宋体" w:eastAsia="宋体" w:cs="宋体"/>
                <w:u w:val="none"/>
              </w:rPr>
              <w:t>t/a（</w:t>
            </w:r>
            <w:r>
              <w:rPr>
                <w:rFonts w:hint="eastAsia" w:ascii="宋体" w:hAnsi="宋体" w:eastAsia="宋体" w:cs="宋体"/>
                <w:u w:val="none"/>
                <w:lang w:eastAsia="zh-CN"/>
              </w:rPr>
              <w:t>0.97075</w:t>
            </w:r>
            <w:r>
              <w:rPr>
                <w:rFonts w:hint="eastAsia" w:ascii="宋体" w:hAnsi="宋体" w:eastAsia="宋体" w:cs="宋体"/>
                <w:u w:val="none"/>
              </w:rPr>
              <w:t>×</w:t>
            </w:r>
            <w:r>
              <w:rPr>
                <w:rFonts w:hint="eastAsia" w:ascii="宋体" w:hAnsi="宋体" w:eastAsia="宋体" w:cs="宋体"/>
                <w:u w:val="none"/>
                <w:lang w:val="en-US" w:eastAsia="zh-CN"/>
              </w:rPr>
              <w:t>2</w:t>
            </w:r>
            <w:r>
              <w:rPr>
                <w:rFonts w:hint="eastAsia" w:ascii="宋体" w:hAnsi="宋体" w:eastAsia="宋体" w:cs="宋体"/>
                <w:u w:val="none"/>
              </w:rPr>
              <w:t>0t/a），由于本项目粉末涂料一次上粉率为</w:t>
            </w:r>
            <w:r>
              <w:rPr>
                <w:rFonts w:hint="eastAsia" w:ascii="宋体" w:hAnsi="宋体" w:cs="宋体"/>
                <w:u w:val="none"/>
                <w:lang w:val="en-US" w:eastAsia="zh-CN"/>
              </w:rPr>
              <w:t>70</w:t>
            </w:r>
            <w:r>
              <w:rPr>
                <w:rFonts w:hint="eastAsia" w:ascii="宋体" w:hAnsi="宋体" w:eastAsia="宋体" w:cs="宋体"/>
                <w:u w:val="none"/>
              </w:rPr>
              <w:t>%，则项目喷粉总量约为</w:t>
            </w:r>
            <w:r>
              <w:rPr>
                <w:rFonts w:hint="eastAsia" w:ascii="宋体" w:hAnsi="宋体" w:cs="宋体"/>
                <w:u w:val="none"/>
                <w:lang w:val="en-US" w:eastAsia="zh-CN"/>
              </w:rPr>
              <w:t>27.73</w:t>
            </w:r>
            <w:r>
              <w:rPr>
                <w:rFonts w:hint="eastAsia" w:ascii="宋体" w:hAnsi="宋体" w:eastAsia="宋体" w:cs="宋体"/>
                <w:u w:val="none"/>
              </w:rPr>
              <w:t>t/a（</w:t>
            </w:r>
            <w:r>
              <w:rPr>
                <w:rFonts w:hint="eastAsia" w:ascii="宋体" w:hAnsi="宋体" w:eastAsia="宋体" w:cs="宋体"/>
                <w:u w:val="none"/>
                <w:lang w:val="en-US" w:eastAsia="zh-CN"/>
              </w:rPr>
              <w:t>19.415</w:t>
            </w:r>
            <w:r>
              <w:rPr>
                <w:rFonts w:hint="eastAsia" w:ascii="宋体" w:hAnsi="宋体" w:eastAsia="宋体" w:cs="宋体"/>
                <w:u w:val="none"/>
              </w:rPr>
              <w:t>t/a÷0.</w:t>
            </w:r>
            <w:r>
              <w:rPr>
                <w:rFonts w:hint="eastAsia" w:ascii="宋体" w:hAnsi="宋体" w:cs="宋体"/>
                <w:u w:val="none"/>
                <w:lang w:val="en-US" w:eastAsia="zh-CN"/>
              </w:rPr>
              <w:t>7</w:t>
            </w:r>
            <w:r>
              <w:rPr>
                <w:rFonts w:hint="eastAsia" w:ascii="宋体" w:hAnsi="宋体" w:eastAsia="宋体" w:cs="宋体"/>
                <w:u w:val="none"/>
              </w:rPr>
              <w:t>）；未上粉量为</w:t>
            </w:r>
            <w:r>
              <w:rPr>
                <w:rFonts w:hint="eastAsia" w:ascii="宋体" w:hAnsi="宋体" w:cs="宋体"/>
                <w:u w:val="none"/>
                <w:lang w:val="en-US" w:eastAsia="zh-CN"/>
              </w:rPr>
              <w:t>8.314</w:t>
            </w:r>
            <w:r>
              <w:rPr>
                <w:rFonts w:hint="eastAsia" w:ascii="宋体" w:hAnsi="宋体" w:eastAsia="宋体" w:cs="宋体"/>
                <w:u w:val="none"/>
              </w:rPr>
              <w:t>t/a（</w:t>
            </w:r>
            <w:r>
              <w:rPr>
                <w:rFonts w:hint="eastAsia" w:ascii="宋体" w:hAnsi="宋体" w:cs="宋体"/>
                <w:u w:val="none"/>
                <w:lang w:val="en-US" w:eastAsia="zh-CN"/>
              </w:rPr>
              <w:t>27.73</w:t>
            </w:r>
            <w:r>
              <w:rPr>
                <w:rFonts w:hint="eastAsia" w:ascii="宋体" w:hAnsi="宋体" w:eastAsia="宋体" w:cs="宋体"/>
                <w:u w:val="none"/>
              </w:rPr>
              <w:t>t/a-</w:t>
            </w:r>
            <w:r>
              <w:rPr>
                <w:rFonts w:hint="eastAsia" w:ascii="宋体" w:hAnsi="宋体" w:eastAsia="宋体" w:cs="宋体"/>
                <w:u w:val="none"/>
                <w:lang w:val="en-US" w:eastAsia="zh-CN"/>
              </w:rPr>
              <w:t>19.416</w:t>
            </w:r>
            <w:r>
              <w:rPr>
                <w:rFonts w:hint="eastAsia" w:ascii="宋体" w:hAnsi="宋体" w:eastAsia="宋体" w:cs="宋体"/>
                <w:u w:val="none"/>
              </w:rPr>
              <w:t>t/a ），未上粉量中约95%通过喷柜收集后进入除尘器处理（</w:t>
            </w:r>
            <w:r>
              <w:rPr>
                <w:rFonts w:hint="eastAsia" w:ascii="宋体" w:hAnsi="宋体" w:cs="宋体"/>
                <w:u w:val="none"/>
                <w:lang w:val="en-US" w:eastAsia="zh-CN"/>
              </w:rPr>
              <w:t>7.899</w:t>
            </w:r>
            <w:r>
              <w:rPr>
                <w:rFonts w:hint="eastAsia" w:ascii="宋体" w:hAnsi="宋体" w:eastAsia="宋体" w:cs="宋体"/>
                <w:u w:val="none"/>
              </w:rPr>
              <w:t>t/a），剩余5%（</w:t>
            </w:r>
            <w:r>
              <w:rPr>
                <w:rFonts w:hint="eastAsia" w:ascii="宋体" w:hAnsi="宋体" w:cs="宋体"/>
                <w:u w:val="none"/>
                <w:lang w:val="en-US" w:eastAsia="zh-CN"/>
              </w:rPr>
              <w:t>0.415</w:t>
            </w:r>
            <w:r>
              <w:rPr>
                <w:rFonts w:hint="eastAsia" w:ascii="宋体" w:hAnsi="宋体" w:eastAsia="宋体" w:cs="宋体"/>
                <w:u w:val="none"/>
              </w:rPr>
              <w:t>t/a）无组织排放；进入除尘器处理的粉尘95%（</w:t>
            </w:r>
            <w:r>
              <w:rPr>
                <w:rFonts w:hint="eastAsia" w:ascii="宋体" w:hAnsi="宋体" w:cs="宋体"/>
                <w:u w:val="none"/>
                <w:lang w:val="en-US" w:eastAsia="zh-CN"/>
              </w:rPr>
              <w:t>7.499</w:t>
            </w:r>
            <w:r>
              <w:rPr>
                <w:rFonts w:hint="eastAsia" w:ascii="宋体" w:hAnsi="宋体" w:eastAsia="宋体" w:cs="宋体"/>
                <w:u w:val="none"/>
              </w:rPr>
              <w:t>t/a）收集后回用于喷塑，剩余5%（</w:t>
            </w:r>
            <w:r>
              <w:rPr>
                <w:rFonts w:hint="eastAsia" w:ascii="宋体" w:hAnsi="宋体" w:cs="宋体"/>
                <w:u w:val="none"/>
                <w:lang w:val="en-US" w:eastAsia="zh-CN"/>
              </w:rPr>
              <w:t>0.4</w:t>
            </w:r>
            <w:r>
              <w:rPr>
                <w:rFonts w:hint="eastAsia" w:ascii="宋体" w:hAnsi="宋体" w:eastAsia="宋体" w:cs="宋体"/>
                <w:u w:val="none"/>
              </w:rPr>
              <w:t>t/a）通过排气筒有组织排放。</w:t>
            </w:r>
          </w:p>
          <w:p w14:paraId="443C74C6">
            <w:pPr>
              <w:pStyle w:val="10"/>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rPr>
            </w:pPr>
            <w:r>
              <w:rPr>
                <w:rFonts w:hint="eastAsia" w:ascii="宋体" w:hAnsi="宋体" w:eastAsia="宋体" w:cs="宋体"/>
              </w:rPr>
              <w:t>本项目使用的塑粉以树脂为主要基料（不含溶剂成分），烘烤固化温度在180～220℃。固化废气污染物源强参照《第二次全国污染源普查工业污染源产排污系数手册》中“涂装-喷塑后烘干”排污系数，挥发性有机物产污系数为 1.2kg/t-原料，则本项目固化过程非甲烷总烃产生量为0.0</w:t>
            </w:r>
            <w:r>
              <w:rPr>
                <w:rFonts w:hint="eastAsia" w:ascii="宋体" w:hAnsi="宋体" w:eastAsia="宋体" w:cs="宋体"/>
                <w:lang w:val="en-US" w:eastAsia="zh-CN"/>
              </w:rPr>
              <w:t>24</w:t>
            </w:r>
            <w:r>
              <w:rPr>
                <w:rFonts w:hint="eastAsia" w:ascii="宋体" w:hAnsi="宋体" w:eastAsia="宋体" w:cs="宋体"/>
              </w:rPr>
              <w:t>t/a。</w:t>
            </w:r>
          </w:p>
          <w:p w14:paraId="7CC038BB">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rPr>
            </w:pPr>
          </w:p>
          <w:p w14:paraId="15561B7E">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rPr>
            </w:pPr>
            <w:r>
              <w:rPr>
                <w:rFonts w:hint="eastAsia" w:ascii="宋体" w:hAnsi="宋体" w:eastAsia="宋体" w:cs="宋体"/>
              </w:rPr>
              <w:object>
                <v:shape id="_x0000_i1029" o:spt="75" type="#_x0000_t75" style="height:227pt;width:411.5pt;" o:ole="t" filled="f" o:preferrelative="t" stroked="f" coordsize="21600,21600">
                  <v:path/>
                  <v:fill on="f" focussize="0,0"/>
                  <v:stroke on="f"/>
                  <v:imagedata r:id="rId20" o:title=""/>
                  <o:lock v:ext="edit" aspectratio="f"/>
                  <w10:wrap type="none"/>
                  <w10:anchorlock/>
                </v:shape>
                <o:OLEObject Type="Embed" ProgID="Visio.Drawing.11" ShapeID="_x0000_i1029" DrawAspect="Content" ObjectID="_1468075729" r:id="rId19">
                  <o:LockedField>false</o:LockedField>
                </o:OLEObject>
              </w:object>
            </w:r>
          </w:p>
          <w:p w14:paraId="2D20F498">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rPr>
            </w:pPr>
            <w:r>
              <w:rPr>
                <w:rFonts w:hint="eastAsia" w:ascii="宋体" w:hAnsi="宋体" w:eastAsia="宋体" w:cs="宋体"/>
                <w:b/>
                <w:bCs/>
              </w:rPr>
              <w:t>图2-</w:t>
            </w:r>
            <w:r>
              <w:rPr>
                <w:rFonts w:hint="eastAsia" w:ascii="宋体" w:hAnsi="宋体" w:eastAsia="宋体" w:cs="宋体"/>
                <w:b/>
                <w:bCs/>
                <w:lang w:val="en-US" w:eastAsia="zh-CN"/>
              </w:rPr>
              <w:t>4</w:t>
            </w:r>
            <w:r>
              <w:rPr>
                <w:rFonts w:hint="eastAsia" w:ascii="宋体" w:hAnsi="宋体" w:eastAsia="宋体" w:cs="宋体"/>
                <w:b/>
                <w:bCs/>
              </w:rPr>
              <w:t xml:space="preserve">  塑粉物料平衡图</w:t>
            </w:r>
          </w:p>
          <w:p w14:paraId="242AB2FE">
            <w:pPr>
              <w:pStyle w:val="10"/>
              <w:keepNext w:val="0"/>
              <w:keepLines w:val="0"/>
              <w:suppressLineNumbers w:val="0"/>
              <w:spacing w:before="0" w:beforeAutospacing="0" w:after="0" w:afterAutospacing="0"/>
              <w:ind w:left="0" w:right="0"/>
              <w:rPr>
                <w:rFonts w:hint="eastAsia" w:ascii="宋体" w:hAnsi="宋体" w:eastAsia="宋体" w:cs="宋体"/>
                <w:b/>
                <w:bCs/>
                <w:lang w:eastAsia="zh-CN"/>
              </w:rPr>
            </w:pPr>
          </w:p>
          <w:p w14:paraId="5337742F">
            <w:pPr>
              <w:pStyle w:val="10"/>
              <w:keepNext w:val="0"/>
              <w:keepLines w:val="0"/>
              <w:suppressLineNumbers w:val="0"/>
              <w:spacing w:before="0" w:beforeAutospacing="0" w:after="0" w:afterAutospacing="0"/>
              <w:ind w:left="0" w:right="0"/>
              <w:rPr>
                <w:rFonts w:hint="eastAsia" w:ascii="宋体" w:hAnsi="宋体" w:eastAsia="宋体" w:cs="宋体"/>
                <w:b/>
                <w:bCs/>
                <w:lang w:eastAsia="zh-CN"/>
              </w:rPr>
            </w:pPr>
          </w:p>
          <w:p w14:paraId="4E267FDF">
            <w:pPr>
              <w:pStyle w:val="10"/>
              <w:keepNext w:val="0"/>
              <w:keepLines w:val="0"/>
              <w:suppressLineNumbers w:val="0"/>
              <w:spacing w:before="0" w:beforeAutospacing="0" w:after="0" w:afterAutospacing="0"/>
              <w:ind w:left="0" w:right="0"/>
              <w:rPr>
                <w:rFonts w:hint="eastAsia" w:ascii="宋体" w:hAnsi="宋体" w:eastAsia="宋体" w:cs="宋体"/>
                <w:b/>
                <w:bCs/>
                <w:lang w:eastAsia="zh-CN"/>
              </w:rPr>
            </w:pPr>
          </w:p>
          <w:p w14:paraId="3EEB0009">
            <w:pPr>
              <w:pStyle w:val="10"/>
              <w:keepNext w:val="0"/>
              <w:keepLines w:val="0"/>
              <w:suppressLineNumbers w:val="0"/>
              <w:spacing w:before="0" w:beforeAutospacing="0" w:after="0" w:afterAutospacing="0"/>
              <w:ind w:left="0" w:right="0"/>
              <w:rPr>
                <w:rFonts w:hint="eastAsia" w:ascii="Times New Roman" w:hAnsi="Times New Roman" w:eastAsia="仿宋" w:cs="Times New Roman"/>
                <w:lang w:eastAsia="zh-CN"/>
              </w:rPr>
            </w:pPr>
          </w:p>
        </w:tc>
      </w:tr>
      <w:tr w14:paraId="2C34B9A8">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416" w:hRule="atLeast"/>
          <w:jc w:val="center"/>
        </w:trPr>
        <w:tc>
          <w:tcPr>
            <w:tcW w:w="577" w:type="dxa"/>
            <w:noWrap w:val="0"/>
            <w:vAlign w:val="center"/>
          </w:tcPr>
          <w:p w14:paraId="3680FE7C">
            <w:pPr>
              <w:pStyle w:val="10"/>
              <w:keepNext w:val="0"/>
              <w:keepLines w:val="0"/>
              <w:suppressLineNumbers w:val="0"/>
              <w:spacing w:before="0" w:beforeAutospacing="0" w:after="0" w:afterAutospacing="0"/>
              <w:ind w:left="0" w:right="0"/>
              <w:jc w:val="center"/>
              <w:rPr>
                <w:rFonts w:hint="eastAsia" w:ascii="宋体" w:hAnsi="宋体" w:eastAsia="宋体" w:cs="宋体"/>
              </w:rPr>
            </w:pPr>
            <w:r>
              <w:rPr>
                <w:rFonts w:hint="eastAsia" w:ascii="宋体" w:hAnsi="宋体" w:eastAsia="宋体" w:cs="宋体"/>
                <w:bCs/>
              </w:rPr>
              <w:t>与项目有关的原有环境污染问题</w:t>
            </w:r>
          </w:p>
        </w:tc>
        <w:tc>
          <w:tcPr>
            <w:tcW w:w="8451" w:type="dxa"/>
            <w:noWrap w:val="0"/>
            <w:vAlign w:val="top"/>
          </w:tcPr>
          <w:p w14:paraId="2D20119F">
            <w:pPr>
              <w:pStyle w:val="10"/>
              <w:keepNext w:val="0"/>
              <w:keepLines w:val="0"/>
              <w:suppressLineNumbers w:val="0"/>
              <w:adjustRightInd w:val="0"/>
              <w:snapToGrid w:val="0"/>
              <w:spacing w:before="0" w:beforeAutospacing="0" w:after="0" w:afterAutospacing="0"/>
              <w:ind w:left="0" w:right="0" w:firstLine="480" w:firstLineChars="200"/>
              <w:rPr>
                <w:rFonts w:hint="eastAsia" w:ascii="Times New Roman" w:hAnsi="Times New Roman" w:cs="Times New Roman"/>
              </w:rPr>
            </w:pPr>
            <w:r>
              <w:rPr>
                <w:rFonts w:hint="eastAsia" w:ascii="宋体" w:hAnsi="宋体" w:eastAsia="宋体" w:cs="宋体"/>
                <w:lang w:eastAsia="zh-CN"/>
              </w:rPr>
              <w:t>江苏隆协机械有限公司</w:t>
            </w:r>
            <w:r>
              <w:rPr>
                <w:rFonts w:hint="eastAsia" w:ascii="宋体" w:hAnsi="宋体" w:eastAsia="宋体" w:cs="宋体"/>
              </w:rPr>
              <w:t>租用</w:t>
            </w:r>
            <w:r>
              <w:rPr>
                <w:rFonts w:hint="eastAsia" w:ascii="宋体" w:hAnsi="宋体" w:eastAsia="宋体" w:cs="宋体"/>
                <w:lang w:val="en-US" w:eastAsia="zh-CN"/>
              </w:rPr>
              <w:t>原陈武窑厂场地</w:t>
            </w:r>
            <w:r>
              <w:rPr>
                <w:rFonts w:hint="eastAsia" w:ascii="宋体" w:hAnsi="宋体" w:eastAsia="宋体" w:cs="宋体"/>
              </w:rPr>
              <w:t>进行建设</w:t>
            </w:r>
            <w:r>
              <w:rPr>
                <w:rFonts w:hint="eastAsia" w:ascii="宋体" w:hAnsi="宋体" w:eastAsia="宋体" w:cs="宋体"/>
                <w:lang w:eastAsia="zh-CN"/>
              </w:rPr>
              <w:t>，</w:t>
            </w:r>
            <w:r>
              <w:rPr>
                <w:rFonts w:hint="eastAsia" w:ascii="宋体" w:hAnsi="宋体" w:eastAsia="宋体" w:cs="宋体"/>
                <w:lang w:val="en-US" w:eastAsia="zh-CN"/>
              </w:rPr>
              <w:t>厂区现有1栋办公楼，其余为空地，本项目拟利用原有办公楼作为员工办公，新建1座生产厂房和1座库房。</w:t>
            </w:r>
            <w:r>
              <w:rPr>
                <w:rFonts w:hint="eastAsia" w:ascii="宋体" w:hAnsi="宋体" w:eastAsia="宋体" w:cs="宋体"/>
                <w:sz w:val="24"/>
                <w:szCs w:val="24"/>
                <w:lang w:val="en-US" w:eastAsia="zh-CN"/>
              </w:rPr>
              <w:t>原场址不存在从事化工、农药、石化、医药、金属冶炼、铅蓄电池、皮革、金属表面处理、生产储存使用危险化学品、贮存利用处置危险废物及其他可能造成场地污染的活动，该场地未发现环境遗留问题。</w:t>
            </w:r>
          </w:p>
        </w:tc>
      </w:tr>
    </w:tbl>
    <w:p w14:paraId="7DE6A52B">
      <w:pPr>
        <w:rPr>
          <w:rFonts w:hint="eastAsia"/>
        </w:rPr>
      </w:pPr>
    </w:p>
    <w:p w14:paraId="35445872">
      <w:pPr>
        <w:pStyle w:val="53"/>
        <w:rPr>
          <w:rFonts w:ascii="宋体" w:hAnsi="宋体" w:eastAsia="宋体" w:cs="宋体"/>
        </w:rPr>
        <w:sectPr>
          <w:pgSz w:w="11906" w:h="16838"/>
          <w:pgMar w:top="1440" w:right="1800" w:bottom="1440" w:left="1800" w:header="851" w:footer="851" w:gutter="0"/>
          <w:pgBorders>
            <w:top w:val="none" w:sz="0" w:space="0"/>
            <w:left w:val="none" w:sz="0" w:space="0"/>
            <w:bottom w:val="none" w:sz="0" w:space="0"/>
            <w:right w:val="none" w:sz="0" w:space="0"/>
          </w:pgBorders>
          <w:cols w:space="720" w:num="1"/>
          <w:docGrid w:linePitch="312" w:charSpace="0"/>
        </w:sectPr>
      </w:pPr>
    </w:p>
    <w:p w14:paraId="323236E4">
      <w:pPr>
        <w:pStyle w:val="2"/>
        <w:jc w:val="both"/>
        <w:rPr>
          <w:rFonts w:hint="eastAsia" w:ascii="宋体" w:hAnsi="宋体" w:cs="宋体"/>
          <w:color w:val="auto"/>
        </w:rPr>
      </w:pPr>
      <w:bookmarkStart w:id="30" w:name="_Toc23429"/>
      <w:r>
        <w:rPr>
          <w:rFonts w:hint="eastAsia"/>
        </w:rPr>
        <w:t>三、区域环境质量现状、环境保护目标及评价标准</w:t>
      </w:r>
      <w:bookmarkEnd w:id="30"/>
    </w:p>
    <w:tbl>
      <w:tblPr>
        <w:tblStyle w:val="30"/>
        <w:tblW w:w="9026"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531"/>
        <w:gridCol w:w="8495"/>
      </w:tblGrid>
      <w:tr w14:paraId="37EECB00">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 w:hRule="atLeast"/>
          <w:jc w:val="center"/>
        </w:trPr>
        <w:tc>
          <w:tcPr>
            <w:tcW w:w="531" w:type="dxa"/>
            <w:noWrap w:val="0"/>
            <w:vAlign w:val="center"/>
          </w:tcPr>
          <w:p w14:paraId="2B41EE7B">
            <w:pPr>
              <w:keepNext w:val="0"/>
              <w:keepLines w:val="0"/>
              <w:suppressLineNumbers w:val="0"/>
              <w:spacing w:before="0" w:beforeAutospacing="0" w:after="0" w:afterAutospacing="0"/>
              <w:ind w:left="0" w:right="0"/>
              <w:rPr>
                <w:rFonts w:hint="eastAsia" w:ascii="宋体" w:hAnsi="宋体" w:eastAsia="宋体" w:cs="宋体"/>
              </w:rPr>
            </w:pPr>
            <w:r>
              <w:rPr>
                <w:rFonts w:hint="eastAsia" w:ascii="宋体" w:hAnsi="宋体" w:eastAsia="宋体" w:cs="宋体"/>
              </w:rPr>
              <w:t>区域</w:t>
            </w:r>
          </w:p>
          <w:p w14:paraId="3D798758">
            <w:pPr>
              <w:keepNext w:val="0"/>
              <w:keepLines w:val="0"/>
              <w:suppressLineNumbers w:val="0"/>
              <w:spacing w:before="0" w:beforeAutospacing="0" w:after="0" w:afterAutospacing="0"/>
              <w:ind w:left="0" w:right="0"/>
              <w:rPr>
                <w:rFonts w:hint="eastAsia" w:ascii="宋体" w:hAnsi="宋体" w:eastAsia="宋体" w:cs="宋体"/>
              </w:rPr>
            </w:pPr>
            <w:r>
              <w:rPr>
                <w:rFonts w:hint="eastAsia" w:ascii="宋体" w:hAnsi="宋体" w:eastAsia="宋体" w:cs="宋体"/>
              </w:rPr>
              <w:t>环境</w:t>
            </w:r>
          </w:p>
          <w:p w14:paraId="6BF77AE9">
            <w:pPr>
              <w:keepNext w:val="0"/>
              <w:keepLines w:val="0"/>
              <w:suppressLineNumbers w:val="0"/>
              <w:spacing w:before="0" w:beforeAutospacing="0" w:after="0" w:afterAutospacing="0"/>
              <w:ind w:left="0" w:right="0"/>
              <w:rPr>
                <w:rFonts w:hint="eastAsia" w:ascii="宋体" w:hAnsi="宋体" w:eastAsia="宋体" w:cs="宋体"/>
              </w:rPr>
            </w:pPr>
            <w:r>
              <w:rPr>
                <w:rFonts w:hint="eastAsia" w:ascii="宋体" w:hAnsi="宋体" w:eastAsia="宋体" w:cs="宋体"/>
              </w:rPr>
              <w:t>质量</w:t>
            </w:r>
          </w:p>
          <w:p w14:paraId="0F4EC03F">
            <w:pPr>
              <w:keepNext w:val="0"/>
              <w:keepLines w:val="0"/>
              <w:suppressLineNumbers w:val="0"/>
              <w:spacing w:before="0" w:beforeAutospacing="0" w:after="0" w:afterAutospacing="0"/>
              <w:ind w:left="0" w:right="0"/>
              <w:rPr>
                <w:rFonts w:hint="eastAsia" w:ascii="宋体" w:hAnsi="宋体" w:eastAsia="宋体" w:cs="宋体"/>
                <w:color w:val="FF0000"/>
              </w:rPr>
            </w:pPr>
            <w:r>
              <w:rPr>
                <w:rFonts w:hint="eastAsia" w:ascii="宋体" w:hAnsi="宋体" w:eastAsia="宋体" w:cs="宋体"/>
              </w:rPr>
              <w:t>现状</w:t>
            </w:r>
          </w:p>
        </w:tc>
        <w:tc>
          <w:tcPr>
            <w:tcW w:w="8495" w:type="dxa"/>
            <w:noWrap w:val="0"/>
            <w:vAlign w:val="center"/>
          </w:tcPr>
          <w:p w14:paraId="1ACC5F4E">
            <w:pPr>
              <w:keepNext w:val="0"/>
              <w:keepLines w:val="0"/>
              <w:pageBreakBefore w:val="0"/>
              <w:widowControl w:val="0"/>
              <w:numPr>
                <w:ilvl w:val="0"/>
                <w:numId w:val="5"/>
              </w:numPr>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宋体" w:hAnsi="宋体" w:eastAsia="宋体" w:cs="宋体"/>
              </w:rPr>
            </w:pPr>
            <w:r>
              <w:rPr>
                <w:rFonts w:hint="eastAsia" w:ascii="宋体" w:hAnsi="宋体" w:eastAsia="宋体" w:cs="宋体"/>
              </w:rPr>
              <w:t>环境空气质量现状</w:t>
            </w:r>
          </w:p>
          <w:p w14:paraId="2A7C742C">
            <w:pPr>
              <w:keepNext w:val="0"/>
              <w:keepLines w:val="0"/>
              <w:suppressLineNumbers w:val="0"/>
              <w:snapToGrid w:val="0"/>
              <w:spacing w:before="0" w:beforeAutospacing="0" w:after="0" w:afterAutospacing="0" w:line="360" w:lineRule="auto"/>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⑴</w:t>
            </w:r>
            <w:r>
              <w:rPr>
                <w:rFonts w:hint="eastAsia" w:ascii="宋体" w:hAnsi="宋体" w:eastAsia="宋体" w:cs="宋体"/>
                <w:color w:val="auto"/>
              </w:rPr>
              <w:t>基本污染物环境质量现状</w:t>
            </w:r>
          </w:p>
          <w:p w14:paraId="245198F3">
            <w:pPr>
              <w:keepNext w:val="0"/>
              <w:keepLines w:val="0"/>
              <w:suppressLineNumbers w:val="0"/>
              <w:snapToGrid w:val="0"/>
              <w:spacing w:before="0" w:beforeAutospacing="0" w:after="0" w:afterAutospacing="0" w:line="360" w:lineRule="auto"/>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本次评价选取20</w:t>
            </w:r>
            <w:r>
              <w:rPr>
                <w:rFonts w:hint="eastAsia" w:ascii="宋体" w:hAnsi="宋体" w:eastAsia="宋体" w:cs="宋体"/>
                <w:color w:val="auto"/>
                <w:sz w:val="24"/>
                <w:szCs w:val="24"/>
                <w:lang w:val="en-US" w:eastAsia="zh-CN"/>
              </w:rPr>
              <w:t>24</w:t>
            </w:r>
            <w:r>
              <w:rPr>
                <w:rFonts w:hint="eastAsia" w:ascii="宋体" w:hAnsi="宋体" w:eastAsia="宋体" w:cs="宋体"/>
                <w:color w:val="auto"/>
                <w:sz w:val="24"/>
                <w:szCs w:val="24"/>
              </w:rPr>
              <w:t>年作为评价基准年，根据《</w:t>
            </w:r>
            <w:r>
              <w:rPr>
                <w:rFonts w:hint="eastAsia" w:ascii="宋体" w:hAnsi="宋体" w:eastAsia="宋体" w:cs="宋体"/>
                <w:color w:val="auto"/>
                <w:sz w:val="24"/>
                <w:szCs w:val="24"/>
                <w:lang w:eastAsia="zh-CN"/>
              </w:rPr>
              <w:t>202</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年度</w:t>
            </w:r>
            <w:r>
              <w:rPr>
                <w:rFonts w:hint="eastAsia" w:ascii="宋体" w:hAnsi="宋体" w:eastAsia="宋体" w:cs="宋体"/>
                <w:color w:val="auto"/>
                <w:sz w:val="24"/>
                <w:szCs w:val="24"/>
                <w:lang w:val="en-US" w:eastAsia="zh-CN"/>
              </w:rPr>
              <w:t>镇江</w:t>
            </w:r>
            <w:r>
              <w:rPr>
                <w:rFonts w:hint="eastAsia" w:ascii="宋体" w:hAnsi="宋体" w:eastAsia="宋体" w:cs="宋体"/>
                <w:color w:val="auto"/>
                <w:sz w:val="24"/>
                <w:szCs w:val="24"/>
                <w:lang w:eastAsia="zh-CN"/>
              </w:rPr>
              <w:t>市生态环境状况公报</w:t>
            </w:r>
            <w:r>
              <w:rPr>
                <w:rFonts w:hint="eastAsia" w:ascii="宋体" w:hAnsi="宋体" w:eastAsia="宋体" w:cs="宋体"/>
                <w:color w:val="auto"/>
                <w:sz w:val="24"/>
                <w:szCs w:val="24"/>
              </w:rPr>
              <w:t>》，项目所在区域各评价因子数据见表3-1。</w:t>
            </w:r>
          </w:p>
          <w:p w14:paraId="60F9820E">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b/>
                <w:bCs/>
                <w:color w:val="auto"/>
                <w:sz w:val="24"/>
                <w:szCs w:val="24"/>
              </w:rPr>
              <w:t>表3-1  20</w:t>
            </w:r>
            <w:r>
              <w:rPr>
                <w:rFonts w:hint="eastAsia" w:ascii="宋体" w:hAnsi="宋体" w:eastAsia="宋体" w:cs="宋体"/>
                <w:b/>
                <w:bCs/>
                <w:color w:val="auto"/>
                <w:sz w:val="24"/>
                <w:szCs w:val="24"/>
                <w:lang w:val="en-US" w:eastAsia="zh-CN"/>
              </w:rPr>
              <w:t>24</w:t>
            </w:r>
            <w:r>
              <w:rPr>
                <w:rFonts w:hint="eastAsia" w:ascii="宋体" w:hAnsi="宋体" w:eastAsia="宋体" w:cs="宋体"/>
                <w:b/>
                <w:bCs/>
                <w:color w:val="auto"/>
                <w:sz w:val="24"/>
                <w:szCs w:val="24"/>
              </w:rPr>
              <w:t xml:space="preserve"> 年度镇江市环境状况</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861"/>
              <w:gridCol w:w="2103"/>
              <w:gridCol w:w="1314"/>
              <w:gridCol w:w="1247"/>
              <w:gridCol w:w="1379"/>
              <w:gridCol w:w="1375"/>
            </w:tblGrid>
            <w:tr w14:paraId="1738FF1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20" w:type="pct"/>
                  <w:noWrap w:val="0"/>
                  <w:vAlign w:val="center"/>
                </w:tcPr>
                <w:p w14:paraId="77377E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污染物</w:t>
                  </w:r>
                </w:p>
              </w:tc>
              <w:tc>
                <w:tcPr>
                  <w:tcW w:w="1270" w:type="pct"/>
                  <w:noWrap w:val="0"/>
                  <w:vAlign w:val="center"/>
                </w:tcPr>
                <w:p w14:paraId="79BE62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年评价指标</w:t>
                  </w:r>
                </w:p>
              </w:tc>
              <w:tc>
                <w:tcPr>
                  <w:tcW w:w="794" w:type="pct"/>
                  <w:noWrap w:val="0"/>
                  <w:vAlign w:val="center"/>
                </w:tcPr>
                <w:p w14:paraId="4A20AB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现状浓度</w:t>
                  </w:r>
                </w:p>
              </w:tc>
              <w:tc>
                <w:tcPr>
                  <w:tcW w:w="753" w:type="pct"/>
                  <w:noWrap w:val="0"/>
                  <w:vAlign w:val="center"/>
                </w:tcPr>
                <w:p w14:paraId="2133D1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标准值</w:t>
                  </w:r>
                </w:p>
              </w:tc>
              <w:tc>
                <w:tcPr>
                  <w:tcW w:w="833" w:type="pct"/>
                  <w:noWrap w:val="0"/>
                  <w:vAlign w:val="center"/>
                </w:tcPr>
                <w:p w14:paraId="582262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占标率%</w:t>
                  </w:r>
                </w:p>
              </w:tc>
              <w:tc>
                <w:tcPr>
                  <w:tcW w:w="830" w:type="pct"/>
                  <w:noWrap w:val="0"/>
                  <w:vAlign w:val="center"/>
                </w:tcPr>
                <w:p w14:paraId="1345B9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达标情况</w:t>
                  </w:r>
                </w:p>
              </w:tc>
            </w:tr>
            <w:tr w14:paraId="1B64FC2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20" w:type="pct"/>
                  <w:noWrap w:val="0"/>
                  <w:vAlign w:val="center"/>
                </w:tcPr>
                <w:p w14:paraId="1278FA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SO</w:t>
                  </w:r>
                  <w:r>
                    <w:rPr>
                      <w:rFonts w:hint="eastAsia" w:ascii="宋体" w:hAnsi="宋体" w:eastAsia="宋体" w:cs="宋体"/>
                      <w:color w:val="auto"/>
                      <w:sz w:val="21"/>
                      <w:szCs w:val="21"/>
                      <w:vertAlign w:val="subscript"/>
                    </w:rPr>
                    <w:t>2</w:t>
                  </w:r>
                </w:p>
              </w:tc>
              <w:tc>
                <w:tcPr>
                  <w:tcW w:w="1270" w:type="pct"/>
                  <w:noWrap w:val="0"/>
                  <w:vAlign w:val="center"/>
                </w:tcPr>
                <w:p w14:paraId="4EC4CC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年平均质量浓度</w:t>
                  </w:r>
                </w:p>
              </w:tc>
              <w:tc>
                <w:tcPr>
                  <w:tcW w:w="1341" w:type="dxa"/>
                  <w:noWrap w:val="0"/>
                  <w:vAlign w:val="center"/>
                </w:tcPr>
                <w:p w14:paraId="72D9F3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w:t>
                  </w:r>
                </w:p>
              </w:tc>
              <w:tc>
                <w:tcPr>
                  <w:tcW w:w="1272" w:type="dxa"/>
                  <w:noWrap w:val="0"/>
                  <w:vAlign w:val="center"/>
                </w:tcPr>
                <w:p w14:paraId="364058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60</w:t>
                  </w:r>
                </w:p>
              </w:tc>
              <w:tc>
                <w:tcPr>
                  <w:tcW w:w="1407" w:type="dxa"/>
                  <w:noWrap w:val="0"/>
                  <w:vAlign w:val="center"/>
                </w:tcPr>
                <w:p w14:paraId="17A8E0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c>
                <w:tcPr>
                  <w:tcW w:w="1403" w:type="dxa"/>
                  <w:noWrap w:val="0"/>
                  <w:vAlign w:val="center"/>
                </w:tcPr>
                <w:p w14:paraId="3B4CD3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达标</w:t>
                  </w:r>
                </w:p>
              </w:tc>
            </w:tr>
            <w:tr w14:paraId="02C782D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20" w:type="pct"/>
                  <w:noWrap w:val="0"/>
                  <w:vAlign w:val="center"/>
                </w:tcPr>
                <w:p w14:paraId="3A4345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NO</w:t>
                  </w:r>
                  <w:r>
                    <w:rPr>
                      <w:rFonts w:hint="eastAsia" w:ascii="宋体" w:hAnsi="宋体" w:eastAsia="宋体" w:cs="宋体"/>
                      <w:color w:val="auto"/>
                      <w:sz w:val="21"/>
                      <w:szCs w:val="21"/>
                      <w:vertAlign w:val="subscript"/>
                    </w:rPr>
                    <w:t>2</w:t>
                  </w:r>
                </w:p>
              </w:tc>
              <w:tc>
                <w:tcPr>
                  <w:tcW w:w="1270" w:type="pct"/>
                  <w:noWrap w:val="0"/>
                  <w:vAlign w:val="center"/>
                </w:tcPr>
                <w:p w14:paraId="3114FF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年平均质量浓度</w:t>
                  </w:r>
                </w:p>
              </w:tc>
              <w:tc>
                <w:tcPr>
                  <w:tcW w:w="1341" w:type="dxa"/>
                  <w:noWrap w:val="0"/>
                  <w:vAlign w:val="center"/>
                </w:tcPr>
                <w:p w14:paraId="13AEBF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27</w:t>
                  </w:r>
                </w:p>
              </w:tc>
              <w:tc>
                <w:tcPr>
                  <w:tcW w:w="1272" w:type="dxa"/>
                  <w:noWrap w:val="0"/>
                  <w:vAlign w:val="center"/>
                </w:tcPr>
                <w:p w14:paraId="76729F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40</w:t>
                  </w:r>
                </w:p>
              </w:tc>
              <w:tc>
                <w:tcPr>
                  <w:tcW w:w="1407" w:type="dxa"/>
                  <w:noWrap w:val="0"/>
                  <w:vAlign w:val="center"/>
                </w:tcPr>
                <w:p w14:paraId="6A5E44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67.5</w:t>
                  </w:r>
                </w:p>
              </w:tc>
              <w:tc>
                <w:tcPr>
                  <w:tcW w:w="1403" w:type="dxa"/>
                  <w:noWrap w:val="0"/>
                  <w:vAlign w:val="center"/>
                </w:tcPr>
                <w:p w14:paraId="5E79A4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达标</w:t>
                  </w:r>
                </w:p>
              </w:tc>
            </w:tr>
            <w:tr w14:paraId="4C8971D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20" w:type="pct"/>
                  <w:noWrap w:val="0"/>
                  <w:vAlign w:val="center"/>
                </w:tcPr>
                <w:p w14:paraId="502033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PM</w:t>
                  </w:r>
                  <w:r>
                    <w:rPr>
                      <w:rFonts w:hint="eastAsia" w:ascii="宋体" w:hAnsi="宋体" w:eastAsia="宋体" w:cs="宋体"/>
                      <w:color w:val="auto"/>
                      <w:sz w:val="21"/>
                      <w:szCs w:val="21"/>
                      <w:vertAlign w:val="subscript"/>
                    </w:rPr>
                    <w:t>10</w:t>
                  </w:r>
                </w:p>
              </w:tc>
              <w:tc>
                <w:tcPr>
                  <w:tcW w:w="1270" w:type="pct"/>
                  <w:noWrap w:val="0"/>
                  <w:vAlign w:val="center"/>
                </w:tcPr>
                <w:p w14:paraId="372AA4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年平均质量浓度</w:t>
                  </w:r>
                </w:p>
              </w:tc>
              <w:tc>
                <w:tcPr>
                  <w:tcW w:w="1341" w:type="dxa"/>
                  <w:noWrap w:val="0"/>
                  <w:vAlign w:val="center"/>
                </w:tcPr>
                <w:p w14:paraId="46A197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5</w:t>
                  </w:r>
                  <w:r>
                    <w:rPr>
                      <w:rFonts w:hint="eastAsia" w:ascii="宋体" w:hAnsi="宋体" w:eastAsia="宋体" w:cs="宋体"/>
                      <w:color w:val="auto"/>
                      <w:sz w:val="21"/>
                      <w:szCs w:val="21"/>
                      <w:lang w:val="en-US" w:eastAsia="zh-CN"/>
                    </w:rPr>
                    <w:t>1</w:t>
                  </w:r>
                </w:p>
              </w:tc>
              <w:tc>
                <w:tcPr>
                  <w:tcW w:w="1272" w:type="dxa"/>
                  <w:noWrap w:val="0"/>
                  <w:vAlign w:val="center"/>
                </w:tcPr>
                <w:p w14:paraId="1B01FA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70</w:t>
                  </w:r>
                </w:p>
              </w:tc>
              <w:tc>
                <w:tcPr>
                  <w:tcW w:w="1407" w:type="dxa"/>
                  <w:noWrap w:val="0"/>
                  <w:vAlign w:val="center"/>
                </w:tcPr>
                <w:p w14:paraId="694330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72.86</w:t>
                  </w:r>
                </w:p>
              </w:tc>
              <w:tc>
                <w:tcPr>
                  <w:tcW w:w="1403" w:type="dxa"/>
                  <w:noWrap w:val="0"/>
                  <w:vAlign w:val="center"/>
                </w:tcPr>
                <w:p w14:paraId="0E2217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达标</w:t>
                  </w:r>
                </w:p>
              </w:tc>
            </w:tr>
            <w:tr w14:paraId="0032A10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20" w:type="pct"/>
                  <w:noWrap w:val="0"/>
                  <w:vAlign w:val="center"/>
                </w:tcPr>
                <w:p w14:paraId="6A561B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PM</w:t>
                  </w:r>
                  <w:r>
                    <w:rPr>
                      <w:rFonts w:hint="eastAsia" w:ascii="宋体" w:hAnsi="宋体" w:eastAsia="宋体" w:cs="宋体"/>
                      <w:color w:val="auto"/>
                      <w:sz w:val="21"/>
                      <w:szCs w:val="21"/>
                      <w:vertAlign w:val="subscript"/>
                    </w:rPr>
                    <w:t>2.5</w:t>
                  </w:r>
                </w:p>
              </w:tc>
              <w:tc>
                <w:tcPr>
                  <w:tcW w:w="1270" w:type="pct"/>
                  <w:noWrap w:val="0"/>
                  <w:vAlign w:val="center"/>
                </w:tcPr>
                <w:p w14:paraId="1DA6C4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年平均质量浓度</w:t>
                  </w:r>
                </w:p>
              </w:tc>
              <w:tc>
                <w:tcPr>
                  <w:tcW w:w="1341" w:type="dxa"/>
                  <w:noWrap w:val="0"/>
                  <w:vAlign w:val="center"/>
                </w:tcPr>
                <w:p w14:paraId="3ECB2B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3</w:t>
                  </w:r>
                  <w:r>
                    <w:rPr>
                      <w:rFonts w:hint="eastAsia" w:ascii="宋体" w:hAnsi="宋体" w:eastAsia="宋体" w:cs="宋体"/>
                      <w:color w:val="auto"/>
                      <w:sz w:val="21"/>
                      <w:szCs w:val="21"/>
                      <w:lang w:val="en-US" w:eastAsia="zh-CN"/>
                    </w:rPr>
                    <w:t>5</w:t>
                  </w:r>
                </w:p>
              </w:tc>
              <w:tc>
                <w:tcPr>
                  <w:tcW w:w="1272" w:type="dxa"/>
                  <w:noWrap w:val="0"/>
                  <w:vAlign w:val="center"/>
                </w:tcPr>
                <w:p w14:paraId="6562AB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35</w:t>
                  </w:r>
                </w:p>
              </w:tc>
              <w:tc>
                <w:tcPr>
                  <w:tcW w:w="1407" w:type="dxa"/>
                  <w:noWrap w:val="0"/>
                  <w:vAlign w:val="center"/>
                </w:tcPr>
                <w:p w14:paraId="2F6666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100</w:t>
                  </w:r>
                </w:p>
              </w:tc>
              <w:tc>
                <w:tcPr>
                  <w:tcW w:w="1403" w:type="dxa"/>
                  <w:noWrap w:val="0"/>
                  <w:vAlign w:val="center"/>
                </w:tcPr>
                <w:p w14:paraId="209747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达标</w:t>
                  </w:r>
                </w:p>
              </w:tc>
            </w:tr>
            <w:tr w14:paraId="3E4FF46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20" w:type="pct"/>
                  <w:noWrap w:val="0"/>
                  <w:vAlign w:val="center"/>
                </w:tcPr>
                <w:p w14:paraId="728355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CO</w:t>
                  </w:r>
                </w:p>
              </w:tc>
              <w:tc>
                <w:tcPr>
                  <w:tcW w:w="1270" w:type="pct"/>
                  <w:noWrap w:val="0"/>
                  <w:vAlign w:val="center"/>
                </w:tcPr>
                <w:p w14:paraId="741A33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百分位数日平均或8h平均质量浓度</w:t>
                  </w:r>
                </w:p>
              </w:tc>
              <w:tc>
                <w:tcPr>
                  <w:tcW w:w="1341" w:type="dxa"/>
                  <w:noWrap w:val="0"/>
                  <w:vAlign w:val="center"/>
                </w:tcPr>
                <w:p w14:paraId="786A27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0.8</w:t>
                  </w:r>
                  <w:r>
                    <w:rPr>
                      <w:rFonts w:hint="eastAsia" w:ascii="宋体" w:hAnsi="宋体" w:eastAsia="宋体" w:cs="宋体"/>
                      <w:color w:val="auto"/>
                      <w:sz w:val="21"/>
                      <w:szCs w:val="21"/>
                    </w:rPr>
                    <w:t>mg/m</w:t>
                  </w:r>
                  <w:r>
                    <w:rPr>
                      <w:rFonts w:hint="eastAsia" w:ascii="宋体" w:hAnsi="宋体" w:eastAsia="宋体" w:cs="宋体"/>
                      <w:color w:val="auto"/>
                      <w:sz w:val="21"/>
                      <w:szCs w:val="21"/>
                      <w:vertAlign w:val="superscript"/>
                    </w:rPr>
                    <w:t>3</w:t>
                  </w:r>
                </w:p>
              </w:tc>
              <w:tc>
                <w:tcPr>
                  <w:tcW w:w="1272" w:type="dxa"/>
                  <w:noWrap w:val="0"/>
                  <w:vAlign w:val="center"/>
                </w:tcPr>
                <w:p w14:paraId="703A79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4.0 mg/m</w:t>
                  </w:r>
                  <w:r>
                    <w:rPr>
                      <w:rFonts w:hint="eastAsia" w:ascii="宋体" w:hAnsi="宋体" w:eastAsia="宋体" w:cs="宋体"/>
                      <w:color w:val="auto"/>
                      <w:sz w:val="21"/>
                      <w:szCs w:val="21"/>
                      <w:vertAlign w:val="superscript"/>
                    </w:rPr>
                    <w:t>3</w:t>
                  </w:r>
                </w:p>
              </w:tc>
              <w:tc>
                <w:tcPr>
                  <w:tcW w:w="1407" w:type="dxa"/>
                  <w:noWrap w:val="0"/>
                  <w:vAlign w:val="center"/>
                </w:tcPr>
                <w:p w14:paraId="2E97B5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w:t>
                  </w:r>
                </w:p>
              </w:tc>
              <w:tc>
                <w:tcPr>
                  <w:tcW w:w="1403" w:type="dxa"/>
                  <w:noWrap w:val="0"/>
                  <w:vAlign w:val="center"/>
                </w:tcPr>
                <w:p w14:paraId="1C384A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达标</w:t>
                  </w:r>
                </w:p>
              </w:tc>
            </w:tr>
            <w:tr w14:paraId="70087B9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20" w:type="pct"/>
                  <w:noWrap w:val="0"/>
                  <w:vAlign w:val="center"/>
                </w:tcPr>
                <w:p w14:paraId="079C67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O</w:t>
                  </w:r>
                  <w:r>
                    <w:rPr>
                      <w:rFonts w:hint="eastAsia" w:ascii="宋体" w:hAnsi="宋体" w:eastAsia="宋体" w:cs="宋体"/>
                      <w:color w:val="auto"/>
                      <w:sz w:val="21"/>
                      <w:szCs w:val="21"/>
                      <w:vertAlign w:val="subscript"/>
                    </w:rPr>
                    <w:t>3</w:t>
                  </w:r>
                </w:p>
              </w:tc>
              <w:tc>
                <w:tcPr>
                  <w:tcW w:w="1270" w:type="pct"/>
                  <w:noWrap w:val="0"/>
                  <w:vAlign w:val="center"/>
                </w:tcPr>
                <w:p w14:paraId="70F478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百分位数日平均或8h平均质量浓度</w:t>
                  </w:r>
                </w:p>
              </w:tc>
              <w:tc>
                <w:tcPr>
                  <w:tcW w:w="1341" w:type="dxa"/>
                  <w:noWrap w:val="0"/>
                  <w:vAlign w:val="center"/>
                </w:tcPr>
                <w:p w14:paraId="51E29E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65</w:t>
                  </w:r>
                </w:p>
              </w:tc>
              <w:tc>
                <w:tcPr>
                  <w:tcW w:w="1272" w:type="dxa"/>
                  <w:noWrap w:val="0"/>
                  <w:vAlign w:val="center"/>
                </w:tcPr>
                <w:p w14:paraId="22B3EE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160</w:t>
                  </w:r>
                </w:p>
              </w:tc>
              <w:tc>
                <w:tcPr>
                  <w:tcW w:w="1407" w:type="dxa"/>
                  <w:noWrap w:val="0"/>
                  <w:vAlign w:val="center"/>
                </w:tcPr>
                <w:p w14:paraId="75DE75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10</w:t>
                  </w:r>
                  <w:r>
                    <w:rPr>
                      <w:rFonts w:hint="eastAsia" w:ascii="宋体" w:hAnsi="宋体" w:eastAsia="宋体" w:cs="宋体"/>
                      <w:color w:val="auto"/>
                      <w:sz w:val="21"/>
                      <w:szCs w:val="21"/>
                      <w:lang w:val="en-US" w:eastAsia="zh-CN"/>
                    </w:rPr>
                    <w:t>3.13</w:t>
                  </w:r>
                </w:p>
              </w:tc>
              <w:tc>
                <w:tcPr>
                  <w:tcW w:w="1403" w:type="dxa"/>
                  <w:noWrap w:val="0"/>
                  <w:vAlign w:val="center"/>
                </w:tcPr>
                <w:p w14:paraId="0B8112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不达标</w:t>
                  </w:r>
                </w:p>
              </w:tc>
            </w:tr>
          </w:tbl>
          <w:p w14:paraId="469B0224">
            <w:pPr>
              <w:keepNext w:val="0"/>
              <w:keepLines w:val="0"/>
              <w:suppressLineNumbers w:val="0"/>
              <w:snapToGrid w:val="0"/>
              <w:spacing w:before="0" w:beforeAutospacing="0" w:after="0" w:afterAutospacing="0" w:line="360" w:lineRule="auto"/>
              <w:ind w:left="0" w:right="0"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根据《环境影响评价技术导则 大气环境》（HJ2.2-2018）第6.4.1条，城市环境空气质量达标情况评价指标为SO</w:t>
            </w:r>
            <w:r>
              <w:rPr>
                <w:rFonts w:hint="eastAsia" w:ascii="宋体" w:hAnsi="宋体" w:eastAsia="宋体" w:cs="宋体"/>
                <w:color w:val="auto"/>
                <w:sz w:val="24"/>
                <w:szCs w:val="24"/>
                <w:vertAlign w:val="subscript"/>
              </w:rPr>
              <w:t>2</w:t>
            </w:r>
            <w:r>
              <w:rPr>
                <w:rFonts w:hint="eastAsia" w:ascii="宋体" w:hAnsi="宋体" w:eastAsia="宋体" w:cs="宋体"/>
                <w:color w:val="auto"/>
                <w:sz w:val="24"/>
                <w:szCs w:val="24"/>
              </w:rPr>
              <w:t>、NO</w:t>
            </w:r>
            <w:r>
              <w:rPr>
                <w:rFonts w:hint="eastAsia" w:ascii="宋体" w:hAnsi="宋体" w:eastAsia="宋体" w:cs="宋体"/>
                <w:color w:val="auto"/>
                <w:sz w:val="24"/>
                <w:szCs w:val="24"/>
                <w:vertAlign w:val="subscript"/>
              </w:rPr>
              <w:t>2</w:t>
            </w:r>
            <w:r>
              <w:rPr>
                <w:rFonts w:hint="eastAsia" w:ascii="宋体" w:hAnsi="宋体" w:eastAsia="宋体" w:cs="宋体"/>
                <w:color w:val="auto"/>
                <w:sz w:val="24"/>
                <w:szCs w:val="24"/>
              </w:rPr>
              <w:t>、PM</w:t>
            </w:r>
            <w:r>
              <w:rPr>
                <w:rFonts w:hint="eastAsia" w:ascii="宋体" w:hAnsi="宋体" w:eastAsia="宋体" w:cs="宋体"/>
                <w:color w:val="auto"/>
                <w:sz w:val="24"/>
                <w:szCs w:val="24"/>
                <w:vertAlign w:val="subscript"/>
              </w:rPr>
              <w:t>10</w:t>
            </w:r>
            <w:r>
              <w:rPr>
                <w:rFonts w:hint="eastAsia" w:ascii="宋体" w:hAnsi="宋体" w:eastAsia="宋体" w:cs="宋体"/>
                <w:color w:val="auto"/>
                <w:sz w:val="24"/>
                <w:szCs w:val="24"/>
              </w:rPr>
              <w:t>、PM</w:t>
            </w:r>
            <w:r>
              <w:rPr>
                <w:rFonts w:hint="eastAsia" w:ascii="宋体" w:hAnsi="宋体" w:eastAsia="宋体" w:cs="宋体"/>
                <w:color w:val="auto"/>
                <w:sz w:val="24"/>
                <w:szCs w:val="24"/>
                <w:vertAlign w:val="subscript"/>
              </w:rPr>
              <w:t>2.5</w:t>
            </w:r>
            <w:r>
              <w:rPr>
                <w:rFonts w:hint="eastAsia" w:ascii="宋体" w:hAnsi="宋体" w:eastAsia="宋体" w:cs="宋体"/>
                <w:color w:val="auto"/>
                <w:sz w:val="24"/>
                <w:szCs w:val="24"/>
              </w:rPr>
              <w:t>、O</w:t>
            </w:r>
            <w:r>
              <w:rPr>
                <w:rFonts w:hint="eastAsia" w:ascii="宋体" w:hAnsi="宋体" w:eastAsia="宋体" w:cs="宋体"/>
                <w:color w:val="auto"/>
                <w:sz w:val="24"/>
                <w:szCs w:val="24"/>
                <w:vertAlign w:val="subscript"/>
              </w:rPr>
              <w:t>3</w:t>
            </w:r>
            <w:r>
              <w:rPr>
                <w:rFonts w:hint="eastAsia" w:ascii="宋体" w:hAnsi="宋体" w:eastAsia="宋体" w:cs="宋体"/>
                <w:color w:val="auto"/>
                <w:sz w:val="24"/>
                <w:szCs w:val="24"/>
              </w:rPr>
              <w:t>、CO；六项污染物全部达标即为城市环境空气指标达标。根据表3-1，项目所在区</w:t>
            </w:r>
            <w:r>
              <w:rPr>
                <w:rFonts w:hint="eastAsia" w:ascii="宋体" w:hAnsi="宋体" w:eastAsia="宋体" w:cs="宋体"/>
                <w:color w:val="auto"/>
                <w:sz w:val="24"/>
                <w:szCs w:val="24"/>
                <w:lang w:eastAsia="zh-CN"/>
              </w:rPr>
              <w:t>臭氧</w:t>
            </w:r>
            <w:r>
              <w:rPr>
                <w:rFonts w:hint="eastAsia" w:ascii="宋体" w:hAnsi="宋体" w:eastAsia="宋体" w:cs="宋体"/>
                <w:color w:val="auto"/>
                <w:sz w:val="24"/>
                <w:szCs w:val="24"/>
              </w:rPr>
              <w:t>浓度超标，判定为不达标区。</w:t>
            </w:r>
          </w:p>
          <w:p w14:paraId="4CB86A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根据区域空气质量达标要求，镇江市深入打好污染防治攻坚战指挥部办公室出台了《关于印发&lt;镇江市 2025 年大气污染防治工作计划&gt;的通知》（镇污治指办〔2025〕19号），通过坚决遏制高耗能、高排放、低水平项目盲目上马、加快退出重点行业落后产能、推进能源结构调整优化、实施重点行业大气污染深度治理、加快实施低VOCs含量原辅材料替代、强化VOCs综合治理等工作，重点做好PM2.5和臭氧浓度“双减双控”，区域大气环境质量状况可以得到进一步改善。</w:t>
            </w:r>
          </w:p>
          <w:p w14:paraId="29E7D687">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0"/>
              <w:textAlignment w:val="auto"/>
              <w:rPr>
                <w:rFonts w:hint="eastAsia" w:ascii="宋体" w:hAnsi="宋体" w:eastAsia="宋体" w:cs="宋体"/>
                <w:color w:val="auto"/>
              </w:rPr>
            </w:pPr>
            <w:r>
              <w:rPr>
                <w:rFonts w:hint="eastAsia" w:ascii="宋体" w:hAnsi="宋体" w:eastAsia="宋体" w:cs="宋体"/>
              </w:rPr>
              <w:t>⑵</w:t>
            </w:r>
            <w:r>
              <w:rPr>
                <w:rFonts w:hint="eastAsia" w:ascii="宋体" w:hAnsi="宋体" w:eastAsia="宋体" w:cs="宋体"/>
                <w:color w:val="auto"/>
              </w:rPr>
              <w:t>TSP环境质量现状</w:t>
            </w:r>
          </w:p>
          <w:p w14:paraId="1B8AF9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eastAsia" w:ascii="宋体" w:hAnsi="宋体" w:eastAsia="宋体" w:cs="宋体"/>
                <w:color w:val="auto"/>
              </w:rPr>
            </w:pPr>
            <w:r>
              <w:rPr>
                <w:rFonts w:hint="eastAsia" w:ascii="宋体" w:hAnsi="宋体" w:eastAsia="宋体" w:cs="宋体"/>
                <w:color w:val="auto"/>
              </w:rPr>
              <w:t>①监测布点</w:t>
            </w:r>
          </w:p>
          <w:p w14:paraId="07A95C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eastAsia" w:ascii="宋体" w:hAnsi="宋体" w:eastAsia="宋体" w:cs="宋体"/>
                <w:color w:val="auto"/>
              </w:rPr>
            </w:pPr>
            <w:r>
              <w:rPr>
                <w:rFonts w:hint="eastAsia" w:ascii="宋体" w:hAnsi="宋体" w:eastAsia="宋体" w:cs="宋体"/>
                <w:color w:val="auto"/>
              </w:rPr>
              <w:t>根据《建设项目环境影响报告表编制技术指南（污染影响类）（试行）》：“排放国家、地方环境空气质量标准中有标准限值要求的特征污染物时，引用建设项目周边5千米范围内近3年的现有监测数据，无相关数据的选择当季主导风向下风向1个点位补充不少于3天的监测数据”。</w:t>
            </w:r>
          </w:p>
          <w:p w14:paraId="5A6935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eastAsia" w:ascii="宋体" w:hAnsi="宋体" w:eastAsia="宋体" w:cs="宋体"/>
                <w:color w:val="auto"/>
              </w:rPr>
            </w:pPr>
            <w:r>
              <w:rPr>
                <w:rFonts w:hint="eastAsia" w:ascii="宋体" w:hAnsi="宋体" w:eastAsia="宋体" w:cs="宋体"/>
                <w:color w:val="auto"/>
              </w:rPr>
              <w:t>本次大气环境质量现状采取实测，企业委托</w:t>
            </w:r>
            <w:r>
              <w:rPr>
                <w:rFonts w:hint="eastAsia" w:ascii="宋体" w:hAnsi="宋体" w:eastAsia="宋体" w:cs="宋体"/>
                <w:color w:val="auto"/>
                <w:lang w:val="en-US" w:eastAsia="zh-CN"/>
              </w:rPr>
              <w:t>南京泓泰</w:t>
            </w:r>
            <w:r>
              <w:rPr>
                <w:rFonts w:hint="eastAsia" w:ascii="宋体" w:hAnsi="宋体" w:eastAsia="宋体" w:cs="宋体"/>
                <w:color w:val="auto"/>
              </w:rPr>
              <w:t>环境检测技术有限公司在大气环境评价范围内以考虑大气环境功能区及环境敏感保护目标，布设了1 个大气监测点，监测点位于</w:t>
            </w:r>
            <w:r>
              <w:rPr>
                <w:rFonts w:hint="eastAsia" w:ascii="宋体" w:hAnsi="宋体" w:eastAsia="宋体" w:cs="宋体"/>
                <w:color w:val="auto"/>
                <w:lang w:val="en-US" w:eastAsia="zh-CN"/>
              </w:rPr>
              <w:t>厂界东侧</w:t>
            </w:r>
            <w:r>
              <w:rPr>
                <w:rFonts w:hint="eastAsia" w:ascii="宋体" w:hAnsi="宋体" w:eastAsia="宋体" w:cs="宋体"/>
                <w:color w:val="auto"/>
              </w:rPr>
              <w:t>，距本项目厂</w:t>
            </w:r>
            <w:r>
              <w:rPr>
                <w:rFonts w:hint="eastAsia" w:ascii="宋体" w:hAnsi="宋体" w:eastAsia="宋体" w:cs="宋体"/>
                <w:color w:val="auto"/>
                <w:lang w:val="en-US" w:eastAsia="zh-CN"/>
              </w:rPr>
              <w:t>界6</w:t>
            </w:r>
            <w:r>
              <w:rPr>
                <w:rFonts w:hint="eastAsia" w:ascii="宋体" w:hAnsi="宋体" w:eastAsia="宋体" w:cs="宋体"/>
                <w:color w:val="auto"/>
              </w:rPr>
              <w:t>0m，在大气环境评价范围内，监测时间为连续3天。具体见表3-2。</w:t>
            </w:r>
          </w:p>
          <w:p w14:paraId="48594A3D">
            <w:pPr>
              <w:keepNext w:val="0"/>
              <w:keepLines w:val="0"/>
              <w:suppressLineNumbers w:val="0"/>
              <w:adjustRightInd w:val="0"/>
              <w:snapToGrid w:val="0"/>
              <w:spacing w:before="0" w:beforeAutospacing="0" w:after="0" w:afterAutospacing="0"/>
              <w:ind w:left="0" w:right="0"/>
              <w:jc w:val="center"/>
              <w:rPr>
                <w:rFonts w:hint="eastAsia"/>
                <w:color w:val="auto"/>
              </w:rPr>
            </w:pPr>
            <w:r>
              <w:rPr>
                <w:rFonts w:hint="eastAsia" w:ascii="宋体" w:hAnsi="宋体" w:eastAsia="宋体" w:cs="宋体"/>
                <w:b/>
                <w:bCs/>
                <w:color w:val="auto"/>
              </w:rPr>
              <w:t>表3-2  补充监测点位基本信息表</w:t>
            </w:r>
          </w:p>
          <w:tbl>
            <w:tblPr>
              <w:tblStyle w:val="30"/>
              <w:tblW w:w="83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198"/>
              <w:gridCol w:w="1159"/>
              <w:gridCol w:w="1196"/>
              <w:gridCol w:w="1201"/>
              <w:gridCol w:w="1480"/>
              <w:gridCol w:w="1315"/>
            </w:tblGrid>
            <w:tr w14:paraId="24ACA1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9" w:type="dxa"/>
                  <w:vMerge w:val="restart"/>
                  <w:noWrap w:val="0"/>
                  <w:vAlign w:val="center"/>
                </w:tcPr>
                <w:p w14:paraId="3E7D304E">
                  <w:pPr>
                    <w:keepNext w:val="0"/>
                    <w:keepLines w:val="0"/>
                    <w:numPr>
                      <w:ins w:id="0" w:author="鲍旭" w:date="2023-12-04T11:50:00Z"/>
                    </w:numPr>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监测点名称</w:t>
                  </w:r>
                </w:p>
              </w:tc>
              <w:tc>
                <w:tcPr>
                  <w:tcW w:w="2357" w:type="dxa"/>
                  <w:gridSpan w:val="2"/>
                  <w:noWrap w:val="0"/>
                  <w:vAlign w:val="center"/>
                </w:tcPr>
                <w:p w14:paraId="55BD2851">
                  <w:pPr>
                    <w:keepNext w:val="0"/>
                    <w:keepLines w:val="0"/>
                    <w:numPr>
                      <w:ins w:id="1" w:author="鲍旭" w:date="2023-12-04T11:50:00Z"/>
                    </w:numPr>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监测点坐标/m</w:t>
                  </w:r>
                </w:p>
              </w:tc>
              <w:tc>
                <w:tcPr>
                  <w:tcW w:w="1196" w:type="dxa"/>
                  <w:vMerge w:val="restart"/>
                  <w:noWrap w:val="0"/>
                  <w:vAlign w:val="center"/>
                </w:tcPr>
                <w:p w14:paraId="4475CD3C">
                  <w:pPr>
                    <w:keepNext w:val="0"/>
                    <w:keepLines w:val="0"/>
                    <w:numPr>
                      <w:ins w:id="2" w:author="鲍旭" w:date="2023-12-04T11:50:00Z"/>
                    </w:numPr>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监测因子</w:t>
                  </w:r>
                </w:p>
              </w:tc>
              <w:tc>
                <w:tcPr>
                  <w:tcW w:w="1201" w:type="dxa"/>
                  <w:vMerge w:val="restart"/>
                  <w:noWrap w:val="0"/>
                  <w:vAlign w:val="center"/>
                </w:tcPr>
                <w:p w14:paraId="79AD1BDB">
                  <w:pPr>
                    <w:keepNext w:val="0"/>
                    <w:keepLines w:val="0"/>
                    <w:numPr>
                      <w:ins w:id="3" w:author="鲍旭" w:date="2023-12-04T11:50:00Z"/>
                    </w:numPr>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监测时段</w:t>
                  </w:r>
                </w:p>
              </w:tc>
              <w:tc>
                <w:tcPr>
                  <w:tcW w:w="1480" w:type="dxa"/>
                  <w:vMerge w:val="restart"/>
                  <w:noWrap w:val="0"/>
                  <w:vAlign w:val="center"/>
                </w:tcPr>
                <w:p w14:paraId="3A79B1E7">
                  <w:pPr>
                    <w:keepNext w:val="0"/>
                    <w:keepLines w:val="0"/>
                    <w:numPr>
                      <w:ins w:id="4" w:author="鲍旭" w:date="2023-12-04T11:50:00Z"/>
                    </w:numPr>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相对本项目厂房方位</w:t>
                  </w:r>
                </w:p>
              </w:tc>
              <w:tc>
                <w:tcPr>
                  <w:tcW w:w="1315" w:type="dxa"/>
                  <w:vMerge w:val="restart"/>
                  <w:noWrap w:val="0"/>
                  <w:vAlign w:val="center"/>
                </w:tcPr>
                <w:p w14:paraId="6FA35189">
                  <w:pPr>
                    <w:keepNext w:val="0"/>
                    <w:keepLines w:val="0"/>
                    <w:numPr>
                      <w:ins w:id="5" w:author="鲍旭" w:date="2023-12-04T11:50:00Z"/>
                    </w:numPr>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相对本项目厂房距离/m</w:t>
                  </w:r>
                </w:p>
              </w:tc>
            </w:tr>
            <w:tr w14:paraId="00F940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9" w:type="dxa"/>
                  <w:vMerge w:val="continue"/>
                  <w:noWrap w:val="0"/>
                  <w:vAlign w:val="center"/>
                </w:tcPr>
                <w:p w14:paraId="263BBD55">
                  <w:pPr>
                    <w:keepNext w:val="0"/>
                    <w:keepLines w:val="0"/>
                    <w:numPr>
                      <w:ins w:id="6" w:author="鲍旭" w:date="2023-12-04T11:50:00Z"/>
                    </w:numPr>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rPr>
                  </w:pPr>
                </w:p>
              </w:tc>
              <w:tc>
                <w:tcPr>
                  <w:tcW w:w="1198" w:type="dxa"/>
                  <w:noWrap w:val="0"/>
                  <w:vAlign w:val="center"/>
                </w:tcPr>
                <w:p w14:paraId="16419EDF">
                  <w:pPr>
                    <w:keepNext w:val="0"/>
                    <w:keepLines w:val="0"/>
                    <w:numPr>
                      <w:ins w:id="7" w:author="鲍旭" w:date="2023-12-04T11:50:00Z"/>
                    </w:numPr>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东经</w:t>
                  </w:r>
                </w:p>
              </w:tc>
              <w:tc>
                <w:tcPr>
                  <w:tcW w:w="1159" w:type="dxa"/>
                  <w:noWrap w:val="0"/>
                  <w:vAlign w:val="center"/>
                </w:tcPr>
                <w:p w14:paraId="53C323A3">
                  <w:pPr>
                    <w:keepNext w:val="0"/>
                    <w:keepLines w:val="0"/>
                    <w:numPr>
                      <w:ins w:id="8" w:author="鲍旭" w:date="2023-12-04T11:50:00Z"/>
                    </w:numPr>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北纬</w:t>
                  </w:r>
                </w:p>
              </w:tc>
              <w:tc>
                <w:tcPr>
                  <w:tcW w:w="1196" w:type="dxa"/>
                  <w:vMerge w:val="continue"/>
                  <w:noWrap w:val="0"/>
                  <w:vAlign w:val="center"/>
                </w:tcPr>
                <w:p w14:paraId="5529561B">
                  <w:pPr>
                    <w:keepNext w:val="0"/>
                    <w:keepLines w:val="0"/>
                    <w:numPr>
                      <w:ins w:id="9" w:author="鲍旭" w:date="2023-12-04T11:50:00Z"/>
                    </w:numPr>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rPr>
                  </w:pPr>
                </w:p>
              </w:tc>
              <w:tc>
                <w:tcPr>
                  <w:tcW w:w="1201" w:type="dxa"/>
                  <w:vMerge w:val="continue"/>
                  <w:noWrap w:val="0"/>
                  <w:vAlign w:val="center"/>
                </w:tcPr>
                <w:p w14:paraId="286DC0CB">
                  <w:pPr>
                    <w:keepNext w:val="0"/>
                    <w:keepLines w:val="0"/>
                    <w:numPr>
                      <w:ins w:id="10" w:author="鲍旭" w:date="2023-12-04T11:50:00Z"/>
                    </w:numPr>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rPr>
                  </w:pPr>
                </w:p>
              </w:tc>
              <w:tc>
                <w:tcPr>
                  <w:tcW w:w="1480" w:type="dxa"/>
                  <w:vMerge w:val="continue"/>
                  <w:noWrap w:val="0"/>
                  <w:vAlign w:val="center"/>
                </w:tcPr>
                <w:p w14:paraId="5B035302">
                  <w:pPr>
                    <w:keepNext w:val="0"/>
                    <w:keepLines w:val="0"/>
                    <w:numPr>
                      <w:ins w:id="11" w:author="鲍旭" w:date="2023-12-04T11:50:00Z"/>
                    </w:numPr>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rPr>
                  </w:pPr>
                </w:p>
              </w:tc>
              <w:tc>
                <w:tcPr>
                  <w:tcW w:w="1315" w:type="dxa"/>
                  <w:vMerge w:val="continue"/>
                  <w:noWrap w:val="0"/>
                  <w:vAlign w:val="center"/>
                </w:tcPr>
                <w:p w14:paraId="11813698">
                  <w:pPr>
                    <w:keepNext w:val="0"/>
                    <w:keepLines w:val="0"/>
                    <w:numPr>
                      <w:ins w:id="12" w:author="鲍旭" w:date="2023-12-04T11:50:00Z"/>
                    </w:numPr>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rPr>
                  </w:pPr>
                </w:p>
              </w:tc>
            </w:tr>
            <w:tr w14:paraId="26B68D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9" w:type="dxa"/>
                  <w:noWrap w:val="0"/>
                  <w:vAlign w:val="center"/>
                </w:tcPr>
                <w:p w14:paraId="1E7184C3">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厂界</w:t>
                  </w:r>
                </w:p>
                <w:p w14:paraId="5946662D">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东侧</w:t>
                  </w:r>
                </w:p>
              </w:tc>
              <w:tc>
                <w:tcPr>
                  <w:tcW w:w="1198" w:type="dxa"/>
                  <w:noWrap w:val="0"/>
                  <w:vAlign w:val="center"/>
                </w:tcPr>
                <w:p w14:paraId="5BF9D7A7">
                  <w:pPr>
                    <w:pStyle w:val="10"/>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119.</w:t>
                  </w:r>
                  <w:r>
                    <w:rPr>
                      <w:rFonts w:hint="eastAsia" w:ascii="宋体" w:hAnsi="宋体" w:eastAsia="宋体" w:cs="宋体"/>
                      <w:color w:val="auto"/>
                      <w:sz w:val="21"/>
                      <w:szCs w:val="21"/>
                      <w:lang w:val="en-US" w:eastAsia="zh-CN"/>
                    </w:rPr>
                    <w:t>2712</w:t>
                  </w:r>
                </w:p>
              </w:tc>
              <w:tc>
                <w:tcPr>
                  <w:tcW w:w="1159" w:type="dxa"/>
                  <w:noWrap w:val="0"/>
                  <w:vAlign w:val="center"/>
                </w:tcPr>
                <w:p w14:paraId="1F9524D6">
                  <w:pPr>
                    <w:pStyle w:val="10"/>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32.</w:t>
                  </w:r>
                  <w:r>
                    <w:rPr>
                      <w:rFonts w:hint="eastAsia" w:ascii="宋体" w:hAnsi="宋体" w:eastAsia="宋体" w:cs="宋体"/>
                      <w:color w:val="auto"/>
                      <w:sz w:val="21"/>
                      <w:szCs w:val="21"/>
                      <w:lang w:val="en-US" w:eastAsia="zh-CN"/>
                    </w:rPr>
                    <w:t>0262</w:t>
                  </w:r>
                </w:p>
              </w:tc>
              <w:tc>
                <w:tcPr>
                  <w:tcW w:w="1196" w:type="dxa"/>
                  <w:noWrap w:val="0"/>
                  <w:vAlign w:val="center"/>
                </w:tcPr>
                <w:p w14:paraId="1B170D1C">
                  <w:pPr>
                    <w:keepNext w:val="0"/>
                    <w:keepLines w:val="0"/>
                    <w:numPr>
                      <w:ins w:id="13" w:author="鲍旭" w:date="2023-12-04T11:50:00Z"/>
                    </w:numPr>
                    <w:suppressLineNumbers w:val="0"/>
                    <w:adjustRightInd w:val="0"/>
                    <w:snapToGrid w:val="0"/>
                    <w:spacing w:before="0" w:beforeAutospacing="0" w:after="0" w:afterAutospacing="0" w:line="240" w:lineRule="atLeast"/>
                    <w:ind w:left="0" w:right="0"/>
                    <w:jc w:val="center"/>
                    <w:rPr>
                      <w:rFonts w:hint="default" w:ascii="宋体" w:hAnsi="宋体" w:eastAsia="宋体" w:cs="宋体"/>
                      <w:color w:val="auto"/>
                      <w:sz w:val="21"/>
                      <w:szCs w:val="21"/>
                    </w:rPr>
                  </w:pPr>
                  <w:r>
                    <w:rPr>
                      <w:rFonts w:hint="eastAsia" w:ascii="宋体" w:hAnsi="宋体" w:eastAsia="宋体" w:cs="宋体"/>
                      <w:color w:val="auto"/>
                      <w:sz w:val="21"/>
                      <w:szCs w:val="21"/>
                    </w:rPr>
                    <w:t>TSP</w:t>
                  </w:r>
                </w:p>
              </w:tc>
              <w:tc>
                <w:tcPr>
                  <w:tcW w:w="1201" w:type="dxa"/>
                  <w:noWrap w:val="0"/>
                  <w:vAlign w:val="center"/>
                </w:tcPr>
                <w:p w14:paraId="69B7A0DD">
                  <w:pPr>
                    <w:keepNext w:val="0"/>
                    <w:keepLines w:val="0"/>
                    <w:numPr>
                      <w:ins w:id="14" w:author="鲍旭" w:date="2023-12-04T11:50:00Z"/>
                    </w:numPr>
                    <w:suppressLineNumbers w:val="0"/>
                    <w:adjustRightInd w:val="0"/>
                    <w:snapToGrid w:val="0"/>
                    <w:spacing w:before="0" w:beforeAutospacing="0" w:after="0" w:afterAutospacing="0" w:line="240" w:lineRule="atLeast"/>
                    <w:ind w:left="0" w:right="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监测3天，</w:t>
                  </w:r>
                  <w:r>
                    <w:rPr>
                      <w:rFonts w:hint="eastAsia" w:ascii="宋体" w:hAnsi="宋体" w:eastAsia="宋体" w:cs="宋体"/>
                      <w:color w:val="auto"/>
                      <w:sz w:val="21"/>
                      <w:szCs w:val="21"/>
                      <w:lang w:val="en-US" w:eastAsia="zh-CN"/>
                    </w:rPr>
                    <w:t>1次/天（日均值）</w:t>
                  </w:r>
                </w:p>
              </w:tc>
              <w:tc>
                <w:tcPr>
                  <w:tcW w:w="1480" w:type="dxa"/>
                  <w:noWrap w:val="0"/>
                  <w:vAlign w:val="center"/>
                </w:tcPr>
                <w:p w14:paraId="47ED8DD1">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东</w:t>
                  </w:r>
                </w:p>
              </w:tc>
              <w:tc>
                <w:tcPr>
                  <w:tcW w:w="1315" w:type="dxa"/>
                  <w:noWrap w:val="0"/>
                  <w:vAlign w:val="center"/>
                </w:tcPr>
                <w:p w14:paraId="3291E456">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0</w:t>
                  </w:r>
                </w:p>
              </w:tc>
            </w:tr>
          </w:tbl>
          <w:p w14:paraId="43EBD3D9">
            <w:pPr>
              <w:pStyle w:val="10"/>
              <w:keepNext w:val="0"/>
              <w:keepLines w:val="0"/>
              <w:suppressLineNumbers w:val="0"/>
              <w:spacing w:before="0" w:beforeAutospacing="0" w:after="0" w:afterAutospacing="0"/>
              <w:ind w:left="0" w:right="0" w:firstLine="480"/>
              <w:rPr>
                <w:rFonts w:hint="eastAsia" w:ascii="宋体" w:hAnsi="宋体" w:eastAsia="宋体" w:cs="宋体"/>
                <w:color w:val="auto"/>
              </w:rPr>
            </w:pPr>
            <w:r>
              <w:rPr>
                <w:rFonts w:hint="eastAsia" w:ascii="宋体" w:hAnsi="宋体" w:eastAsia="宋体" w:cs="宋体"/>
                <w:color w:val="auto"/>
              </w:rPr>
              <w:t>②监测项目：TSP。</w:t>
            </w:r>
          </w:p>
          <w:p w14:paraId="537EAE3B">
            <w:pPr>
              <w:pStyle w:val="10"/>
              <w:keepNext w:val="0"/>
              <w:keepLines w:val="0"/>
              <w:suppressLineNumbers w:val="0"/>
              <w:spacing w:before="0" w:beforeAutospacing="0" w:after="0" w:afterAutospacing="0"/>
              <w:ind w:left="0" w:right="0" w:firstLine="480"/>
              <w:rPr>
                <w:rFonts w:hint="eastAsia" w:ascii="宋体" w:hAnsi="宋体" w:eastAsia="宋体" w:cs="宋体"/>
                <w:color w:val="auto"/>
              </w:rPr>
            </w:pPr>
            <w:r>
              <w:rPr>
                <w:rFonts w:hint="eastAsia" w:ascii="宋体" w:hAnsi="宋体" w:eastAsia="宋体" w:cs="宋体"/>
                <w:color w:val="auto"/>
              </w:rPr>
              <w:t>③监测时间与频次</w:t>
            </w:r>
          </w:p>
          <w:p w14:paraId="0A09E34C">
            <w:pPr>
              <w:pStyle w:val="10"/>
              <w:keepNext w:val="0"/>
              <w:keepLines w:val="0"/>
              <w:widowControl/>
              <w:suppressLineNumbers w:val="0"/>
              <w:adjustRightInd w:val="0"/>
              <w:snapToGrid w:val="0"/>
              <w:spacing w:before="0" w:beforeAutospacing="0" w:after="0" w:afterAutospacing="0"/>
              <w:ind w:left="0" w:right="0" w:firstLine="482"/>
              <w:rPr>
                <w:rFonts w:hint="eastAsia" w:ascii="宋体" w:hAnsi="宋体" w:eastAsia="宋体" w:cs="宋体"/>
                <w:color w:val="auto"/>
              </w:rPr>
            </w:pPr>
            <w:r>
              <w:rPr>
                <w:rFonts w:hint="eastAsia" w:ascii="宋体" w:hAnsi="宋体" w:eastAsia="宋体" w:cs="宋体"/>
                <w:color w:val="auto"/>
              </w:rPr>
              <w:t>监测历时要求：202</w:t>
            </w:r>
            <w:r>
              <w:rPr>
                <w:rFonts w:hint="eastAsia" w:ascii="宋体" w:hAnsi="宋体" w:eastAsia="宋体" w:cs="宋体"/>
                <w:color w:val="auto"/>
                <w:lang w:val="en-US" w:eastAsia="zh-CN"/>
              </w:rPr>
              <w:t>4</w:t>
            </w:r>
            <w:r>
              <w:rPr>
                <w:rFonts w:hint="eastAsia" w:ascii="宋体" w:hAnsi="宋体" w:eastAsia="宋体" w:cs="宋体"/>
                <w:color w:val="auto"/>
              </w:rPr>
              <w:t>年</w:t>
            </w:r>
            <w:r>
              <w:rPr>
                <w:rFonts w:hint="eastAsia" w:ascii="宋体" w:hAnsi="宋体" w:eastAsia="宋体" w:cs="宋体"/>
                <w:color w:val="auto"/>
                <w:lang w:val="en-US" w:eastAsia="zh-CN"/>
              </w:rPr>
              <w:t>12</w:t>
            </w:r>
            <w:r>
              <w:rPr>
                <w:rFonts w:hint="eastAsia" w:ascii="宋体" w:hAnsi="宋体" w:eastAsia="宋体" w:cs="宋体"/>
                <w:color w:val="auto"/>
              </w:rPr>
              <w:t>月</w:t>
            </w:r>
            <w:r>
              <w:rPr>
                <w:rFonts w:hint="eastAsia" w:ascii="宋体" w:hAnsi="宋体" w:eastAsia="宋体" w:cs="宋体"/>
                <w:color w:val="auto"/>
                <w:lang w:val="en-US" w:eastAsia="zh-CN"/>
              </w:rPr>
              <w:t>23</w:t>
            </w:r>
            <w:r>
              <w:rPr>
                <w:rFonts w:hint="eastAsia" w:ascii="宋体" w:hAnsi="宋体" w:eastAsia="宋体" w:cs="宋体"/>
                <w:color w:val="auto"/>
              </w:rPr>
              <w:t>日至</w:t>
            </w:r>
            <w:r>
              <w:rPr>
                <w:rFonts w:hint="eastAsia" w:ascii="宋体" w:hAnsi="宋体" w:eastAsia="宋体" w:cs="宋体"/>
                <w:color w:val="auto"/>
                <w:lang w:val="en-US" w:eastAsia="zh-CN"/>
              </w:rPr>
              <w:t>12</w:t>
            </w:r>
            <w:r>
              <w:rPr>
                <w:rFonts w:hint="eastAsia" w:ascii="宋体" w:hAnsi="宋体" w:eastAsia="宋体" w:cs="宋体"/>
                <w:color w:val="auto"/>
              </w:rPr>
              <w:t>月</w:t>
            </w:r>
            <w:r>
              <w:rPr>
                <w:rFonts w:hint="eastAsia" w:ascii="宋体" w:hAnsi="宋体" w:eastAsia="宋体" w:cs="宋体"/>
                <w:color w:val="auto"/>
                <w:lang w:val="en-US" w:eastAsia="zh-CN"/>
              </w:rPr>
              <w:t>25</w:t>
            </w:r>
            <w:r>
              <w:rPr>
                <w:rFonts w:hint="eastAsia" w:ascii="宋体" w:hAnsi="宋体" w:eastAsia="宋体" w:cs="宋体"/>
                <w:color w:val="auto"/>
              </w:rPr>
              <w:t>日，3 天。</w:t>
            </w:r>
          </w:p>
          <w:p w14:paraId="1673C76A">
            <w:pPr>
              <w:pStyle w:val="10"/>
              <w:keepNext w:val="0"/>
              <w:keepLines w:val="0"/>
              <w:widowControl/>
              <w:suppressLineNumbers w:val="0"/>
              <w:adjustRightInd w:val="0"/>
              <w:snapToGrid w:val="0"/>
              <w:spacing w:before="0" w:beforeAutospacing="0" w:after="0" w:afterAutospacing="0"/>
              <w:ind w:left="0" w:right="0" w:firstLine="482"/>
              <w:rPr>
                <w:rFonts w:hint="eastAsia" w:ascii="宋体" w:hAnsi="宋体" w:eastAsia="宋体" w:cs="宋体"/>
                <w:color w:val="auto"/>
              </w:rPr>
            </w:pPr>
            <w:r>
              <w:rPr>
                <w:rFonts w:hint="eastAsia" w:ascii="宋体" w:hAnsi="宋体" w:eastAsia="宋体" w:cs="宋体"/>
                <w:color w:val="auto"/>
              </w:rPr>
              <w:t>监测频次要求：监测3天，</w:t>
            </w:r>
            <w:r>
              <w:rPr>
                <w:rFonts w:hint="eastAsia" w:ascii="宋体" w:hAnsi="宋体" w:eastAsia="宋体" w:cs="宋体"/>
                <w:color w:val="auto"/>
                <w:lang w:val="en-US" w:eastAsia="zh-CN"/>
              </w:rPr>
              <w:t>1次/天（日均值）</w:t>
            </w:r>
            <w:r>
              <w:rPr>
                <w:rFonts w:hint="eastAsia" w:ascii="宋体" w:hAnsi="宋体" w:eastAsia="宋体" w:cs="宋体"/>
                <w:color w:val="auto"/>
              </w:rPr>
              <w:t>。同时记录风向、风速、温度、气温等气象参数。</w:t>
            </w:r>
          </w:p>
          <w:p w14:paraId="740E59D4">
            <w:pPr>
              <w:pStyle w:val="10"/>
              <w:keepNext w:val="0"/>
              <w:keepLines w:val="0"/>
              <w:widowControl/>
              <w:suppressLineNumbers w:val="0"/>
              <w:adjustRightInd w:val="0"/>
              <w:snapToGrid w:val="0"/>
              <w:spacing w:before="0" w:beforeAutospacing="0" w:after="0" w:afterAutospacing="0"/>
              <w:ind w:left="0" w:right="0" w:firstLine="482"/>
              <w:rPr>
                <w:rFonts w:hint="eastAsia" w:ascii="宋体" w:hAnsi="宋体" w:eastAsia="宋体" w:cs="宋体"/>
                <w:color w:val="auto"/>
              </w:rPr>
            </w:pPr>
            <w:r>
              <w:rPr>
                <w:rFonts w:hint="eastAsia" w:ascii="宋体" w:hAnsi="宋体" w:eastAsia="宋体" w:cs="宋体"/>
                <w:color w:val="auto"/>
              </w:rPr>
              <w:t>④各气象要素监测结果见表3-3。</w:t>
            </w:r>
          </w:p>
          <w:p w14:paraId="6E7A7962">
            <w:pPr>
              <w:pStyle w:val="10"/>
              <w:keepNext w:val="0"/>
              <w:keepLines w:val="0"/>
              <w:widowControl/>
              <w:suppressLineNumbers w:val="0"/>
              <w:adjustRightInd w:val="0"/>
              <w:snapToGrid w:val="0"/>
              <w:spacing w:before="0" w:beforeAutospacing="0" w:after="0" w:afterAutospacing="0"/>
              <w:ind w:left="0" w:right="0" w:firstLine="482"/>
              <w:jc w:val="center"/>
              <w:rPr>
                <w:rFonts w:hint="eastAsia"/>
                <w:color w:val="auto"/>
              </w:rPr>
            </w:pPr>
            <w:r>
              <w:rPr>
                <w:rFonts w:hint="eastAsia" w:ascii="宋体" w:hAnsi="宋体" w:eastAsia="宋体" w:cs="宋体"/>
                <w:b/>
                <w:bCs/>
                <w:color w:val="auto"/>
              </w:rPr>
              <w:t>表3-3 各气象要素监测结果表</w:t>
            </w:r>
          </w:p>
          <w:tbl>
            <w:tblPr>
              <w:tblStyle w:val="3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1025"/>
              <w:gridCol w:w="1227"/>
              <w:gridCol w:w="1118"/>
              <w:gridCol w:w="1153"/>
              <w:gridCol w:w="810"/>
              <w:gridCol w:w="810"/>
            </w:tblGrid>
            <w:tr w14:paraId="22AB4A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66" w:type="dxa"/>
                  <w:noWrap w:val="0"/>
                  <w:vAlign w:val="center"/>
                </w:tcPr>
                <w:p w14:paraId="1E750933">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监测日期</w:t>
                  </w:r>
                </w:p>
              </w:tc>
              <w:tc>
                <w:tcPr>
                  <w:tcW w:w="1025" w:type="dxa"/>
                  <w:noWrap w:val="0"/>
                  <w:vAlign w:val="center"/>
                </w:tcPr>
                <w:p w14:paraId="2BBD2308">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气温℃</w:t>
                  </w:r>
                </w:p>
              </w:tc>
              <w:tc>
                <w:tcPr>
                  <w:tcW w:w="1227" w:type="dxa"/>
                  <w:noWrap w:val="0"/>
                  <w:vAlign w:val="center"/>
                </w:tcPr>
                <w:p w14:paraId="1F077C67">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气压kPa</w:t>
                  </w:r>
                </w:p>
              </w:tc>
              <w:tc>
                <w:tcPr>
                  <w:tcW w:w="1118" w:type="dxa"/>
                  <w:noWrap w:val="0"/>
                  <w:vAlign w:val="center"/>
                </w:tcPr>
                <w:p w14:paraId="5929A54E">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相对湿度（%）</w:t>
                  </w:r>
                </w:p>
              </w:tc>
              <w:tc>
                <w:tcPr>
                  <w:tcW w:w="1153" w:type="dxa"/>
                  <w:noWrap w:val="0"/>
                  <w:vAlign w:val="center"/>
                </w:tcPr>
                <w:p w14:paraId="4C123E0A">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风速m/s</w:t>
                  </w:r>
                </w:p>
              </w:tc>
              <w:tc>
                <w:tcPr>
                  <w:tcW w:w="810" w:type="dxa"/>
                  <w:noWrap w:val="0"/>
                  <w:vAlign w:val="center"/>
                </w:tcPr>
                <w:p w14:paraId="0E384008">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风向</w:t>
                  </w:r>
                </w:p>
              </w:tc>
              <w:tc>
                <w:tcPr>
                  <w:tcW w:w="810" w:type="dxa"/>
                  <w:noWrap w:val="0"/>
                  <w:vAlign w:val="center"/>
                </w:tcPr>
                <w:p w14:paraId="2A7A4520">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天气</w:t>
                  </w:r>
                </w:p>
              </w:tc>
            </w:tr>
            <w:tr w14:paraId="45522E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66" w:type="dxa"/>
                  <w:noWrap w:val="0"/>
                  <w:vAlign w:val="center"/>
                </w:tcPr>
                <w:p w14:paraId="34DE7C7F">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202</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12</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23</w:t>
                  </w:r>
                </w:p>
              </w:tc>
              <w:tc>
                <w:tcPr>
                  <w:tcW w:w="1025" w:type="dxa"/>
                  <w:noWrap w:val="0"/>
                  <w:vAlign w:val="center"/>
                </w:tcPr>
                <w:p w14:paraId="3B7FEF7E">
                  <w:pPr>
                    <w:keepNext w:val="0"/>
                    <w:keepLines w:val="0"/>
                    <w:widowControl/>
                    <w:suppressLineNumbers w:val="0"/>
                    <w:adjustRightInd w:val="0"/>
                    <w:snapToGrid w:val="0"/>
                    <w:spacing w:before="0" w:beforeAutospacing="0" w:after="0" w:afterAutospacing="0" w:line="240" w:lineRule="atLeast"/>
                    <w:ind w:left="0" w:right="0"/>
                    <w:jc w:val="center"/>
                    <w:textAlignment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7.4</w:t>
                  </w:r>
                </w:p>
              </w:tc>
              <w:tc>
                <w:tcPr>
                  <w:tcW w:w="1227" w:type="dxa"/>
                  <w:noWrap w:val="0"/>
                  <w:vAlign w:val="center"/>
                </w:tcPr>
                <w:p w14:paraId="7B2F4613">
                  <w:pPr>
                    <w:keepNext w:val="0"/>
                    <w:keepLines w:val="0"/>
                    <w:widowControl/>
                    <w:suppressLineNumbers w:val="0"/>
                    <w:adjustRightInd w:val="0"/>
                    <w:snapToGrid w:val="0"/>
                    <w:spacing w:before="0" w:beforeAutospacing="0" w:after="0" w:afterAutospacing="0" w:line="240" w:lineRule="atLeast"/>
                    <w:ind w:left="0" w:right="0"/>
                    <w:jc w:val="center"/>
                    <w:textAlignment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102.3</w:t>
                  </w:r>
                </w:p>
              </w:tc>
              <w:tc>
                <w:tcPr>
                  <w:tcW w:w="1118" w:type="dxa"/>
                  <w:noWrap w:val="0"/>
                  <w:vAlign w:val="center"/>
                </w:tcPr>
                <w:p w14:paraId="0E7E600F">
                  <w:pPr>
                    <w:keepNext w:val="0"/>
                    <w:keepLines w:val="0"/>
                    <w:widowControl/>
                    <w:suppressLineNumbers w:val="0"/>
                    <w:adjustRightInd w:val="0"/>
                    <w:snapToGrid w:val="0"/>
                    <w:spacing w:before="0" w:beforeAutospacing="0" w:after="0" w:afterAutospacing="0" w:line="240" w:lineRule="atLeast"/>
                    <w:ind w:left="0" w:right="0"/>
                    <w:jc w:val="center"/>
                    <w:textAlignment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57.3</w:t>
                  </w:r>
                </w:p>
              </w:tc>
              <w:tc>
                <w:tcPr>
                  <w:tcW w:w="1153" w:type="dxa"/>
                  <w:shd w:val="clear" w:color="auto" w:fill="auto"/>
                  <w:noWrap w:val="0"/>
                  <w:vAlign w:val="center"/>
                </w:tcPr>
                <w:p w14:paraId="04BBF46D">
                  <w:pPr>
                    <w:keepNext w:val="0"/>
                    <w:keepLines w:val="0"/>
                    <w:widowControl/>
                    <w:suppressLineNumbers w:val="0"/>
                    <w:adjustRightInd w:val="0"/>
                    <w:snapToGrid w:val="0"/>
                    <w:spacing w:before="0" w:beforeAutospacing="0" w:after="0" w:afterAutospacing="0" w:line="240" w:lineRule="atLeast"/>
                    <w:ind w:left="0" w:right="0"/>
                    <w:jc w:val="center"/>
                    <w:textAlignment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1.6</w:t>
                  </w:r>
                </w:p>
              </w:tc>
              <w:tc>
                <w:tcPr>
                  <w:tcW w:w="810" w:type="dxa"/>
                  <w:shd w:val="clear" w:color="auto" w:fill="auto"/>
                  <w:noWrap w:val="0"/>
                  <w:vAlign w:val="center"/>
                </w:tcPr>
                <w:p w14:paraId="7E2628A5">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东北</w:t>
                  </w:r>
                </w:p>
              </w:tc>
              <w:tc>
                <w:tcPr>
                  <w:tcW w:w="810" w:type="dxa"/>
                  <w:noWrap w:val="0"/>
                  <w:vAlign w:val="center"/>
                </w:tcPr>
                <w:p w14:paraId="166624C0">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阴</w:t>
                  </w:r>
                </w:p>
              </w:tc>
            </w:tr>
            <w:tr w14:paraId="3F30FE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66" w:type="dxa"/>
                  <w:noWrap w:val="0"/>
                  <w:vAlign w:val="center"/>
                </w:tcPr>
                <w:p w14:paraId="5A4CBFC3">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color w:val="auto"/>
                      <w:sz w:val="21"/>
                      <w:szCs w:val="21"/>
                      <w:lang w:val="en-US"/>
                    </w:rPr>
                  </w:pPr>
                  <w:r>
                    <w:rPr>
                      <w:rFonts w:hint="eastAsia" w:ascii="宋体" w:hAnsi="宋体" w:eastAsia="宋体" w:cs="宋体"/>
                      <w:color w:val="auto"/>
                      <w:sz w:val="21"/>
                      <w:szCs w:val="21"/>
                    </w:rPr>
                    <w:t>202</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12</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24</w:t>
                  </w:r>
                </w:p>
              </w:tc>
              <w:tc>
                <w:tcPr>
                  <w:tcW w:w="1025" w:type="dxa"/>
                  <w:noWrap w:val="0"/>
                  <w:vAlign w:val="center"/>
                </w:tcPr>
                <w:p w14:paraId="4207AC97">
                  <w:pPr>
                    <w:keepNext w:val="0"/>
                    <w:keepLines w:val="0"/>
                    <w:widowControl/>
                    <w:suppressLineNumbers w:val="0"/>
                    <w:adjustRightInd w:val="0"/>
                    <w:snapToGrid w:val="0"/>
                    <w:spacing w:before="0" w:beforeAutospacing="0" w:after="0" w:afterAutospacing="0" w:line="240" w:lineRule="atLeast"/>
                    <w:ind w:left="0" w:right="0"/>
                    <w:jc w:val="center"/>
                    <w:textAlignment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10.4</w:t>
                  </w:r>
                </w:p>
              </w:tc>
              <w:tc>
                <w:tcPr>
                  <w:tcW w:w="1227" w:type="dxa"/>
                  <w:noWrap w:val="0"/>
                  <w:vAlign w:val="center"/>
                </w:tcPr>
                <w:p w14:paraId="166E0354">
                  <w:pPr>
                    <w:keepNext w:val="0"/>
                    <w:keepLines w:val="0"/>
                    <w:widowControl/>
                    <w:suppressLineNumbers w:val="0"/>
                    <w:adjustRightInd w:val="0"/>
                    <w:snapToGrid w:val="0"/>
                    <w:spacing w:before="0" w:beforeAutospacing="0" w:after="0" w:afterAutospacing="0" w:line="240" w:lineRule="atLeast"/>
                    <w:ind w:left="0" w:right="0"/>
                    <w:jc w:val="center"/>
                    <w:textAlignment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102.1</w:t>
                  </w:r>
                </w:p>
              </w:tc>
              <w:tc>
                <w:tcPr>
                  <w:tcW w:w="1118" w:type="dxa"/>
                  <w:noWrap w:val="0"/>
                  <w:vAlign w:val="center"/>
                </w:tcPr>
                <w:p w14:paraId="6FA45AB7">
                  <w:pPr>
                    <w:keepNext w:val="0"/>
                    <w:keepLines w:val="0"/>
                    <w:widowControl/>
                    <w:suppressLineNumbers w:val="0"/>
                    <w:adjustRightInd w:val="0"/>
                    <w:snapToGrid w:val="0"/>
                    <w:spacing w:before="0" w:beforeAutospacing="0" w:after="0" w:afterAutospacing="0" w:line="240" w:lineRule="atLeast"/>
                    <w:ind w:left="0" w:right="0"/>
                    <w:jc w:val="center"/>
                    <w:textAlignment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49.3</w:t>
                  </w:r>
                </w:p>
              </w:tc>
              <w:tc>
                <w:tcPr>
                  <w:tcW w:w="1153" w:type="dxa"/>
                  <w:shd w:val="clear" w:color="auto" w:fill="auto"/>
                  <w:noWrap w:val="0"/>
                  <w:vAlign w:val="center"/>
                </w:tcPr>
                <w:p w14:paraId="645F9A0B">
                  <w:pPr>
                    <w:keepNext w:val="0"/>
                    <w:keepLines w:val="0"/>
                    <w:widowControl/>
                    <w:suppressLineNumbers w:val="0"/>
                    <w:adjustRightInd w:val="0"/>
                    <w:snapToGrid w:val="0"/>
                    <w:spacing w:before="0" w:beforeAutospacing="0" w:after="0" w:afterAutospacing="0" w:line="240" w:lineRule="atLeast"/>
                    <w:ind w:left="0" w:right="0"/>
                    <w:jc w:val="center"/>
                    <w:textAlignment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1.7</w:t>
                  </w:r>
                </w:p>
              </w:tc>
              <w:tc>
                <w:tcPr>
                  <w:tcW w:w="810" w:type="dxa"/>
                  <w:shd w:val="clear" w:color="auto" w:fill="auto"/>
                  <w:noWrap w:val="0"/>
                  <w:vAlign w:val="center"/>
                </w:tcPr>
                <w:p w14:paraId="0D68F220">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东</w:t>
                  </w:r>
                </w:p>
              </w:tc>
              <w:tc>
                <w:tcPr>
                  <w:tcW w:w="810" w:type="dxa"/>
                  <w:noWrap w:val="0"/>
                  <w:vAlign w:val="center"/>
                </w:tcPr>
                <w:p w14:paraId="2DA1037C">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晴</w:t>
                  </w:r>
                </w:p>
              </w:tc>
            </w:tr>
            <w:tr w14:paraId="57C78A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66" w:type="dxa"/>
                  <w:noWrap w:val="0"/>
                  <w:vAlign w:val="center"/>
                </w:tcPr>
                <w:p w14:paraId="31D81418">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color w:val="auto"/>
                      <w:sz w:val="21"/>
                      <w:szCs w:val="21"/>
                      <w:lang w:val="en-US"/>
                    </w:rPr>
                  </w:pPr>
                  <w:r>
                    <w:rPr>
                      <w:rFonts w:hint="eastAsia" w:ascii="宋体" w:hAnsi="宋体" w:eastAsia="宋体" w:cs="宋体"/>
                      <w:color w:val="auto"/>
                      <w:sz w:val="21"/>
                      <w:szCs w:val="21"/>
                    </w:rPr>
                    <w:t>202</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12</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25</w:t>
                  </w:r>
                </w:p>
              </w:tc>
              <w:tc>
                <w:tcPr>
                  <w:tcW w:w="1025" w:type="dxa"/>
                  <w:noWrap w:val="0"/>
                  <w:vAlign w:val="center"/>
                </w:tcPr>
                <w:p w14:paraId="1E1C9A3E">
                  <w:pPr>
                    <w:keepNext w:val="0"/>
                    <w:keepLines w:val="0"/>
                    <w:widowControl/>
                    <w:suppressLineNumbers w:val="0"/>
                    <w:adjustRightInd w:val="0"/>
                    <w:snapToGrid w:val="0"/>
                    <w:spacing w:before="0" w:beforeAutospacing="0" w:after="0" w:afterAutospacing="0" w:line="240" w:lineRule="atLeast"/>
                    <w:ind w:left="0" w:right="0"/>
                    <w:jc w:val="center"/>
                    <w:textAlignment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8.2</w:t>
                  </w:r>
                </w:p>
              </w:tc>
              <w:tc>
                <w:tcPr>
                  <w:tcW w:w="1227" w:type="dxa"/>
                  <w:noWrap w:val="0"/>
                  <w:vAlign w:val="center"/>
                </w:tcPr>
                <w:p w14:paraId="64E5D634">
                  <w:pPr>
                    <w:keepNext w:val="0"/>
                    <w:keepLines w:val="0"/>
                    <w:widowControl/>
                    <w:suppressLineNumbers w:val="0"/>
                    <w:adjustRightInd w:val="0"/>
                    <w:snapToGrid w:val="0"/>
                    <w:spacing w:before="0" w:beforeAutospacing="0" w:after="0" w:afterAutospacing="0" w:line="240" w:lineRule="atLeast"/>
                    <w:ind w:left="0" w:right="0"/>
                    <w:jc w:val="center"/>
                    <w:textAlignment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102.6</w:t>
                  </w:r>
                </w:p>
              </w:tc>
              <w:tc>
                <w:tcPr>
                  <w:tcW w:w="1118" w:type="dxa"/>
                  <w:noWrap w:val="0"/>
                  <w:vAlign w:val="center"/>
                </w:tcPr>
                <w:p w14:paraId="02CD399B">
                  <w:pPr>
                    <w:keepNext w:val="0"/>
                    <w:keepLines w:val="0"/>
                    <w:widowControl/>
                    <w:suppressLineNumbers w:val="0"/>
                    <w:adjustRightInd w:val="0"/>
                    <w:snapToGrid w:val="0"/>
                    <w:spacing w:before="0" w:beforeAutospacing="0" w:after="0" w:afterAutospacing="0" w:line="240" w:lineRule="atLeast"/>
                    <w:ind w:left="0" w:right="0"/>
                    <w:jc w:val="center"/>
                    <w:textAlignment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56.1</w:t>
                  </w:r>
                </w:p>
              </w:tc>
              <w:tc>
                <w:tcPr>
                  <w:tcW w:w="1153" w:type="dxa"/>
                  <w:shd w:val="clear" w:color="auto" w:fill="auto"/>
                  <w:noWrap w:val="0"/>
                  <w:vAlign w:val="center"/>
                </w:tcPr>
                <w:p w14:paraId="2E70DCB4">
                  <w:pPr>
                    <w:keepNext w:val="0"/>
                    <w:keepLines w:val="0"/>
                    <w:widowControl/>
                    <w:suppressLineNumbers w:val="0"/>
                    <w:adjustRightInd w:val="0"/>
                    <w:snapToGrid w:val="0"/>
                    <w:spacing w:before="0" w:beforeAutospacing="0" w:after="0" w:afterAutospacing="0" w:line="240" w:lineRule="atLeast"/>
                    <w:ind w:left="0" w:right="0"/>
                    <w:jc w:val="center"/>
                    <w:textAlignment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1.8</w:t>
                  </w:r>
                </w:p>
              </w:tc>
              <w:tc>
                <w:tcPr>
                  <w:tcW w:w="810" w:type="dxa"/>
                  <w:shd w:val="clear" w:color="auto" w:fill="auto"/>
                  <w:noWrap w:val="0"/>
                  <w:vAlign w:val="center"/>
                </w:tcPr>
                <w:p w14:paraId="345D0422">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东</w:t>
                  </w:r>
                </w:p>
              </w:tc>
              <w:tc>
                <w:tcPr>
                  <w:tcW w:w="810" w:type="dxa"/>
                  <w:noWrap w:val="0"/>
                  <w:vAlign w:val="center"/>
                </w:tcPr>
                <w:p w14:paraId="2F31A9F5">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阴</w:t>
                  </w:r>
                </w:p>
              </w:tc>
            </w:tr>
          </w:tbl>
          <w:p w14:paraId="72C4D982">
            <w:pPr>
              <w:pStyle w:val="10"/>
              <w:keepNext w:val="0"/>
              <w:keepLines w:val="0"/>
              <w:suppressLineNumbers w:val="0"/>
              <w:spacing w:before="0" w:beforeAutospacing="0" w:after="0" w:afterAutospacing="0"/>
              <w:ind w:left="0" w:right="0" w:firstLine="480"/>
              <w:rPr>
                <w:rFonts w:hint="eastAsia" w:ascii="宋体" w:hAnsi="宋体" w:eastAsia="宋体" w:cs="宋体"/>
                <w:color w:val="auto"/>
              </w:rPr>
            </w:pPr>
            <w:r>
              <w:rPr>
                <w:rFonts w:hint="eastAsia" w:ascii="宋体" w:hAnsi="宋体" w:eastAsia="宋体" w:cs="宋体"/>
                <w:color w:val="auto"/>
              </w:rPr>
              <w:t>⑤监测结果</w:t>
            </w:r>
          </w:p>
          <w:p w14:paraId="3F21A2CB">
            <w:pPr>
              <w:pStyle w:val="10"/>
              <w:keepNext w:val="0"/>
              <w:keepLines w:val="0"/>
              <w:suppressLineNumbers w:val="0"/>
              <w:spacing w:before="0" w:beforeAutospacing="0" w:after="0" w:afterAutospacing="0"/>
              <w:ind w:left="0" w:right="0" w:firstLine="480"/>
              <w:rPr>
                <w:rFonts w:hint="eastAsia" w:ascii="宋体" w:hAnsi="宋体" w:eastAsia="宋体" w:cs="宋体"/>
                <w:color w:val="auto"/>
              </w:rPr>
            </w:pPr>
            <w:r>
              <w:rPr>
                <w:rFonts w:hint="eastAsia" w:ascii="宋体" w:hAnsi="宋体" w:eastAsia="宋体" w:cs="宋体"/>
                <w:color w:val="auto"/>
              </w:rPr>
              <w:t>监测结果见表3-4。</w:t>
            </w:r>
          </w:p>
          <w:p w14:paraId="07C98DCD">
            <w:pPr>
              <w:pStyle w:val="10"/>
              <w:keepNext w:val="0"/>
              <w:keepLines w:val="0"/>
              <w:suppressLineNumbers w:val="0"/>
              <w:spacing w:before="0" w:beforeAutospacing="0" w:after="0" w:afterAutospacing="0"/>
              <w:ind w:left="0" w:right="0" w:firstLine="480"/>
              <w:jc w:val="center"/>
              <w:rPr>
                <w:rFonts w:hint="eastAsia"/>
                <w:color w:val="auto"/>
              </w:rPr>
            </w:pPr>
            <w:r>
              <w:rPr>
                <w:rFonts w:hint="eastAsia" w:ascii="宋体" w:hAnsi="宋体" w:eastAsia="宋体" w:cs="宋体"/>
                <w:b/>
                <w:bCs/>
                <w:color w:val="auto"/>
              </w:rPr>
              <w:t>表3-4 评价区环境空气质量现状监测结果（m）</w:t>
            </w:r>
          </w:p>
          <w:tbl>
            <w:tblPr>
              <w:tblStyle w:val="30"/>
              <w:tblW w:w="851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1"/>
              <w:gridCol w:w="814"/>
              <w:gridCol w:w="828"/>
              <w:gridCol w:w="787"/>
              <w:gridCol w:w="645"/>
              <w:gridCol w:w="1168"/>
              <w:gridCol w:w="1107"/>
              <w:gridCol w:w="967"/>
              <w:gridCol w:w="662"/>
              <w:gridCol w:w="777"/>
            </w:tblGrid>
            <w:tr w14:paraId="624A65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761" w:type="dxa"/>
                  <w:vMerge w:val="restart"/>
                  <w:noWrap w:val="0"/>
                  <w:vAlign w:val="center"/>
                </w:tcPr>
                <w:p w14:paraId="4226FF6C">
                  <w:pPr>
                    <w:pStyle w:val="10"/>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监测点位</w:t>
                  </w:r>
                </w:p>
              </w:tc>
              <w:tc>
                <w:tcPr>
                  <w:tcW w:w="1642" w:type="dxa"/>
                  <w:gridSpan w:val="2"/>
                  <w:noWrap w:val="0"/>
                  <w:vAlign w:val="center"/>
                </w:tcPr>
                <w:p w14:paraId="33D91B0B">
                  <w:pPr>
                    <w:pStyle w:val="10"/>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监测点坐标</w:t>
                  </w:r>
                </w:p>
              </w:tc>
              <w:tc>
                <w:tcPr>
                  <w:tcW w:w="787" w:type="dxa"/>
                  <w:vMerge w:val="restart"/>
                  <w:noWrap w:val="0"/>
                  <w:vAlign w:val="center"/>
                </w:tcPr>
                <w:p w14:paraId="0CE0952B">
                  <w:pPr>
                    <w:pStyle w:val="10"/>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污染物</w:t>
                  </w:r>
                </w:p>
              </w:tc>
              <w:tc>
                <w:tcPr>
                  <w:tcW w:w="645" w:type="dxa"/>
                  <w:vMerge w:val="restart"/>
                  <w:noWrap w:val="0"/>
                  <w:vAlign w:val="center"/>
                </w:tcPr>
                <w:p w14:paraId="2B954CE6">
                  <w:pPr>
                    <w:pStyle w:val="10"/>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平均时间</w:t>
                  </w:r>
                </w:p>
              </w:tc>
              <w:tc>
                <w:tcPr>
                  <w:tcW w:w="1168" w:type="dxa"/>
                  <w:vMerge w:val="restart"/>
                  <w:noWrap w:val="0"/>
                  <w:vAlign w:val="center"/>
                </w:tcPr>
                <w:p w14:paraId="1852AE9D">
                  <w:pPr>
                    <w:pStyle w:val="10"/>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评价标准（µg/m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w:t>
                  </w:r>
                </w:p>
              </w:tc>
              <w:tc>
                <w:tcPr>
                  <w:tcW w:w="1107" w:type="dxa"/>
                  <w:vMerge w:val="restart"/>
                  <w:noWrap w:val="0"/>
                  <w:vAlign w:val="center"/>
                </w:tcPr>
                <w:p w14:paraId="3DED63C7">
                  <w:pPr>
                    <w:pStyle w:val="10"/>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监测浓度范围（µg/m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w:t>
                  </w:r>
                </w:p>
              </w:tc>
              <w:tc>
                <w:tcPr>
                  <w:tcW w:w="967" w:type="dxa"/>
                  <w:vMerge w:val="restart"/>
                  <w:noWrap w:val="0"/>
                  <w:vAlign w:val="center"/>
                </w:tcPr>
                <w:p w14:paraId="775623E6">
                  <w:pPr>
                    <w:pStyle w:val="10"/>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最大浓度占标率/%</w:t>
                  </w:r>
                </w:p>
              </w:tc>
              <w:tc>
                <w:tcPr>
                  <w:tcW w:w="662" w:type="dxa"/>
                  <w:vMerge w:val="restart"/>
                  <w:noWrap w:val="0"/>
                  <w:vAlign w:val="center"/>
                </w:tcPr>
                <w:p w14:paraId="193468BA">
                  <w:pPr>
                    <w:pStyle w:val="10"/>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超标率/%</w:t>
                  </w:r>
                </w:p>
              </w:tc>
              <w:tc>
                <w:tcPr>
                  <w:tcW w:w="777" w:type="dxa"/>
                  <w:vMerge w:val="restart"/>
                  <w:noWrap w:val="0"/>
                  <w:vAlign w:val="center"/>
                </w:tcPr>
                <w:p w14:paraId="5B10B67C">
                  <w:pPr>
                    <w:pStyle w:val="10"/>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达标情况</w:t>
                  </w:r>
                </w:p>
              </w:tc>
            </w:tr>
            <w:tr w14:paraId="314546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1" w:type="dxa"/>
                  <w:vMerge w:val="continue"/>
                  <w:noWrap w:val="0"/>
                  <w:vAlign w:val="center"/>
                </w:tcPr>
                <w:p w14:paraId="473C7981">
                  <w:pPr>
                    <w:pStyle w:val="10"/>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rPr>
                  </w:pPr>
                </w:p>
              </w:tc>
              <w:tc>
                <w:tcPr>
                  <w:tcW w:w="814" w:type="dxa"/>
                  <w:noWrap w:val="0"/>
                  <w:vAlign w:val="center"/>
                </w:tcPr>
                <w:p w14:paraId="3DBA7C2D">
                  <w:pPr>
                    <w:pStyle w:val="10"/>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东经</w:t>
                  </w:r>
                </w:p>
              </w:tc>
              <w:tc>
                <w:tcPr>
                  <w:tcW w:w="828" w:type="dxa"/>
                  <w:noWrap w:val="0"/>
                  <w:vAlign w:val="center"/>
                </w:tcPr>
                <w:p w14:paraId="343729FE">
                  <w:pPr>
                    <w:pStyle w:val="10"/>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北纬</w:t>
                  </w:r>
                </w:p>
              </w:tc>
              <w:tc>
                <w:tcPr>
                  <w:tcW w:w="787" w:type="dxa"/>
                  <w:vMerge w:val="continue"/>
                  <w:noWrap w:val="0"/>
                  <w:vAlign w:val="center"/>
                </w:tcPr>
                <w:p w14:paraId="1771F79F">
                  <w:pPr>
                    <w:pStyle w:val="10"/>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rPr>
                  </w:pPr>
                </w:p>
              </w:tc>
              <w:tc>
                <w:tcPr>
                  <w:tcW w:w="645" w:type="dxa"/>
                  <w:vMerge w:val="continue"/>
                  <w:noWrap w:val="0"/>
                  <w:vAlign w:val="center"/>
                </w:tcPr>
                <w:p w14:paraId="39770336">
                  <w:pPr>
                    <w:pStyle w:val="10"/>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rPr>
                  </w:pPr>
                </w:p>
              </w:tc>
              <w:tc>
                <w:tcPr>
                  <w:tcW w:w="1168" w:type="dxa"/>
                  <w:vMerge w:val="continue"/>
                  <w:noWrap w:val="0"/>
                  <w:vAlign w:val="center"/>
                </w:tcPr>
                <w:p w14:paraId="0325E8A9">
                  <w:pPr>
                    <w:pStyle w:val="10"/>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rPr>
                  </w:pPr>
                </w:p>
              </w:tc>
              <w:tc>
                <w:tcPr>
                  <w:tcW w:w="1107" w:type="dxa"/>
                  <w:vMerge w:val="continue"/>
                  <w:noWrap w:val="0"/>
                  <w:vAlign w:val="center"/>
                </w:tcPr>
                <w:p w14:paraId="1F226D81">
                  <w:pPr>
                    <w:pStyle w:val="10"/>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rPr>
                  </w:pPr>
                </w:p>
              </w:tc>
              <w:tc>
                <w:tcPr>
                  <w:tcW w:w="967" w:type="dxa"/>
                  <w:vMerge w:val="continue"/>
                  <w:noWrap w:val="0"/>
                  <w:vAlign w:val="center"/>
                </w:tcPr>
                <w:p w14:paraId="72F2223F">
                  <w:pPr>
                    <w:pStyle w:val="10"/>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rPr>
                  </w:pPr>
                </w:p>
              </w:tc>
              <w:tc>
                <w:tcPr>
                  <w:tcW w:w="662" w:type="dxa"/>
                  <w:vMerge w:val="continue"/>
                  <w:noWrap w:val="0"/>
                  <w:vAlign w:val="center"/>
                </w:tcPr>
                <w:p w14:paraId="706643D1">
                  <w:pPr>
                    <w:pStyle w:val="10"/>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rPr>
                  </w:pPr>
                </w:p>
              </w:tc>
              <w:tc>
                <w:tcPr>
                  <w:tcW w:w="777" w:type="dxa"/>
                  <w:vMerge w:val="continue"/>
                  <w:noWrap w:val="0"/>
                  <w:vAlign w:val="center"/>
                </w:tcPr>
                <w:p w14:paraId="3D34013B">
                  <w:pPr>
                    <w:pStyle w:val="10"/>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rPr>
                  </w:pPr>
                </w:p>
              </w:tc>
            </w:tr>
            <w:tr w14:paraId="7EECAD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1" w:type="dxa"/>
                  <w:noWrap w:val="0"/>
                  <w:vAlign w:val="center"/>
                </w:tcPr>
                <w:p w14:paraId="56B1A5DD">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厂</w:t>
                  </w:r>
                  <w:r>
                    <w:rPr>
                      <w:rFonts w:hint="eastAsia" w:ascii="宋体" w:hAnsi="宋体" w:eastAsia="宋体" w:cs="宋体"/>
                      <w:color w:val="auto"/>
                      <w:sz w:val="21"/>
                      <w:szCs w:val="21"/>
                      <w:lang w:val="en-US" w:eastAsia="zh-CN"/>
                    </w:rPr>
                    <w:t>界东侧</w:t>
                  </w:r>
                </w:p>
              </w:tc>
              <w:tc>
                <w:tcPr>
                  <w:tcW w:w="814" w:type="dxa"/>
                  <w:noWrap w:val="0"/>
                  <w:vAlign w:val="center"/>
                </w:tcPr>
                <w:p w14:paraId="2CA690F6">
                  <w:pPr>
                    <w:pStyle w:val="10"/>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119.</w:t>
                  </w:r>
                  <w:r>
                    <w:rPr>
                      <w:rFonts w:hint="eastAsia" w:ascii="宋体" w:hAnsi="宋体" w:eastAsia="宋体" w:cs="宋体"/>
                      <w:color w:val="auto"/>
                      <w:sz w:val="21"/>
                      <w:szCs w:val="21"/>
                      <w:lang w:val="en-US" w:eastAsia="zh-CN"/>
                    </w:rPr>
                    <w:t>2712</w:t>
                  </w:r>
                </w:p>
              </w:tc>
              <w:tc>
                <w:tcPr>
                  <w:tcW w:w="828" w:type="dxa"/>
                  <w:noWrap w:val="0"/>
                  <w:vAlign w:val="center"/>
                </w:tcPr>
                <w:p w14:paraId="15D99D34">
                  <w:pPr>
                    <w:pStyle w:val="10"/>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32.</w:t>
                  </w:r>
                  <w:r>
                    <w:rPr>
                      <w:rFonts w:hint="eastAsia" w:ascii="宋体" w:hAnsi="宋体" w:eastAsia="宋体" w:cs="宋体"/>
                      <w:color w:val="auto"/>
                      <w:sz w:val="21"/>
                      <w:szCs w:val="21"/>
                      <w:lang w:val="en-US" w:eastAsia="zh-CN"/>
                    </w:rPr>
                    <w:t>0262</w:t>
                  </w:r>
                </w:p>
              </w:tc>
              <w:tc>
                <w:tcPr>
                  <w:tcW w:w="787" w:type="dxa"/>
                  <w:noWrap w:val="0"/>
                  <w:vAlign w:val="center"/>
                </w:tcPr>
                <w:p w14:paraId="12D1BCD6">
                  <w:pPr>
                    <w:pStyle w:val="10"/>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color w:val="auto"/>
                      <w:sz w:val="21"/>
                      <w:szCs w:val="21"/>
                    </w:rPr>
                  </w:pPr>
                  <w:r>
                    <w:rPr>
                      <w:rFonts w:hint="eastAsia" w:ascii="宋体" w:hAnsi="宋体" w:eastAsia="宋体" w:cs="宋体"/>
                      <w:color w:val="auto"/>
                      <w:sz w:val="21"/>
                      <w:szCs w:val="21"/>
                    </w:rPr>
                    <w:t>TSP</w:t>
                  </w:r>
                </w:p>
              </w:tc>
              <w:tc>
                <w:tcPr>
                  <w:tcW w:w="645" w:type="dxa"/>
                  <w:noWrap w:val="0"/>
                  <w:vAlign w:val="center"/>
                </w:tcPr>
                <w:p w14:paraId="7DD3E434">
                  <w:pPr>
                    <w:pStyle w:val="10"/>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日均值</w:t>
                  </w:r>
                </w:p>
              </w:tc>
              <w:tc>
                <w:tcPr>
                  <w:tcW w:w="1168" w:type="dxa"/>
                  <w:noWrap w:val="0"/>
                  <w:vAlign w:val="center"/>
                </w:tcPr>
                <w:p w14:paraId="614B34F9">
                  <w:pPr>
                    <w:pStyle w:val="10"/>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color w:val="auto"/>
                      <w:sz w:val="21"/>
                      <w:szCs w:val="21"/>
                    </w:rPr>
                  </w:pPr>
                  <w:r>
                    <w:rPr>
                      <w:rFonts w:hint="eastAsia" w:ascii="宋体" w:hAnsi="宋体" w:eastAsia="宋体" w:cs="宋体"/>
                      <w:color w:val="auto"/>
                      <w:sz w:val="21"/>
                      <w:szCs w:val="21"/>
                    </w:rPr>
                    <w:t>900</w:t>
                  </w:r>
                </w:p>
              </w:tc>
              <w:tc>
                <w:tcPr>
                  <w:tcW w:w="1107" w:type="dxa"/>
                  <w:noWrap w:val="0"/>
                  <w:vAlign w:val="center"/>
                </w:tcPr>
                <w:p w14:paraId="2EA7134F">
                  <w:pPr>
                    <w:pStyle w:val="10"/>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10</w:t>
                  </w:r>
                </w:p>
              </w:tc>
              <w:tc>
                <w:tcPr>
                  <w:tcW w:w="967" w:type="dxa"/>
                  <w:noWrap w:val="0"/>
                  <w:vAlign w:val="center"/>
                </w:tcPr>
                <w:p w14:paraId="0820382E">
                  <w:pPr>
                    <w:pStyle w:val="10"/>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w:t>
                  </w:r>
                </w:p>
              </w:tc>
              <w:tc>
                <w:tcPr>
                  <w:tcW w:w="662" w:type="dxa"/>
                  <w:noWrap w:val="0"/>
                  <w:vAlign w:val="center"/>
                </w:tcPr>
                <w:p w14:paraId="3FC502BC">
                  <w:pPr>
                    <w:keepNext w:val="0"/>
                    <w:keepLines w:val="0"/>
                    <w:widowControl/>
                    <w:suppressLineNumbers w:val="0"/>
                    <w:adjustRightInd w:val="0"/>
                    <w:snapToGrid w:val="0"/>
                    <w:spacing w:before="0" w:beforeAutospacing="0" w:after="0" w:afterAutospacing="0" w:line="240" w:lineRule="atLeast"/>
                    <w:ind w:left="0" w:right="0"/>
                    <w:jc w:val="center"/>
                    <w:textAlignment w:val="bottom"/>
                    <w:rPr>
                      <w:rFonts w:hint="eastAsia" w:ascii="宋体" w:hAnsi="宋体" w:eastAsia="宋体" w:cs="宋体"/>
                      <w:color w:val="auto"/>
                      <w:sz w:val="21"/>
                      <w:szCs w:val="21"/>
                    </w:rPr>
                  </w:pPr>
                  <w:r>
                    <w:rPr>
                      <w:rFonts w:hint="eastAsia" w:ascii="宋体" w:hAnsi="宋体" w:eastAsia="宋体" w:cs="宋体"/>
                      <w:color w:val="auto"/>
                      <w:sz w:val="21"/>
                      <w:szCs w:val="21"/>
                    </w:rPr>
                    <w:t>0</w:t>
                  </w:r>
                </w:p>
              </w:tc>
              <w:tc>
                <w:tcPr>
                  <w:tcW w:w="777" w:type="dxa"/>
                  <w:noWrap w:val="0"/>
                  <w:vAlign w:val="center"/>
                </w:tcPr>
                <w:p w14:paraId="3037675F">
                  <w:pPr>
                    <w:pStyle w:val="10"/>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达标</w:t>
                  </w:r>
                </w:p>
              </w:tc>
            </w:tr>
          </w:tbl>
          <w:p w14:paraId="307A4B78">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0"/>
              <w:textAlignment w:val="auto"/>
              <w:rPr>
                <w:rFonts w:hint="eastAsia" w:ascii="宋体" w:hAnsi="宋体" w:eastAsia="宋体" w:cs="宋体"/>
                <w:color w:val="auto"/>
              </w:rPr>
            </w:pPr>
            <w:r>
              <w:rPr>
                <w:rFonts w:hint="eastAsia" w:ascii="宋体" w:hAnsi="宋体" w:eastAsia="宋体" w:cs="宋体"/>
                <w:color w:val="auto"/>
              </w:rPr>
              <w:t>⑥评价结果</w:t>
            </w:r>
          </w:p>
          <w:p w14:paraId="78FC2579">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eastAsia"/>
              </w:rPr>
            </w:pPr>
            <w:r>
              <w:rPr>
                <w:rFonts w:hint="eastAsia" w:ascii="宋体" w:hAnsi="宋体" w:eastAsia="宋体" w:cs="宋体"/>
                <w:b w:val="0"/>
                <w:bCs/>
                <w:color w:val="auto"/>
                <w:sz w:val="24"/>
              </w:rPr>
              <w:t>从表3-4监测数据的统计分析结果可知，评价区TSP环境空气质量现状较好，能满足《环境空气质量标准》（GB3095-2012）及其修改单中的二级标准。</w:t>
            </w:r>
          </w:p>
          <w:p w14:paraId="0F3C00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宋体" w:hAnsi="宋体" w:eastAsia="宋体" w:cs="宋体"/>
              </w:rPr>
            </w:pPr>
            <w:r>
              <w:rPr>
                <w:rFonts w:hint="eastAsia" w:ascii="宋体" w:hAnsi="宋体" w:eastAsia="宋体" w:cs="宋体"/>
              </w:rPr>
              <w:t>2、地表水环境现状</w:t>
            </w:r>
          </w:p>
          <w:p w14:paraId="360FCF57">
            <w:pPr>
              <w:pStyle w:val="6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宋体" w:hAnsi="宋体" w:eastAsia="宋体" w:cs="宋体"/>
              </w:rPr>
            </w:pPr>
            <w:r>
              <w:rPr>
                <w:rFonts w:hint="eastAsia" w:ascii="宋体" w:hAnsi="宋体" w:eastAsia="宋体" w:cs="宋体"/>
                <w:color w:val="auto"/>
                <w:sz w:val="24"/>
                <w:szCs w:val="24"/>
              </w:rPr>
              <w:t>根据《</w:t>
            </w:r>
            <w:r>
              <w:rPr>
                <w:rFonts w:hint="eastAsia" w:ascii="宋体" w:hAnsi="宋体" w:eastAsia="宋体" w:cs="宋体"/>
                <w:color w:val="auto"/>
                <w:sz w:val="24"/>
                <w:szCs w:val="24"/>
                <w:lang w:eastAsia="zh-CN"/>
              </w:rPr>
              <w:t>202</w:t>
            </w:r>
            <w:r>
              <w:rPr>
                <w:rFonts w:hint="eastAsia" w:ascii="宋体" w:hAnsi="宋体" w:cs="宋体"/>
                <w:color w:val="auto"/>
                <w:sz w:val="24"/>
                <w:szCs w:val="24"/>
                <w:lang w:val="en-US" w:eastAsia="zh-CN"/>
              </w:rPr>
              <w:t>4</w:t>
            </w:r>
            <w:r>
              <w:rPr>
                <w:rFonts w:hint="eastAsia" w:ascii="宋体" w:hAnsi="宋体" w:eastAsia="宋体" w:cs="宋体"/>
                <w:color w:val="auto"/>
                <w:sz w:val="24"/>
                <w:szCs w:val="24"/>
                <w:lang w:eastAsia="zh-CN"/>
              </w:rPr>
              <w:t>年度</w:t>
            </w:r>
            <w:r>
              <w:rPr>
                <w:rFonts w:hint="eastAsia" w:ascii="宋体" w:hAnsi="宋体" w:eastAsia="宋体" w:cs="宋体"/>
                <w:color w:val="auto"/>
                <w:sz w:val="24"/>
                <w:szCs w:val="24"/>
                <w:lang w:val="en-US" w:eastAsia="zh-CN"/>
              </w:rPr>
              <w:t>镇江</w:t>
            </w:r>
            <w:r>
              <w:rPr>
                <w:rFonts w:hint="eastAsia" w:ascii="宋体" w:hAnsi="宋体" w:eastAsia="宋体" w:cs="宋体"/>
                <w:color w:val="auto"/>
                <w:sz w:val="24"/>
                <w:szCs w:val="24"/>
                <w:lang w:eastAsia="zh-CN"/>
              </w:rPr>
              <w:t>市生态环境状况公报</w:t>
            </w:r>
            <w:r>
              <w:rPr>
                <w:rFonts w:hint="eastAsia" w:ascii="宋体" w:hAnsi="宋体" w:eastAsia="宋体" w:cs="宋体"/>
                <w:color w:val="auto"/>
                <w:sz w:val="24"/>
                <w:szCs w:val="24"/>
              </w:rPr>
              <w:t>》，全市地表水环境质量总体为优。列</w:t>
            </w:r>
            <w:r>
              <w:rPr>
                <w:rFonts w:hint="eastAsia" w:ascii="宋体" w:hAnsi="宋体" w:cs="宋体"/>
                <w:color w:val="auto"/>
                <w:sz w:val="24"/>
                <w:szCs w:val="24"/>
                <w:lang w:val="en-US" w:eastAsia="zh-CN"/>
              </w:rPr>
              <w:t>入</w:t>
            </w:r>
            <w:r>
              <w:rPr>
                <w:rFonts w:hint="eastAsia" w:ascii="宋体" w:hAnsi="宋体" w:eastAsia="宋体" w:cs="宋体"/>
                <w:color w:val="auto"/>
                <w:sz w:val="24"/>
                <w:szCs w:val="24"/>
              </w:rPr>
              <w:t>《江苏省水污染防治工作计划》地表水环境质量考核的10个国考断面中，</w:t>
            </w:r>
            <w:r>
              <w:rPr>
                <w:rFonts w:hint="eastAsia" w:ascii="宋体" w:hAnsi="宋体" w:cs="宋体"/>
                <w:color w:val="auto"/>
                <w:sz w:val="24"/>
                <w:szCs w:val="24"/>
                <w:lang w:val="en-US" w:eastAsia="zh-CN"/>
              </w:rPr>
              <w:t>水</w:t>
            </w:r>
            <w:r>
              <w:rPr>
                <w:rFonts w:hint="eastAsia" w:ascii="宋体" w:hAnsi="宋体" w:eastAsia="宋体" w:cs="宋体"/>
                <w:color w:val="auto"/>
                <w:sz w:val="24"/>
                <w:szCs w:val="24"/>
              </w:rPr>
              <w:t>质符合《地表水环境质最标准》</w:t>
            </w:r>
            <w:r>
              <w:rPr>
                <w:rFonts w:hint="eastAsia" w:ascii="宋体" w:hAnsi="宋体" w:cs="宋体"/>
                <w:color w:val="auto"/>
                <w:sz w:val="24"/>
                <w:szCs w:val="24"/>
                <w:lang w:eastAsia="zh-CN"/>
              </w:rPr>
              <w:t>（</w:t>
            </w:r>
            <w:r>
              <w:rPr>
                <w:rFonts w:hint="eastAsia" w:ascii="宋体" w:hAnsi="宋体" w:eastAsia="宋体" w:cs="宋体"/>
                <w:color w:val="auto"/>
                <w:sz w:val="24"/>
                <w:szCs w:val="24"/>
              </w:rPr>
              <w:t>GB3838-2002</w:t>
            </w:r>
            <w:r>
              <w:rPr>
                <w:rFonts w:hint="eastAsia" w:ascii="宋体" w:hAnsi="宋体" w:cs="宋体"/>
                <w:color w:val="auto"/>
                <w:sz w:val="24"/>
                <w:szCs w:val="24"/>
                <w:lang w:eastAsia="zh-CN"/>
              </w:rPr>
              <w:t>）</w:t>
            </w:r>
            <w:r>
              <w:rPr>
                <w:rFonts w:hint="eastAsia" w:ascii="宋体" w:hAnsi="宋体" w:eastAsia="宋体" w:cs="宋体"/>
                <w:color w:val="auto"/>
                <w:sz w:val="24"/>
                <w:szCs w:val="24"/>
              </w:rPr>
              <w:t>优Ⅲ类断而比</w:t>
            </w:r>
            <w:r>
              <w:rPr>
                <w:rFonts w:hint="eastAsia" w:ascii="宋体" w:hAnsi="宋体" w:cs="宋体"/>
                <w:color w:val="auto"/>
                <w:sz w:val="24"/>
                <w:szCs w:val="24"/>
                <w:lang w:val="en-US" w:eastAsia="zh-CN"/>
              </w:rPr>
              <w:t>例</w:t>
            </w:r>
            <w:r>
              <w:rPr>
                <w:rFonts w:hint="eastAsia" w:ascii="宋体" w:hAnsi="宋体" w:eastAsia="宋体" w:cs="宋体"/>
                <w:color w:val="auto"/>
                <w:sz w:val="24"/>
                <w:szCs w:val="24"/>
              </w:rPr>
              <w:t>为100%</w:t>
            </w:r>
            <w:r>
              <w:rPr>
                <w:rFonts w:hint="eastAsia" w:ascii="宋体" w:hAnsi="宋体" w:cs="宋体"/>
                <w:color w:val="auto"/>
                <w:sz w:val="24"/>
                <w:szCs w:val="24"/>
                <w:lang w:eastAsia="zh-CN"/>
              </w:rPr>
              <w:t>，</w:t>
            </w:r>
            <w:r>
              <w:rPr>
                <w:rFonts w:hint="eastAsia" w:ascii="宋体" w:hAnsi="宋体" w:eastAsia="宋体" w:cs="宋体"/>
                <w:color w:val="auto"/>
                <w:sz w:val="24"/>
                <w:szCs w:val="24"/>
              </w:rPr>
              <w:t>优Ⅱ类断面</w:t>
            </w:r>
            <w:r>
              <w:rPr>
                <w:rFonts w:hint="eastAsia" w:ascii="宋体" w:hAnsi="宋体" w:cs="宋体"/>
                <w:color w:val="auto"/>
                <w:sz w:val="24"/>
                <w:szCs w:val="24"/>
                <w:lang w:val="en-US" w:eastAsia="zh-CN"/>
              </w:rPr>
              <w:t>比</w:t>
            </w:r>
            <w:r>
              <w:rPr>
                <w:rFonts w:hint="eastAsia" w:ascii="宋体" w:hAnsi="宋体" w:eastAsia="宋体" w:cs="宋体"/>
                <w:color w:val="auto"/>
                <w:sz w:val="24"/>
                <w:szCs w:val="24"/>
              </w:rPr>
              <w:t>例为60%。省考45个断面中，优Ⅲ类断面比例为100%</w:t>
            </w:r>
            <w:r>
              <w:rPr>
                <w:rFonts w:hint="eastAsia" w:ascii="宋体" w:hAnsi="宋体" w:cs="宋体"/>
                <w:color w:val="auto"/>
                <w:sz w:val="24"/>
                <w:szCs w:val="24"/>
                <w:lang w:eastAsia="zh-CN"/>
              </w:rPr>
              <w:t>，</w:t>
            </w:r>
            <w:r>
              <w:rPr>
                <w:rFonts w:hint="eastAsia" w:ascii="宋体" w:hAnsi="宋体" w:eastAsia="宋体" w:cs="宋体"/>
                <w:color w:val="auto"/>
                <w:sz w:val="24"/>
                <w:szCs w:val="24"/>
              </w:rPr>
              <w:t>优Ⅱ类</w:t>
            </w:r>
            <w:r>
              <w:rPr>
                <w:rFonts w:hint="eastAsia" w:ascii="宋体" w:hAnsi="宋体" w:cs="宋体"/>
                <w:color w:val="auto"/>
                <w:sz w:val="24"/>
                <w:szCs w:val="24"/>
                <w:lang w:val="en-US" w:eastAsia="zh-CN"/>
              </w:rPr>
              <w:t>断</w:t>
            </w:r>
            <w:r>
              <w:rPr>
                <w:rFonts w:hint="eastAsia" w:ascii="宋体" w:hAnsi="宋体" w:eastAsia="宋体" w:cs="宋体"/>
                <w:color w:val="auto"/>
                <w:sz w:val="24"/>
                <w:szCs w:val="24"/>
              </w:rPr>
              <w:t>面比例为71.1%。与上年相比，国考断面优Ⅲ类断面占比持平，优Ⅱ类断面占比上升20个百分点。省考断面优Ⅲ类断面占比持平，</w:t>
            </w:r>
            <w:r>
              <w:rPr>
                <w:rFonts w:hint="eastAsia" w:ascii="宋体" w:hAnsi="宋体" w:cs="宋体"/>
                <w:color w:val="auto"/>
                <w:sz w:val="24"/>
                <w:szCs w:val="24"/>
                <w:lang w:val="en-US" w:eastAsia="zh-CN"/>
              </w:rPr>
              <w:t>优</w:t>
            </w:r>
            <w:r>
              <w:rPr>
                <w:rFonts w:hint="eastAsia" w:ascii="宋体" w:hAnsi="宋体" w:eastAsia="宋体" w:cs="宋体"/>
                <w:color w:val="auto"/>
                <w:sz w:val="24"/>
                <w:szCs w:val="24"/>
              </w:rPr>
              <w:t>Ⅱ类断面占比上升24.4个百分点。</w:t>
            </w:r>
          </w:p>
          <w:p w14:paraId="42DC351D">
            <w:pPr>
              <w:keepNext w:val="0"/>
              <w:keepLines w:val="0"/>
              <w:suppressLineNumbers w:val="0"/>
              <w:spacing w:before="0" w:beforeAutospacing="0" w:after="0" w:afterAutospacing="0"/>
              <w:ind w:left="0" w:right="0"/>
              <w:rPr>
                <w:rFonts w:hint="eastAsia" w:ascii="宋体" w:hAnsi="宋体" w:eastAsia="宋体" w:cs="宋体"/>
              </w:rPr>
            </w:pPr>
            <w:r>
              <w:rPr>
                <w:rFonts w:hint="eastAsia" w:ascii="宋体" w:hAnsi="宋体" w:eastAsia="宋体" w:cs="宋体"/>
              </w:rPr>
              <w:t>3、声环境现状</w:t>
            </w:r>
          </w:p>
          <w:p w14:paraId="347E4A7C">
            <w:pPr>
              <w:keepNext w:val="0"/>
              <w:keepLines w:val="0"/>
              <w:suppressLineNumbers w:val="0"/>
              <w:adjustRightInd w:val="0"/>
              <w:snapToGrid w:val="0"/>
              <w:spacing w:before="0" w:beforeAutospacing="0" w:after="0" w:afterAutospacing="0" w:line="360" w:lineRule="auto"/>
              <w:ind w:left="0" w:right="0" w:firstLine="480"/>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rPr>
              <w:t>声环境质量现状采取现场实测方法，根据江苏苏诚环境检测技术有限公司20</w:t>
            </w:r>
            <w:r>
              <w:rPr>
                <w:rFonts w:hint="eastAsia" w:ascii="宋体" w:hAnsi="宋体" w:eastAsia="宋体" w:cs="宋体"/>
                <w:snapToGrid w:val="0"/>
                <w:color w:val="auto"/>
                <w:kern w:val="0"/>
                <w:sz w:val="24"/>
                <w:szCs w:val="24"/>
                <w:lang w:val="en-US" w:eastAsia="zh-CN"/>
              </w:rPr>
              <w:t>24</w:t>
            </w:r>
            <w:r>
              <w:rPr>
                <w:rFonts w:hint="eastAsia" w:ascii="宋体" w:hAnsi="宋体" w:eastAsia="宋体" w:cs="宋体"/>
                <w:snapToGrid w:val="0"/>
                <w:color w:val="auto"/>
                <w:kern w:val="0"/>
                <w:sz w:val="24"/>
                <w:szCs w:val="24"/>
              </w:rPr>
              <w:t>年</w:t>
            </w:r>
            <w:r>
              <w:rPr>
                <w:rFonts w:hint="eastAsia" w:ascii="宋体" w:hAnsi="宋体" w:eastAsia="宋体" w:cs="宋体"/>
                <w:snapToGrid w:val="0"/>
                <w:color w:val="auto"/>
                <w:kern w:val="0"/>
                <w:sz w:val="24"/>
                <w:szCs w:val="24"/>
                <w:lang w:val="en-US" w:eastAsia="zh-CN"/>
              </w:rPr>
              <w:t>1</w:t>
            </w:r>
            <w:r>
              <w:rPr>
                <w:rFonts w:hint="eastAsia" w:ascii="宋体" w:hAnsi="宋体" w:eastAsia="宋体" w:cs="宋体"/>
                <w:snapToGrid w:val="0"/>
                <w:color w:val="auto"/>
                <w:kern w:val="0"/>
                <w:sz w:val="24"/>
                <w:szCs w:val="24"/>
              </w:rPr>
              <w:t>月</w:t>
            </w:r>
            <w:r>
              <w:rPr>
                <w:rFonts w:hint="eastAsia" w:ascii="宋体" w:hAnsi="宋体" w:eastAsia="宋体" w:cs="宋体"/>
                <w:snapToGrid w:val="0"/>
                <w:color w:val="auto"/>
                <w:kern w:val="0"/>
                <w:sz w:val="24"/>
                <w:szCs w:val="24"/>
                <w:lang w:val="en-US" w:eastAsia="zh-CN"/>
              </w:rPr>
              <w:t>23</w:t>
            </w:r>
            <w:r>
              <w:rPr>
                <w:rFonts w:hint="eastAsia" w:ascii="宋体" w:hAnsi="宋体" w:eastAsia="宋体" w:cs="宋体"/>
                <w:snapToGrid w:val="0"/>
                <w:color w:val="auto"/>
                <w:kern w:val="0"/>
                <w:sz w:val="24"/>
                <w:szCs w:val="24"/>
              </w:rPr>
              <w:t>日对厂界四侧</w:t>
            </w:r>
            <w:r>
              <w:rPr>
                <w:rFonts w:hint="eastAsia" w:ascii="宋体" w:hAnsi="宋体" w:eastAsia="宋体" w:cs="宋体"/>
                <w:snapToGrid w:val="0"/>
                <w:color w:val="auto"/>
                <w:kern w:val="0"/>
                <w:sz w:val="24"/>
                <w:szCs w:val="24"/>
                <w:lang w:val="en-US" w:eastAsia="zh-CN"/>
              </w:rPr>
              <w:t>及南侧陈武村</w:t>
            </w:r>
            <w:r>
              <w:rPr>
                <w:rFonts w:hint="eastAsia" w:ascii="宋体" w:hAnsi="宋体" w:eastAsia="宋体" w:cs="宋体"/>
                <w:snapToGrid w:val="0"/>
                <w:color w:val="auto"/>
                <w:kern w:val="0"/>
                <w:sz w:val="24"/>
                <w:szCs w:val="24"/>
              </w:rPr>
              <w:t>进行现场监测，</w:t>
            </w:r>
            <w:r>
              <w:rPr>
                <w:rFonts w:hint="eastAsia" w:ascii="宋体" w:hAnsi="宋体" w:eastAsia="宋体" w:cs="宋体"/>
                <w:snapToGrid w:val="0"/>
                <w:color w:val="auto"/>
                <w:kern w:val="0"/>
                <w:sz w:val="24"/>
                <w:szCs w:val="24"/>
                <w:lang w:val="en-US" w:eastAsia="zh-CN"/>
              </w:rPr>
              <w:t>检测</w:t>
            </w:r>
            <w:r>
              <w:rPr>
                <w:rFonts w:hint="eastAsia" w:ascii="宋体" w:hAnsi="宋体" w:eastAsia="宋体" w:cs="宋体"/>
                <w:snapToGrid w:val="0"/>
                <w:color w:val="auto"/>
                <w:kern w:val="0"/>
                <w:sz w:val="24"/>
                <w:szCs w:val="24"/>
              </w:rPr>
              <w:t>结果见下表。</w:t>
            </w:r>
          </w:p>
          <w:p w14:paraId="5D7D050A">
            <w:pPr>
              <w:keepNext w:val="0"/>
              <w:keepLines w:val="0"/>
              <w:suppressLineNumbers w:val="0"/>
              <w:adjustRightInd w:val="0"/>
              <w:snapToGrid w:val="0"/>
              <w:spacing w:before="0" w:beforeAutospacing="0" w:after="0" w:afterAutospacing="0" w:line="360" w:lineRule="auto"/>
              <w:ind w:left="0" w:right="0"/>
              <w:jc w:val="right"/>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rPr>
              <w:t>表</w:t>
            </w:r>
            <w:r>
              <w:rPr>
                <w:rFonts w:hint="eastAsia" w:ascii="宋体" w:hAnsi="宋体" w:eastAsia="宋体" w:cs="宋体"/>
                <w:b/>
                <w:bCs/>
                <w:color w:val="auto"/>
                <w:sz w:val="24"/>
                <w:szCs w:val="24"/>
                <w:lang w:val="en-US" w:eastAsia="zh-CN"/>
              </w:rPr>
              <w:t>3-5</w:t>
            </w:r>
            <w:r>
              <w:rPr>
                <w:rFonts w:hint="eastAsia" w:ascii="宋体" w:hAnsi="宋体" w:eastAsia="宋体" w:cs="宋体"/>
                <w:b/>
                <w:bCs/>
                <w:color w:val="auto"/>
                <w:sz w:val="24"/>
                <w:szCs w:val="24"/>
              </w:rPr>
              <w:t xml:space="preserve"> 噪声监测数据统计表</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（单位：</w:t>
            </w:r>
            <w:r>
              <w:rPr>
                <w:rFonts w:hint="eastAsia" w:ascii="宋体" w:hAnsi="宋体" w:eastAsia="宋体" w:cs="宋体"/>
                <w:color w:val="auto"/>
                <w:sz w:val="24"/>
                <w:szCs w:val="24"/>
                <w:lang w:val="en-US" w:eastAsia="zh-CN"/>
              </w:rPr>
              <w:t>dB（A）</w:t>
            </w:r>
            <w:r>
              <w:rPr>
                <w:rFonts w:hint="eastAsia" w:ascii="宋体" w:hAnsi="宋体" w:eastAsia="宋体" w:cs="宋体"/>
                <w:color w:val="auto"/>
                <w:sz w:val="24"/>
                <w:szCs w:val="24"/>
                <w:lang w:eastAsia="zh-CN"/>
              </w:rPr>
              <w:t>）</w:t>
            </w:r>
          </w:p>
          <w:tbl>
            <w:tblPr>
              <w:tblStyle w:val="3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43"/>
              <w:gridCol w:w="2178"/>
              <w:gridCol w:w="1997"/>
            </w:tblGrid>
            <w:tr w14:paraId="4093B0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2343" w:type="dxa"/>
                  <w:vMerge w:val="restart"/>
                  <w:tcBorders>
                    <w:tl2br w:val="nil"/>
                    <w:tr2bl w:val="nil"/>
                  </w:tcBorders>
                  <w:noWrap w:val="0"/>
                  <w:vAlign w:val="center"/>
                </w:tcPr>
                <w:p w14:paraId="3356B335">
                  <w:pPr>
                    <w:pStyle w:val="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sz w:val="21"/>
                      <w:szCs w:val="21"/>
                    </w:rPr>
                  </w:pPr>
                  <w:bookmarkStart w:id="31" w:name="_Toc21795"/>
                  <w:bookmarkStart w:id="32" w:name="_Toc24078"/>
                  <w:bookmarkStart w:id="33" w:name="_Toc31585"/>
                  <w:r>
                    <w:rPr>
                      <w:rFonts w:hint="eastAsia" w:ascii="宋体" w:hAnsi="宋体" w:eastAsia="宋体" w:cs="宋体"/>
                      <w:color w:val="auto"/>
                      <w:sz w:val="21"/>
                      <w:szCs w:val="21"/>
                    </w:rPr>
                    <w:t>监测位置</w:t>
                  </w:r>
                  <w:bookmarkEnd w:id="31"/>
                  <w:bookmarkEnd w:id="32"/>
                  <w:bookmarkEnd w:id="33"/>
                </w:p>
              </w:tc>
              <w:tc>
                <w:tcPr>
                  <w:tcW w:w="4175" w:type="dxa"/>
                  <w:gridSpan w:val="2"/>
                  <w:tcBorders>
                    <w:tl2br w:val="nil"/>
                    <w:tr2bl w:val="nil"/>
                  </w:tcBorders>
                  <w:noWrap w:val="0"/>
                  <w:vAlign w:val="center"/>
                </w:tcPr>
                <w:p w14:paraId="62A8EC9C">
                  <w:pPr>
                    <w:pStyle w:val="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sz w:val="21"/>
                      <w:szCs w:val="21"/>
                      <w:lang w:val="en-US" w:eastAsia="zh-CN"/>
                    </w:rPr>
                  </w:pPr>
                  <w:bookmarkStart w:id="34" w:name="_Toc17375"/>
                  <w:bookmarkStart w:id="35" w:name="_Toc20800"/>
                  <w:bookmarkStart w:id="36" w:name="_Toc5473"/>
                  <w:r>
                    <w:rPr>
                      <w:rFonts w:hint="eastAsia" w:ascii="宋体" w:hAnsi="宋体" w:eastAsia="宋体" w:cs="宋体"/>
                      <w:color w:val="auto"/>
                      <w:sz w:val="21"/>
                      <w:szCs w:val="21"/>
                      <w:lang w:val="en-US" w:eastAsia="zh-CN"/>
                    </w:rPr>
                    <w:t>2024年1</w:t>
                  </w:r>
                  <w:r>
                    <w:rPr>
                      <w:rFonts w:hint="eastAsia" w:ascii="宋体" w:hAnsi="宋体" w:eastAsia="宋体" w:cs="宋体"/>
                      <w:color w:val="auto"/>
                      <w:sz w:val="21"/>
                      <w:szCs w:val="21"/>
                    </w:rPr>
                    <w:t>月</w:t>
                  </w:r>
                  <w:r>
                    <w:rPr>
                      <w:rFonts w:hint="eastAsia" w:ascii="宋体" w:hAnsi="宋体" w:eastAsia="宋体" w:cs="宋体"/>
                      <w:color w:val="auto"/>
                      <w:sz w:val="21"/>
                      <w:szCs w:val="21"/>
                      <w:lang w:val="en-US" w:eastAsia="zh-CN"/>
                    </w:rPr>
                    <w:t>23</w:t>
                  </w:r>
                  <w:r>
                    <w:rPr>
                      <w:rFonts w:hint="eastAsia" w:ascii="宋体" w:hAnsi="宋体" w:eastAsia="宋体" w:cs="宋体"/>
                      <w:color w:val="auto"/>
                      <w:sz w:val="21"/>
                      <w:szCs w:val="21"/>
                    </w:rPr>
                    <w:t>日</w:t>
                  </w:r>
                  <w:bookmarkEnd w:id="34"/>
                  <w:bookmarkEnd w:id="35"/>
                  <w:bookmarkEnd w:id="36"/>
                </w:p>
              </w:tc>
            </w:tr>
            <w:tr w14:paraId="350E9E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2343" w:type="dxa"/>
                  <w:vMerge w:val="continue"/>
                  <w:tcBorders>
                    <w:tl2br w:val="nil"/>
                    <w:tr2bl w:val="nil"/>
                  </w:tcBorders>
                  <w:noWrap w:val="0"/>
                  <w:vAlign w:val="center"/>
                </w:tcPr>
                <w:p w14:paraId="795D9F95">
                  <w:pPr>
                    <w:pStyle w:val="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sz w:val="21"/>
                      <w:szCs w:val="21"/>
                    </w:rPr>
                  </w:pPr>
                </w:p>
              </w:tc>
              <w:tc>
                <w:tcPr>
                  <w:tcW w:w="2178" w:type="dxa"/>
                  <w:tcBorders>
                    <w:tl2br w:val="nil"/>
                    <w:tr2bl w:val="nil"/>
                  </w:tcBorders>
                  <w:noWrap w:val="0"/>
                  <w:vAlign w:val="center"/>
                </w:tcPr>
                <w:p w14:paraId="3250DCC9">
                  <w:pPr>
                    <w:pStyle w:val="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sz w:val="21"/>
                      <w:szCs w:val="21"/>
                    </w:rPr>
                  </w:pPr>
                  <w:bookmarkStart w:id="37" w:name="_Toc5155"/>
                  <w:bookmarkStart w:id="38" w:name="_Toc25000"/>
                  <w:bookmarkStart w:id="39" w:name="_Toc30609"/>
                  <w:r>
                    <w:rPr>
                      <w:rFonts w:hint="eastAsia" w:ascii="宋体" w:hAnsi="宋体" w:eastAsia="宋体" w:cs="宋体"/>
                      <w:color w:val="auto"/>
                      <w:sz w:val="21"/>
                      <w:szCs w:val="21"/>
                    </w:rPr>
                    <w:t>昼间</w:t>
                  </w:r>
                  <w:bookmarkEnd w:id="37"/>
                  <w:bookmarkEnd w:id="38"/>
                  <w:bookmarkEnd w:id="39"/>
                </w:p>
              </w:tc>
              <w:tc>
                <w:tcPr>
                  <w:tcW w:w="1997" w:type="dxa"/>
                  <w:tcBorders>
                    <w:tl2br w:val="nil"/>
                    <w:tr2bl w:val="nil"/>
                  </w:tcBorders>
                  <w:noWrap w:val="0"/>
                  <w:vAlign w:val="center"/>
                </w:tcPr>
                <w:p w14:paraId="08631878">
                  <w:pPr>
                    <w:pStyle w:val="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sz w:val="21"/>
                      <w:szCs w:val="21"/>
                      <w:lang w:eastAsia="zh-CN"/>
                    </w:rPr>
                  </w:pPr>
                  <w:bookmarkStart w:id="40" w:name="_Toc3831"/>
                  <w:bookmarkStart w:id="41" w:name="_Toc31271"/>
                  <w:bookmarkStart w:id="42" w:name="_Toc11399"/>
                  <w:r>
                    <w:rPr>
                      <w:rFonts w:hint="eastAsia" w:ascii="宋体" w:hAnsi="宋体" w:eastAsia="宋体" w:cs="宋体"/>
                      <w:color w:val="auto"/>
                      <w:sz w:val="21"/>
                      <w:szCs w:val="21"/>
                      <w:lang w:eastAsia="zh-CN"/>
                    </w:rPr>
                    <w:t>夜间</w:t>
                  </w:r>
                  <w:bookmarkEnd w:id="40"/>
                  <w:bookmarkEnd w:id="41"/>
                  <w:bookmarkEnd w:id="42"/>
                </w:p>
              </w:tc>
            </w:tr>
            <w:tr w14:paraId="189206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2343" w:type="dxa"/>
                  <w:tcBorders>
                    <w:tl2br w:val="nil"/>
                    <w:tr2bl w:val="nil"/>
                  </w:tcBorders>
                  <w:noWrap w:val="0"/>
                  <w:vAlign w:val="center"/>
                </w:tcPr>
                <w:p w14:paraId="7DB20DAF">
                  <w:pPr>
                    <w:pStyle w:val="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sz w:val="21"/>
                      <w:szCs w:val="21"/>
                    </w:rPr>
                  </w:pPr>
                  <w:bookmarkStart w:id="43" w:name="_Toc31866"/>
                  <w:bookmarkStart w:id="44" w:name="_Toc23234"/>
                  <w:bookmarkStart w:id="45" w:name="_Toc29838"/>
                  <w:r>
                    <w:rPr>
                      <w:rFonts w:hint="eastAsia" w:ascii="宋体" w:hAnsi="宋体" w:eastAsia="宋体" w:cs="宋体"/>
                      <w:color w:val="auto"/>
                      <w:sz w:val="21"/>
                      <w:szCs w:val="21"/>
                    </w:rPr>
                    <w:t>厂界东侧</w:t>
                  </w:r>
                  <w:bookmarkEnd w:id="43"/>
                  <w:bookmarkEnd w:id="44"/>
                  <w:bookmarkEnd w:id="45"/>
                </w:p>
              </w:tc>
              <w:tc>
                <w:tcPr>
                  <w:tcW w:w="2178" w:type="dxa"/>
                  <w:tcBorders>
                    <w:tl2br w:val="nil"/>
                    <w:tr2bl w:val="nil"/>
                  </w:tcBorders>
                  <w:noWrap w:val="0"/>
                  <w:vAlign w:val="center"/>
                </w:tcPr>
                <w:p w14:paraId="32184E4F">
                  <w:pPr>
                    <w:pStyle w:val="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51.8</w:t>
                  </w:r>
                </w:p>
              </w:tc>
              <w:tc>
                <w:tcPr>
                  <w:tcW w:w="1997" w:type="dxa"/>
                  <w:tcBorders>
                    <w:tl2br w:val="nil"/>
                    <w:tr2bl w:val="nil"/>
                  </w:tcBorders>
                  <w:noWrap w:val="0"/>
                  <w:vAlign w:val="center"/>
                </w:tcPr>
                <w:p w14:paraId="07FF9729">
                  <w:pPr>
                    <w:pStyle w:val="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41.6</w:t>
                  </w:r>
                </w:p>
              </w:tc>
            </w:tr>
            <w:tr w14:paraId="418D25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2343" w:type="dxa"/>
                  <w:tcBorders>
                    <w:tl2br w:val="nil"/>
                    <w:tr2bl w:val="nil"/>
                  </w:tcBorders>
                  <w:noWrap w:val="0"/>
                  <w:vAlign w:val="center"/>
                </w:tcPr>
                <w:p w14:paraId="4DAD354F">
                  <w:pPr>
                    <w:pStyle w:val="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sz w:val="21"/>
                      <w:szCs w:val="21"/>
                    </w:rPr>
                  </w:pPr>
                  <w:bookmarkStart w:id="46" w:name="_Toc11580"/>
                  <w:bookmarkStart w:id="47" w:name="_Toc27003"/>
                  <w:bookmarkStart w:id="48" w:name="_Toc28352"/>
                  <w:r>
                    <w:rPr>
                      <w:rFonts w:hint="eastAsia" w:ascii="宋体" w:hAnsi="宋体" w:eastAsia="宋体" w:cs="宋体"/>
                      <w:color w:val="auto"/>
                      <w:sz w:val="21"/>
                      <w:szCs w:val="21"/>
                    </w:rPr>
                    <w:t>厂界南侧</w:t>
                  </w:r>
                  <w:bookmarkEnd w:id="46"/>
                  <w:bookmarkEnd w:id="47"/>
                  <w:bookmarkEnd w:id="48"/>
                </w:p>
              </w:tc>
              <w:tc>
                <w:tcPr>
                  <w:tcW w:w="2178" w:type="dxa"/>
                  <w:tcBorders>
                    <w:tl2br w:val="nil"/>
                    <w:tr2bl w:val="nil"/>
                  </w:tcBorders>
                  <w:noWrap w:val="0"/>
                  <w:vAlign w:val="center"/>
                </w:tcPr>
                <w:p w14:paraId="3ADF934E">
                  <w:pPr>
                    <w:pStyle w:val="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52.4</w:t>
                  </w:r>
                </w:p>
              </w:tc>
              <w:tc>
                <w:tcPr>
                  <w:tcW w:w="1997" w:type="dxa"/>
                  <w:tcBorders>
                    <w:tl2br w:val="nil"/>
                    <w:tr2bl w:val="nil"/>
                  </w:tcBorders>
                  <w:noWrap w:val="0"/>
                  <w:vAlign w:val="center"/>
                </w:tcPr>
                <w:p w14:paraId="45A2ECC6">
                  <w:pPr>
                    <w:pStyle w:val="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42.7</w:t>
                  </w:r>
                </w:p>
              </w:tc>
            </w:tr>
            <w:tr w14:paraId="5D2599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2343" w:type="dxa"/>
                  <w:tcBorders>
                    <w:tl2br w:val="nil"/>
                    <w:tr2bl w:val="nil"/>
                  </w:tcBorders>
                  <w:noWrap w:val="0"/>
                  <w:vAlign w:val="center"/>
                </w:tcPr>
                <w:p w14:paraId="24B2EB31">
                  <w:pPr>
                    <w:pStyle w:val="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sz w:val="21"/>
                      <w:szCs w:val="21"/>
                    </w:rPr>
                  </w:pPr>
                  <w:bookmarkStart w:id="49" w:name="_Toc25191"/>
                  <w:bookmarkStart w:id="50" w:name="_Toc1187"/>
                  <w:bookmarkStart w:id="51" w:name="_Toc28541"/>
                  <w:r>
                    <w:rPr>
                      <w:rFonts w:hint="eastAsia" w:ascii="宋体" w:hAnsi="宋体" w:eastAsia="宋体" w:cs="宋体"/>
                      <w:color w:val="auto"/>
                      <w:sz w:val="21"/>
                      <w:szCs w:val="21"/>
                    </w:rPr>
                    <w:t>厂界西侧</w:t>
                  </w:r>
                  <w:bookmarkEnd w:id="49"/>
                  <w:bookmarkEnd w:id="50"/>
                  <w:bookmarkEnd w:id="51"/>
                </w:p>
              </w:tc>
              <w:tc>
                <w:tcPr>
                  <w:tcW w:w="2178" w:type="dxa"/>
                  <w:tcBorders>
                    <w:tl2br w:val="nil"/>
                    <w:tr2bl w:val="nil"/>
                  </w:tcBorders>
                  <w:noWrap w:val="0"/>
                  <w:vAlign w:val="center"/>
                </w:tcPr>
                <w:p w14:paraId="55A93482">
                  <w:pPr>
                    <w:pStyle w:val="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53.3</w:t>
                  </w:r>
                </w:p>
              </w:tc>
              <w:tc>
                <w:tcPr>
                  <w:tcW w:w="1997" w:type="dxa"/>
                  <w:tcBorders>
                    <w:tl2br w:val="nil"/>
                    <w:tr2bl w:val="nil"/>
                  </w:tcBorders>
                  <w:noWrap w:val="0"/>
                  <w:vAlign w:val="center"/>
                </w:tcPr>
                <w:p w14:paraId="14C0FC56">
                  <w:pPr>
                    <w:pStyle w:val="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44.1</w:t>
                  </w:r>
                </w:p>
              </w:tc>
            </w:tr>
            <w:tr w14:paraId="18ACF4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2343" w:type="dxa"/>
                  <w:tcBorders>
                    <w:tl2br w:val="nil"/>
                    <w:tr2bl w:val="nil"/>
                  </w:tcBorders>
                  <w:noWrap w:val="0"/>
                  <w:vAlign w:val="center"/>
                </w:tcPr>
                <w:p w14:paraId="16A035B5">
                  <w:pPr>
                    <w:pStyle w:val="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sz w:val="21"/>
                      <w:szCs w:val="21"/>
                    </w:rPr>
                  </w:pPr>
                  <w:bookmarkStart w:id="52" w:name="_Toc32502"/>
                  <w:bookmarkStart w:id="53" w:name="_Toc8937"/>
                  <w:bookmarkStart w:id="54" w:name="_Toc19205"/>
                  <w:r>
                    <w:rPr>
                      <w:rFonts w:hint="eastAsia" w:ascii="宋体" w:hAnsi="宋体" w:eastAsia="宋体" w:cs="宋体"/>
                      <w:color w:val="auto"/>
                      <w:sz w:val="21"/>
                      <w:szCs w:val="21"/>
                    </w:rPr>
                    <w:t>厂界北侧</w:t>
                  </w:r>
                  <w:bookmarkEnd w:id="52"/>
                  <w:bookmarkEnd w:id="53"/>
                  <w:bookmarkEnd w:id="54"/>
                </w:p>
              </w:tc>
              <w:tc>
                <w:tcPr>
                  <w:tcW w:w="2178" w:type="dxa"/>
                  <w:tcBorders>
                    <w:tl2br w:val="nil"/>
                    <w:tr2bl w:val="nil"/>
                  </w:tcBorders>
                  <w:noWrap w:val="0"/>
                  <w:vAlign w:val="center"/>
                </w:tcPr>
                <w:p w14:paraId="168C9062">
                  <w:pPr>
                    <w:pStyle w:val="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52.1</w:t>
                  </w:r>
                </w:p>
              </w:tc>
              <w:tc>
                <w:tcPr>
                  <w:tcW w:w="1997" w:type="dxa"/>
                  <w:tcBorders>
                    <w:tl2br w:val="nil"/>
                    <w:tr2bl w:val="nil"/>
                  </w:tcBorders>
                  <w:noWrap w:val="0"/>
                  <w:vAlign w:val="center"/>
                </w:tcPr>
                <w:p w14:paraId="75BD8668">
                  <w:pPr>
                    <w:pStyle w:val="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42.5</w:t>
                  </w:r>
                </w:p>
              </w:tc>
            </w:tr>
            <w:tr w14:paraId="3546D0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2343" w:type="dxa"/>
                  <w:tcBorders>
                    <w:tl2br w:val="nil"/>
                    <w:tr2bl w:val="nil"/>
                  </w:tcBorders>
                  <w:noWrap w:val="0"/>
                  <w:vAlign w:val="center"/>
                </w:tcPr>
                <w:p w14:paraId="7B3C7774">
                  <w:pPr>
                    <w:pStyle w:val="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陈武村（南侧）</w:t>
                  </w:r>
                </w:p>
              </w:tc>
              <w:tc>
                <w:tcPr>
                  <w:tcW w:w="2178" w:type="dxa"/>
                  <w:tcBorders>
                    <w:tl2br w:val="nil"/>
                    <w:tr2bl w:val="nil"/>
                  </w:tcBorders>
                  <w:noWrap w:val="0"/>
                  <w:vAlign w:val="center"/>
                </w:tcPr>
                <w:p w14:paraId="00E20AF9">
                  <w:pPr>
                    <w:pStyle w:val="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52.7</w:t>
                  </w:r>
                </w:p>
              </w:tc>
              <w:tc>
                <w:tcPr>
                  <w:tcW w:w="1997" w:type="dxa"/>
                  <w:tcBorders>
                    <w:tl2br w:val="nil"/>
                    <w:tr2bl w:val="nil"/>
                  </w:tcBorders>
                  <w:noWrap w:val="0"/>
                  <w:vAlign w:val="center"/>
                </w:tcPr>
                <w:p w14:paraId="2FA2381B">
                  <w:pPr>
                    <w:pStyle w:val="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43.0</w:t>
                  </w:r>
                </w:p>
              </w:tc>
            </w:tr>
            <w:tr w14:paraId="577DFD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2343" w:type="dxa"/>
                  <w:tcBorders>
                    <w:tl2br w:val="nil"/>
                    <w:tr2bl w:val="nil"/>
                  </w:tcBorders>
                  <w:noWrap w:val="0"/>
                  <w:vAlign w:val="center"/>
                </w:tcPr>
                <w:p w14:paraId="6A3687DB">
                  <w:pPr>
                    <w:pStyle w:val="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陈武村（东南侧）</w:t>
                  </w:r>
                </w:p>
              </w:tc>
              <w:tc>
                <w:tcPr>
                  <w:tcW w:w="2178" w:type="dxa"/>
                  <w:tcBorders>
                    <w:tl2br w:val="nil"/>
                    <w:tr2bl w:val="nil"/>
                  </w:tcBorders>
                  <w:noWrap w:val="0"/>
                  <w:vAlign w:val="center"/>
                </w:tcPr>
                <w:p w14:paraId="4757D038">
                  <w:pPr>
                    <w:pStyle w:val="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51.6</w:t>
                  </w:r>
                </w:p>
              </w:tc>
              <w:tc>
                <w:tcPr>
                  <w:tcW w:w="1997" w:type="dxa"/>
                  <w:tcBorders>
                    <w:tl2br w:val="nil"/>
                    <w:tr2bl w:val="nil"/>
                  </w:tcBorders>
                  <w:noWrap w:val="0"/>
                  <w:vAlign w:val="center"/>
                </w:tcPr>
                <w:p w14:paraId="6F09A0AE">
                  <w:pPr>
                    <w:pStyle w:val="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42.2</w:t>
                  </w:r>
                </w:p>
              </w:tc>
            </w:tr>
          </w:tbl>
          <w:p w14:paraId="5364B317">
            <w:pPr>
              <w:pStyle w:val="61"/>
              <w:keepNext w:val="0"/>
              <w:keepLines w:val="0"/>
              <w:suppressLineNumbers w:val="0"/>
              <w:spacing w:before="0" w:beforeAutospacing="0" w:after="0" w:afterAutospacing="0"/>
              <w:ind w:left="0" w:right="0"/>
              <w:rPr>
                <w:rFonts w:hint="eastAsia" w:ascii="宋体" w:hAnsi="宋体" w:eastAsia="宋体" w:cs="宋体"/>
                <w:color w:val="auto"/>
              </w:rPr>
            </w:pPr>
            <w:r>
              <w:rPr>
                <w:rFonts w:hint="eastAsia" w:ascii="宋体" w:hAnsi="宋体" w:eastAsia="宋体" w:cs="宋体"/>
                <w:color w:val="auto"/>
                <w:sz w:val="24"/>
                <w:szCs w:val="24"/>
                <w:lang w:eastAsia="zh-CN"/>
              </w:rPr>
              <w:t>由上表可见</w:t>
            </w:r>
            <w:r>
              <w:rPr>
                <w:rFonts w:hint="eastAsia" w:ascii="宋体" w:hAnsi="宋体" w:eastAsia="宋体" w:cs="宋体"/>
                <w:color w:val="auto"/>
                <w:sz w:val="24"/>
                <w:szCs w:val="24"/>
              </w:rPr>
              <w:t>，厂界</w:t>
            </w:r>
            <w:r>
              <w:rPr>
                <w:rFonts w:hint="eastAsia" w:ascii="宋体" w:hAnsi="宋体" w:eastAsia="宋体" w:cs="宋体"/>
                <w:color w:val="auto"/>
                <w:sz w:val="24"/>
                <w:szCs w:val="24"/>
                <w:lang w:val="en-US" w:eastAsia="zh-CN"/>
              </w:rPr>
              <w:t>四周</w:t>
            </w:r>
            <w:r>
              <w:rPr>
                <w:rFonts w:hint="eastAsia" w:ascii="宋体" w:hAnsi="宋体" w:eastAsia="宋体" w:cs="宋体"/>
                <w:color w:val="auto"/>
                <w:sz w:val="24"/>
                <w:szCs w:val="24"/>
              </w:rPr>
              <w:t>噪声能满足《声环境质量标准》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GB3096-2008</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类标准要求，区域声环境质量良好。</w:t>
            </w:r>
          </w:p>
          <w:p w14:paraId="1154E09E">
            <w:pPr>
              <w:keepNext w:val="0"/>
              <w:keepLines w:val="0"/>
              <w:suppressLineNumbers w:val="0"/>
              <w:spacing w:before="0" w:beforeAutospacing="0" w:after="0" w:afterAutospacing="0"/>
              <w:ind w:left="0" w:right="0"/>
              <w:rPr>
                <w:rFonts w:hint="eastAsia" w:ascii="宋体" w:hAnsi="宋体" w:eastAsia="宋体" w:cs="宋体"/>
                <w:color w:val="auto"/>
              </w:rPr>
            </w:pPr>
            <w:r>
              <w:rPr>
                <w:rFonts w:hint="eastAsia" w:ascii="宋体" w:hAnsi="宋体" w:eastAsia="宋体" w:cs="宋体"/>
                <w:color w:val="auto"/>
              </w:rPr>
              <w:t>4、生态环境</w:t>
            </w:r>
          </w:p>
          <w:p w14:paraId="2838C3DB">
            <w:pPr>
              <w:pStyle w:val="61"/>
              <w:keepNext w:val="0"/>
              <w:keepLines w:val="0"/>
              <w:suppressLineNumbers w:val="0"/>
              <w:spacing w:before="0" w:beforeAutospacing="0" w:after="0" w:afterAutospacing="0"/>
              <w:ind w:left="0" w:right="0"/>
              <w:rPr>
                <w:rFonts w:hint="eastAsia" w:ascii="宋体" w:hAnsi="宋体" w:eastAsia="宋体" w:cs="宋体"/>
                <w:color w:val="auto"/>
              </w:rPr>
            </w:pPr>
            <w:r>
              <w:rPr>
                <w:rFonts w:hint="eastAsia" w:ascii="宋体" w:hAnsi="宋体" w:eastAsia="宋体" w:cs="宋体"/>
                <w:color w:val="auto"/>
              </w:rPr>
              <w:t>本项目用地范围内无生态环境保护目标。</w:t>
            </w:r>
          </w:p>
          <w:p w14:paraId="548151B4">
            <w:pPr>
              <w:keepNext w:val="0"/>
              <w:keepLines w:val="0"/>
              <w:suppressLineNumbers w:val="0"/>
              <w:spacing w:before="0" w:beforeAutospacing="0" w:after="0" w:afterAutospacing="0"/>
              <w:ind w:left="0" w:right="0"/>
              <w:rPr>
                <w:rFonts w:hint="eastAsia" w:ascii="宋体" w:hAnsi="宋体" w:eastAsia="宋体" w:cs="宋体"/>
                <w:color w:val="auto"/>
              </w:rPr>
            </w:pPr>
            <w:r>
              <w:rPr>
                <w:rFonts w:hint="eastAsia" w:ascii="宋体" w:hAnsi="宋体" w:eastAsia="宋体" w:cs="宋体"/>
                <w:color w:val="auto"/>
              </w:rPr>
              <w:t>5、电磁辐射</w:t>
            </w:r>
          </w:p>
          <w:p w14:paraId="44A8702D">
            <w:pPr>
              <w:keepNext w:val="0"/>
              <w:keepLines w:val="0"/>
              <w:suppressLineNumbers w:val="0"/>
              <w:spacing w:before="0" w:beforeAutospacing="0" w:after="0" w:afterAutospacing="0"/>
              <w:ind w:left="0" w:right="0" w:firstLine="480" w:firstLineChars="200"/>
              <w:rPr>
                <w:rFonts w:hint="eastAsia" w:ascii="宋体" w:hAnsi="宋体" w:eastAsia="宋体" w:cs="宋体"/>
              </w:rPr>
            </w:pPr>
            <w:r>
              <w:rPr>
                <w:rFonts w:hint="eastAsia" w:ascii="宋体" w:hAnsi="宋体" w:eastAsia="宋体" w:cs="宋体"/>
              </w:rPr>
              <w:t>本项目不属于新建或改建、扩建广播电台、差转台、电视塔台、卫星地球上行站、雷达等电磁辐射类项目。</w:t>
            </w:r>
          </w:p>
          <w:p w14:paraId="51698997">
            <w:pPr>
              <w:keepNext w:val="0"/>
              <w:keepLines w:val="0"/>
              <w:suppressLineNumbers w:val="0"/>
              <w:spacing w:before="0" w:beforeAutospacing="0" w:after="0" w:afterAutospacing="0"/>
              <w:ind w:left="0" w:right="0"/>
              <w:rPr>
                <w:rFonts w:hint="eastAsia" w:ascii="宋体" w:hAnsi="宋体" w:eastAsia="宋体" w:cs="宋体"/>
              </w:rPr>
            </w:pPr>
            <w:r>
              <w:rPr>
                <w:rFonts w:hint="eastAsia" w:ascii="宋体" w:hAnsi="宋体" w:eastAsia="宋体" w:cs="宋体"/>
              </w:rPr>
              <w:t>6、地下水、土壤环境</w:t>
            </w:r>
          </w:p>
          <w:p w14:paraId="4AC388A5">
            <w:pPr>
              <w:keepNext w:val="0"/>
              <w:keepLines w:val="0"/>
              <w:suppressLineNumbers w:val="0"/>
              <w:spacing w:before="0" w:beforeAutospacing="0" w:after="0" w:afterAutospacing="0"/>
              <w:ind w:left="0" w:right="0" w:firstLine="480" w:firstLineChars="200"/>
              <w:rPr>
                <w:rFonts w:hint="eastAsia" w:ascii="宋体" w:hAnsi="宋体" w:eastAsia="宋体" w:cs="宋体"/>
              </w:rPr>
            </w:pPr>
            <w:bookmarkStart w:id="55" w:name="_Toc30105"/>
            <w:r>
              <w:rPr>
                <w:rFonts w:hint="eastAsia" w:ascii="宋体" w:hAnsi="宋体" w:eastAsia="宋体" w:cs="宋体"/>
              </w:rPr>
              <w:t>企业表面预处理区，</w:t>
            </w:r>
            <w:r>
              <w:rPr>
                <w:rFonts w:hint="eastAsia" w:ascii="宋体" w:hAnsi="宋体" w:eastAsia="宋体" w:cs="宋体"/>
                <w:lang w:val="en-US" w:eastAsia="zh-CN"/>
              </w:rPr>
              <w:t>原料</w:t>
            </w:r>
            <w:r>
              <w:rPr>
                <w:rFonts w:hint="eastAsia" w:ascii="宋体" w:hAnsi="宋体" w:eastAsia="宋体" w:cs="宋体"/>
              </w:rPr>
              <w:t>仓库，</w:t>
            </w:r>
            <w:r>
              <w:rPr>
                <w:rFonts w:hint="eastAsia" w:ascii="宋体" w:hAnsi="宋体" w:eastAsia="宋体" w:cs="宋体"/>
                <w:lang w:eastAsia="zh-CN"/>
              </w:rPr>
              <w:t>危废暂存间</w:t>
            </w:r>
            <w:r>
              <w:rPr>
                <w:rFonts w:hint="eastAsia" w:ascii="宋体" w:hAnsi="宋体" w:eastAsia="宋体" w:cs="宋体"/>
              </w:rPr>
              <w:t>和</w:t>
            </w:r>
            <w:r>
              <w:rPr>
                <w:rFonts w:hint="eastAsia" w:ascii="宋体" w:hAnsi="宋体" w:eastAsia="宋体" w:cs="宋体"/>
                <w:lang w:val="en-US" w:eastAsia="zh-CN"/>
              </w:rPr>
              <w:t>污水处理站池</w:t>
            </w:r>
            <w:r>
              <w:rPr>
                <w:rFonts w:hint="eastAsia" w:ascii="宋体" w:hAnsi="宋体" w:eastAsia="宋体" w:cs="宋体"/>
              </w:rPr>
              <w:t>等均按照重点防渗区相关防渗技术要求进行防渗处理，其他生产区域和办公区按照一般防渗区相关防渗技术要求进行防渗处理，因此，不存在土壤、地下水环境污染途径。根据《建设项目环境影响报告表编制技术指南（污染影响类）（试行）》，不需开展地下水、土壤环境现状调查。</w:t>
            </w:r>
            <w:bookmarkEnd w:id="55"/>
          </w:p>
          <w:p w14:paraId="49EA3D3C">
            <w:pPr>
              <w:keepNext w:val="0"/>
              <w:keepLines w:val="0"/>
              <w:suppressLineNumbers w:val="0"/>
              <w:spacing w:before="0" w:beforeAutospacing="0" w:after="0" w:afterAutospacing="0"/>
              <w:ind w:left="0" w:right="0"/>
              <w:rPr>
                <w:rFonts w:hint="eastAsia" w:ascii="宋体" w:hAnsi="宋体" w:eastAsia="宋体" w:cs="宋体"/>
              </w:rPr>
            </w:pPr>
          </w:p>
        </w:tc>
      </w:tr>
      <w:tr w14:paraId="2732BC06">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650" w:hRule="atLeast"/>
          <w:jc w:val="center"/>
        </w:trPr>
        <w:tc>
          <w:tcPr>
            <w:tcW w:w="531" w:type="dxa"/>
            <w:noWrap w:val="0"/>
            <w:vAlign w:val="center"/>
          </w:tcPr>
          <w:p w14:paraId="339120BB">
            <w:pPr>
              <w:pStyle w:val="53"/>
              <w:keepNext w:val="0"/>
              <w:keepLines w:val="0"/>
              <w:suppressLineNumbers w:val="0"/>
              <w:spacing w:before="0" w:beforeAutospacing="0" w:after="0" w:afterAutospacing="0" w:line="360" w:lineRule="auto"/>
              <w:ind w:left="0" w:right="0"/>
              <w:rPr>
                <w:rFonts w:ascii="宋体" w:hAnsi="宋体" w:eastAsia="宋体" w:cs="宋体"/>
              </w:rPr>
            </w:pPr>
            <w:r>
              <w:rPr>
                <w:rFonts w:ascii="宋体" w:hAnsi="宋体" w:eastAsia="宋体" w:cs="宋体"/>
              </w:rPr>
              <w:t>环境</w:t>
            </w:r>
          </w:p>
          <w:p w14:paraId="5C299303">
            <w:pPr>
              <w:pStyle w:val="53"/>
              <w:keepNext w:val="0"/>
              <w:keepLines w:val="0"/>
              <w:suppressLineNumbers w:val="0"/>
              <w:spacing w:before="0" w:beforeAutospacing="0" w:after="0" w:afterAutospacing="0" w:line="360" w:lineRule="auto"/>
              <w:ind w:left="0" w:right="0"/>
              <w:rPr>
                <w:rFonts w:ascii="宋体" w:hAnsi="宋体" w:eastAsia="宋体" w:cs="宋体"/>
              </w:rPr>
            </w:pPr>
            <w:r>
              <w:rPr>
                <w:rFonts w:ascii="宋体" w:hAnsi="宋体" w:eastAsia="宋体" w:cs="宋体"/>
              </w:rPr>
              <w:t>保护</w:t>
            </w:r>
          </w:p>
          <w:p w14:paraId="1D607C6B">
            <w:pPr>
              <w:pStyle w:val="53"/>
              <w:keepNext w:val="0"/>
              <w:keepLines w:val="0"/>
              <w:suppressLineNumbers w:val="0"/>
              <w:spacing w:before="0" w:beforeAutospacing="0" w:after="0" w:afterAutospacing="0" w:line="360" w:lineRule="auto"/>
              <w:ind w:left="0" w:right="0"/>
              <w:rPr>
                <w:rFonts w:ascii="宋体" w:hAnsi="宋体" w:eastAsia="宋体" w:cs="宋体"/>
              </w:rPr>
            </w:pPr>
            <w:r>
              <w:rPr>
                <w:rFonts w:ascii="宋体" w:hAnsi="宋体" w:eastAsia="宋体" w:cs="宋体"/>
              </w:rPr>
              <w:t>目标</w:t>
            </w:r>
          </w:p>
        </w:tc>
        <w:tc>
          <w:tcPr>
            <w:tcW w:w="8495" w:type="dxa"/>
            <w:noWrap w:val="0"/>
            <w:vAlign w:val="center"/>
          </w:tcPr>
          <w:p w14:paraId="57F13FDE">
            <w:pPr>
              <w:keepNext w:val="0"/>
              <w:keepLines w:val="0"/>
              <w:suppressLineNumbers w:val="0"/>
              <w:adjustRightInd w:val="0"/>
              <w:snapToGrid w:val="0"/>
              <w:spacing w:before="0" w:beforeAutospacing="0" w:after="0" w:afterAutospacing="0"/>
              <w:ind w:left="0" w:right="0"/>
              <w:jc w:val="center"/>
              <w:outlineLvl w:val="0"/>
              <w:rPr>
                <w:rFonts w:hint="eastAsia" w:ascii="宋体" w:hAnsi="宋体" w:eastAsia="宋体" w:cs="宋体"/>
              </w:rPr>
            </w:pPr>
            <w:bookmarkStart w:id="56" w:name="_Toc9118"/>
            <w:bookmarkStart w:id="57" w:name="_Toc21905"/>
            <w:r>
              <w:rPr>
                <w:rFonts w:hint="eastAsia" w:ascii="宋体" w:hAnsi="宋体" w:eastAsia="宋体" w:cs="宋体"/>
                <w:b/>
                <w:bCs/>
              </w:rPr>
              <w:t>表3-</w:t>
            </w:r>
            <w:r>
              <w:rPr>
                <w:rFonts w:hint="eastAsia" w:ascii="宋体" w:hAnsi="宋体" w:eastAsia="宋体" w:cs="宋体"/>
                <w:b/>
                <w:bCs/>
                <w:lang w:val="en-US" w:eastAsia="zh-CN"/>
              </w:rPr>
              <w:t>6</w:t>
            </w:r>
            <w:r>
              <w:rPr>
                <w:rFonts w:hint="eastAsia" w:ascii="宋体" w:hAnsi="宋体" w:eastAsia="宋体" w:cs="宋体"/>
                <w:b/>
                <w:bCs/>
              </w:rPr>
              <w:t xml:space="preserve">  主要环境保护目标</w:t>
            </w:r>
            <w:bookmarkEnd w:id="56"/>
            <w:bookmarkEnd w:id="57"/>
          </w:p>
          <w:tbl>
            <w:tblPr>
              <w:tblStyle w:val="30"/>
              <w:tblW w:w="804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2"/>
              <w:gridCol w:w="1605"/>
              <w:gridCol w:w="1211"/>
              <w:gridCol w:w="1275"/>
              <w:gridCol w:w="1457"/>
              <w:gridCol w:w="1595"/>
            </w:tblGrid>
            <w:tr w14:paraId="617608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71" w:hRule="atLeast"/>
                <w:jc w:val="center"/>
              </w:trPr>
              <w:tc>
                <w:tcPr>
                  <w:tcW w:w="902" w:type="dxa"/>
                  <w:vMerge w:val="restart"/>
                  <w:noWrap w:val="0"/>
                  <w:vAlign w:val="center"/>
                </w:tcPr>
                <w:p w14:paraId="723EC145">
                  <w:pPr>
                    <w:keepNext w:val="0"/>
                    <w:keepLines w:val="0"/>
                    <w:suppressLineNumbers w:val="0"/>
                    <w:adjustRightInd w:val="0"/>
                    <w:snapToGrid w:val="0"/>
                    <w:spacing w:before="0" w:beforeAutospacing="0" w:after="0" w:afterAutospacing="0" w:line="240" w:lineRule="atLeast"/>
                    <w:ind w:left="0" w:right="0"/>
                    <w:jc w:val="center"/>
                    <w:outlineLvl w:val="0"/>
                    <w:rPr>
                      <w:rFonts w:hint="eastAsia" w:ascii="宋体" w:hAnsi="宋体" w:eastAsia="宋体" w:cs="宋体"/>
                      <w:snapToGrid w:val="0"/>
                      <w:kern w:val="0"/>
                      <w:sz w:val="21"/>
                      <w:szCs w:val="21"/>
                    </w:rPr>
                  </w:pPr>
                  <w:bookmarkStart w:id="58" w:name="_Toc13450"/>
                  <w:bookmarkStart w:id="59" w:name="_Toc368"/>
                  <w:r>
                    <w:rPr>
                      <w:rFonts w:hint="eastAsia" w:ascii="宋体" w:hAnsi="宋体" w:eastAsia="宋体" w:cs="宋体"/>
                      <w:snapToGrid w:val="0"/>
                      <w:kern w:val="0"/>
                      <w:sz w:val="21"/>
                      <w:szCs w:val="21"/>
                    </w:rPr>
                    <w:t>名称</w:t>
                  </w:r>
                  <w:bookmarkEnd w:id="58"/>
                  <w:bookmarkEnd w:id="59"/>
                </w:p>
              </w:tc>
              <w:tc>
                <w:tcPr>
                  <w:tcW w:w="1605" w:type="dxa"/>
                  <w:vMerge w:val="restart"/>
                  <w:noWrap w:val="0"/>
                  <w:vAlign w:val="center"/>
                </w:tcPr>
                <w:p w14:paraId="23D5FC74">
                  <w:pPr>
                    <w:keepNext w:val="0"/>
                    <w:keepLines w:val="0"/>
                    <w:suppressLineNumbers w:val="0"/>
                    <w:adjustRightInd w:val="0"/>
                    <w:snapToGrid w:val="0"/>
                    <w:spacing w:before="0" w:beforeAutospacing="0" w:after="0" w:afterAutospacing="0" w:line="240" w:lineRule="atLeast"/>
                    <w:ind w:left="0" w:right="0"/>
                    <w:jc w:val="center"/>
                    <w:outlineLvl w:val="0"/>
                    <w:rPr>
                      <w:rFonts w:hint="eastAsia" w:ascii="宋体" w:hAnsi="宋体" w:eastAsia="宋体" w:cs="宋体"/>
                      <w:snapToGrid w:val="0"/>
                      <w:kern w:val="0"/>
                      <w:sz w:val="21"/>
                      <w:szCs w:val="21"/>
                    </w:rPr>
                  </w:pPr>
                  <w:bookmarkStart w:id="60" w:name="_Toc25239"/>
                  <w:bookmarkStart w:id="61" w:name="_Toc9944"/>
                  <w:r>
                    <w:rPr>
                      <w:rFonts w:hint="eastAsia" w:ascii="宋体" w:hAnsi="宋体" w:eastAsia="宋体" w:cs="宋体"/>
                      <w:snapToGrid w:val="0"/>
                      <w:kern w:val="0"/>
                      <w:sz w:val="21"/>
                      <w:szCs w:val="21"/>
                    </w:rPr>
                    <w:t>保护对象</w:t>
                  </w:r>
                  <w:bookmarkEnd w:id="60"/>
                  <w:bookmarkEnd w:id="61"/>
                </w:p>
              </w:tc>
              <w:tc>
                <w:tcPr>
                  <w:tcW w:w="1211" w:type="dxa"/>
                  <w:vMerge w:val="restart"/>
                  <w:noWrap w:val="0"/>
                  <w:vAlign w:val="center"/>
                </w:tcPr>
                <w:p w14:paraId="3F911361">
                  <w:pPr>
                    <w:keepNext w:val="0"/>
                    <w:keepLines w:val="0"/>
                    <w:suppressLineNumbers w:val="0"/>
                    <w:adjustRightInd w:val="0"/>
                    <w:snapToGrid w:val="0"/>
                    <w:spacing w:before="0" w:beforeAutospacing="0" w:after="0" w:afterAutospacing="0" w:line="240" w:lineRule="atLeast"/>
                    <w:ind w:left="0" w:right="0"/>
                    <w:jc w:val="center"/>
                    <w:outlineLvl w:val="0"/>
                    <w:rPr>
                      <w:rFonts w:hint="eastAsia" w:ascii="宋体" w:hAnsi="宋体" w:eastAsia="宋体" w:cs="宋体"/>
                      <w:snapToGrid w:val="0"/>
                      <w:kern w:val="0"/>
                      <w:sz w:val="21"/>
                      <w:szCs w:val="21"/>
                    </w:rPr>
                  </w:pPr>
                  <w:bookmarkStart w:id="62" w:name="_Toc13954"/>
                  <w:bookmarkStart w:id="63" w:name="_Toc12872"/>
                  <w:r>
                    <w:rPr>
                      <w:rFonts w:hint="eastAsia" w:ascii="宋体" w:hAnsi="宋体" w:eastAsia="宋体" w:cs="宋体"/>
                      <w:snapToGrid w:val="0"/>
                      <w:kern w:val="0"/>
                      <w:sz w:val="21"/>
                      <w:szCs w:val="21"/>
                    </w:rPr>
                    <w:t>保护内容</w:t>
                  </w:r>
                  <w:bookmarkEnd w:id="62"/>
                  <w:bookmarkEnd w:id="63"/>
                </w:p>
              </w:tc>
              <w:tc>
                <w:tcPr>
                  <w:tcW w:w="1275" w:type="dxa"/>
                  <w:vMerge w:val="restart"/>
                  <w:noWrap w:val="0"/>
                  <w:vAlign w:val="center"/>
                </w:tcPr>
                <w:p w14:paraId="54679D48">
                  <w:pPr>
                    <w:keepNext w:val="0"/>
                    <w:keepLines w:val="0"/>
                    <w:suppressLineNumbers w:val="0"/>
                    <w:adjustRightInd w:val="0"/>
                    <w:snapToGrid w:val="0"/>
                    <w:spacing w:before="0" w:beforeAutospacing="0" w:after="0" w:afterAutospacing="0" w:line="240" w:lineRule="atLeast"/>
                    <w:ind w:left="0" w:right="0"/>
                    <w:jc w:val="center"/>
                    <w:outlineLvl w:val="0"/>
                    <w:rPr>
                      <w:rFonts w:hint="eastAsia" w:ascii="宋体" w:hAnsi="宋体" w:eastAsia="宋体" w:cs="宋体"/>
                      <w:snapToGrid w:val="0"/>
                      <w:kern w:val="0"/>
                      <w:sz w:val="21"/>
                      <w:szCs w:val="21"/>
                    </w:rPr>
                  </w:pPr>
                  <w:bookmarkStart w:id="64" w:name="_Toc32032"/>
                  <w:bookmarkStart w:id="65" w:name="_Toc17438"/>
                  <w:r>
                    <w:rPr>
                      <w:rFonts w:hint="eastAsia" w:ascii="宋体" w:hAnsi="宋体" w:eastAsia="宋体" w:cs="宋体"/>
                      <w:snapToGrid w:val="0"/>
                      <w:kern w:val="0"/>
                      <w:sz w:val="21"/>
                      <w:szCs w:val="21"/>
                    </w:rPr>
                    <w:t>环境功能区</w:t>
                  </w:r>
                  <w:bookmarkEnd w:id="64"/>
                  <w:bookmarkEnd w:id="65"/>
                </w:p>
              </w:tc>
              <w:tc>
                <w:tcPr>
                  <w:tcW w:w="1457" w:type="dxa"/>
                  <w:vMerge w:val="restart"/>
                  <w:noWrap w:val="0"/>
                  <w:vAlign w:val="center"/>
                </w:tcPr>
                <w:p w14:paraId="38CAA93D">
                  <w:pPr>
                    <w:keepNext w:val="0"/>
                    <w:keepLines w:val="0"/>
                    <w:suppressLineNumbers w:val="0"/>
                    <w:adjustRightInd w:val="0"/>
                    <w:snapToGrid w:val="0"/>
                    <w:spacing w:before="0" w:beforeAutospacing="0" w:after="0" w:afterAutospacing="0" w:line="240" w:lineRule="atLeast"/>
                    <w:ind w:left="0" w:right="0"/>
                    <w:jc w:val="center"/>
                    <w:outlineLvl w:val="0"/>
                    <w:rPr>
                      <w:rFonts w:hint="eastAsia" w:ascii="宋体" w:hAnsi="宋体" w:eastAsia="宋体" w:cs="宋体"/>
                      <w:snapToGrid w:val="0"/>
                      <w:kern w:val="0"/>
                      <w:sz w:val="21"/>
                      <w:szCs w:val="21"/>
                    </w:rPr>
                  </w:pPr>
                  <w:bookmarkStart w:id="66" w:name="_Toc6604"/>
                  <w:bookmarkStart w:id="67" w:name="_Toc7075"/>
                  <w:r>
                    <w:rPr>
                      <w:rFonts w:hint="eastAsia" w:ascii="宋体" w:hAnsi="宋体" w:eastAsia="宋体" w:cs="宋体"/>
                      <w:snapToGrid w:val="0"/>
                      <w:kern w:val="0"/>
                      <w:sz w:val="21"/>
                      <w:szCs w:val="21"/>
                    </w:rPr>
                    <w:t>相对本项目方向</w:t>
                  </w:r>
                  <w:bookmarkEnd w:id="66"/>
                  <w:bookmarkEnd w:id="67"/>
                </w:p>
              </w:tc>
              <w:tc>
                <w:tcPr>
                  <w:tcW w:w="1595" w:type="dxa"/>
                  <w:vMerge w:val="restart"/>
                  <w:noWrap w:val="0"/>
                  <w:vAlign w:val="center"/>
                </w:tcPr>
                <w:p w14:paraId="67B5350A">
                  <w:pPr>
                    <w:keepNext w:val="0"/>
                    <w:keepLines w:val="0"/>
                    <w:suppressLineNumbers w:val="0"/>
                    <w:adjustRightInd w:val="0"/>
                    <w:snapToGrid w:val="0"/>
                    <w:spacing w:before="0" w:beforeAutospacing="0" w:after="0" w:afterAutospacing="0" w:line="240" w:lineRule="atLeast"/>
                    <w:ind w:left="0" w:right="0"/>
                    <w:jc w:val="center"/>
                    <w:outlineLvl w:val="0"/>
                    <w:rPr>
                      <w:rFonts w:hint="eastAsia" w:ascii="宋体" w:hAnsi="宋体" w:eastAsia="宋体" w:cs="宋体"/>
                      <w:snapToGrid w:val="0"/>
                      <w:kern w:val="0"/>
                      <w:sz w:val="21"/>
                      <w:szCs w:val="21"/>
                    </w:rPr>
                  </w:pPr>
                  <w:bookmarkStart w:id="68" w:name="_Toc15901"/>
                  <w:bookmarkStart w:id="69" w:name="_Toc32435"/>
                  <w:r>
                    <w:rPr>
                      <w:rFonts w:hint="eastAsia" w:ascii="宋体" w:hAnsi="宋体" w:eastAsia="宋体" w:cs="宋体"/>
                      <w:snapToGrid w:val="0"/>
                      <w:kern w:val="0"/>
                      <w:sz w:val="21"/>
                      <w:szCs w:val="21"/>
                    </w:rPr>
                    <w:t>相对本项目厂房距离/m</w:t>
                  </w:r>
                  <w:bookmarkEnd w:id="68"/>
                  <w:bookmarkEnd w:id="69"/>
                </w:p>
              </w:tc>
            </w:tr>
            <w:tr w14:paraId="0633E2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02" w:type="dxa"/>
                  <w:vMerge w:val="continue"/>
                  <w:noWrap w:val="0"/>
                  <w:vAlign w:val="center"/>
                </w:tcPr>
                <w:p w14:paraId="6B054FE5">
                  <w:pPr>
                    <w:keepNext w:val="0"/>
                    <w:keepLines w:val="0"/>
                    <w:suppressLineNumbers w:val="0"/>
                    <w:adjustRightInd w:val="0"/>
                    <w:snapToGrid w:val="0"/>
                    <w:spacing w:before="0" w:beforeAutospacing="0" w:after="0" w:afterAutospacing="0" w:line="240" w:lineRule="atLeast"/>
                    <w:ind w:left="0" w:right="0"/>
                    <w:jc w:val="center"/>
                    <w:outlineLvl w:val="0"/>
                    <w:rPr>
                      <w:rFonts w:hint="eastAsia" w:ascii="宋体" w:hAnsi="宋体" w:eastAsia="宋体" w:cs="宋体"/>
                      <w:snapToGrid w:val="0"/>
                      <w:kern w:val="0"/>
                      <w:sz w:val="21"/>
                      <w:szCs w:val="21"/>
                    </w:rPr>
                  </w:pPr>
                </w:p>
              </w:tc>
              <w:tc>
                <w:tcPr>
                  <w:tcW w:w="1605" w:type="dxa"/>
                  <w:vMerge w:val="continue"/>
                  <w:noWrap w:val="0"/>
                  <w:vAlign w:val="center"/>
                </w:tcPr>
                <w:p w14:paraId="1DB3B7DD">
                  <w:pPr>
                    <w:keepNext w:val="0"/>
                    <w:keepLines w:val="0"/>
                    <w:suppressLineNumbers w:val="0"/>
                    <w:adjustRightInd w:val="0"/>
                    <w:snapToGrid w:val="0"/>
                    <w:spacing w:before="0" w:beforeAutospacing="0" w:after="0" w:afterAutospacing="0" w:line="240" w:lineRule="atLeast"/>
                    <w:ind w:left="0" w:right="0"/>
                    <w:jc w:val="center"/>
                    <w:outlineLvl w:val="0"/>
                    <w:rPr>
                      <w:rFonts w:hint="eastAsia" w:ascii="宋体" w:hAnsi="宋体" w:eastAsia="宋体" w:cs="宋体"/>
                      <w:snapToGrid w:val="0"/>
                      <w:kern w:val="0"/>
                      <w:sz w:val="21"/>
                      <w:szCs w:val="21"/>
                    </w:rPr>
                  </w:pPr>
                </w:p>
              </w:tc>
              <w:tc>
                <w:tcPr>
                  <w:tcW w:w="1211" w:type="dxa"/>
                  <w:vMerge w:val="continue"/>
                  <w:noWrap w:val="0"/>
                  <w:vAlign w:val="center"/>
                </w:tcPr>
                <w:p w14:paraId="70D5580F">
                  <w:pPr>
                    <w:keepNext w:val="0"/>
                    <w:keepLines w:val="0"/>
                    <w:suppressLineNumbers w:val="0"/>
                    <w:adjustRightInd w:val="0"/>
                    <w:snapToGrid w:val="0"/>
                    <w:spacing w:before="0" w:beforeAutospacing="0" w:after="0" w:afterAutospacing="0" w:line="240" w:lineRule="atLeast"/>
                    <w:ind w:left="0" w:right="0"/>
                    <w:jc w:val="center"/>
                    <w:outlineLvl w:val="0"/>
                    <w:rPr>
                      <w:rFonts w:hint="eastAsia" w:ascii="宋体" w:hAnsi="宋体" w:eastAsia="宋体" w:cs="宋体"/>
                      <w:snapToGrid w:val="0"/>
                      <w:kern w:val="0"/>
                      <w:sz w:val="21"/>
                      <w:szCs w:val="21"/>
                    </w:rPr>
                  </w:pPr>
                </w:p>
              </w:tc>
              <w:tc>
                <w:tcPr>
                  <w:tcW w:w="1275" w:type="dxa"/>
                  <w:vMerge w:val="continue"/>
                  <w:noWrap w:val="0"/>
                  <w:vAlign w:val="center"/>
                </w:tcPr>
                <w:p w14:paraId="30F56299">
                  <w:pPr>
                    <w:keepNext w:val="0"/>
                    <w:keepLines w:val="0"/>
                    <w:suppressLineNumbers w:val="0"/>
                    <w:adjustRightInd w:val="0"/>
                    <w:snapToGrid w:val="0"/>
                    <w:spacing w:before="0" w:beforeAutospacing="0" w:after="0" w:afterAutospacing="0" w:line="240" w:lineRule="atLeast"/>
                    <w:ind w:left="0" w:right="0"/>
                    <w:jc w:val="center"/>
                    <w:outlineLvl w:val="0"/>
                    <w:rPr>
                      <w:rFonts w:hint="eastAsia" w:ascii="宋体" w:hAnsi="宋体" w:eastAsia="宋体" w:cs="宋体"/>
                      <w:snapToGrid w:val="0"/>
                      <w:kern w:val="0"/>
                      <w:sz w:val="21"/>
                      <w:szCs w:val="21"/>
                    </w:rPr>
                  </w:pPr>
                </w:p>
              </w:tc>
              <w:tc>
                <w:tcPr>
                  <w:tcW w:w="1457" w:type="dxa"/>
                  <w:vMerge w:val="continue"/>
                  <w:noWrap w:val="0"/>
                  <w:vAlign w:val="center"/>
                </w:tcPr>
                <w:p w14:paraId="2CCA7609">
                  <w:pPr>
                    <w:keepNext w:val="0"/>
                    <w:keepLines w:val="0"/>
                    <w:suppressLineNumbers w:val="0"/>
                    <w:adjustRightInd w:val="0"/>
                    <w:snapToGrid w:val="0"/>
                    <w:spacing w:before="0" w:beforeAutospacing="0" w:after="0" w:afterAutospacing="0" w:line="240" w:lineRule="atLeast"/>
                    <w:ind w:left="0" w:right="0"/>
                    <w:jc w:val="center"/>
                    <w:outlineLvl w:val="0"/>
                    <w:rPr>
                      <w:rFonts w:hint="eastAsia" w:ascii="宋体" w:hAnsi="宋体" w:eastAsia="宋体" w:cs="宋体"/>
                      <w:snapToGrid w:val="0"/>
                      <w:kern w:val="0"/>
                      <w:sz w:val="21"/>
                      <w:szCs w:val="21"/>
                    </w:rPr>
                  </w:pPr>
                </w:p>
              </w:tc>
              <w:tc>
                <w:tcPr>
                  <w:tcW w:w="1595" w:type="dxa"/>
                  <w:vMerge w:val="continue"/>
                  <w:noWrap w:val="0"/>
                  <w:vAlign w:val="center"/>
                </w:tcPr>
                <w:p w14:paraId="592310A7">
                  <w:pPr>
                    <w:keepNext w:val="0"/>
                    <w:keepLines w:val="0"/>
                    <w:suppressLineNumbers w:val="0"/>
                    <w:adjustRightInd w:val="0"/>
                    <w:snapToGrid w:val="0"/>
                    <w:spacing w:before="0" w:beforeAutospacing="0" w:after="0" w:afterAutospacing="0" w:line="240" w:lineRule="atLeast"/>
                    <w:ind w:left="0" w:right="0"/>
                    <w:jc w:val="center"/>
                    <w:outlineLvl w:val="0"/>
                    <w:rPr>
                      <w:rFonts w:hint="eastAsia" w:ascii="宋体" w:hAnsi="宋体" w:eastAsia="宋体" w:cs="宋体"/>
                      <w:snapToGrid w:val="0"/>
                      <w:kern w:val="0"/>
                      <w:sz w:val="21"/>
                      <w:szCs w:val="21"/>
                    </w:rPr>
                  </w:pPr>
                </w:p>
              </w:tc>
            </w:tr>
            <w:tr w14:paraId="482760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2" w:type="dxa"/>
                  <w:vMerge w:val="restart"/>
                  <w:noWrap w:val="0"/>
                  <w:vAlign w:val="center"/>
                </w:tcPr>
                <w:p w14:paraId="5B34B99C">
                  <w:pPr>
                    <w:keepNext w:val="0"/>
                    <w:keepLines w:val="0"/>
                    <w:suppressLineNumbers w:val="0"/>
                    <w:adjustRightInd w:val="0"/>
                    <w:snapToGrid w:val="0"/>
                    <w:spacing w:before="0" w:beforeAutospacing="0" w:after="0" w:afterAutospacing="0" w:line="240" w:lineRule="atLeast"/>
                    <w:ind w:left="0" w:right="0"/>
                    <w:jc w:val="center"/>
                    <w:outlineLvl w:val="0"/>
                    <w:rPr>
                      <w:rFonts w:hint="eastAsia" w:ascii="宋体" w:hAnsi="宋体" w:eastAsia="宋体" w:cs="宋体"/>
                      <w:snapToGrid w:val="0"/>
                      <w:kern w:val="0"/>
                      <w:sz w:val="21"/>
                      <w:szCs w:val="21"/>
                    </w:rPr>
                  </w:pPr>
                  <w:bookmarkStart w:id="70" w:name="_Toc24691"/>
                  <w:bookmarkStart w:id="71" w:name="_Toc3653"/>
                  <w:r>
                    <w:rPr>
                      <w:rFonts w:hint="eastAsia" w:ascii="宋体" w:hAnsi="宋体" w:eastAsia="宋体" w:cs="宋体"/>
                      <w:snapToGrid w:val="0"/>
                      <w:kern w:val="0"/>
                      <w:sz w:val="21"/>
                      <w:szCs w:val="21"/>
                    </w:rPr>
                    <w:t>大气</w:t>
                  </w:r>
                </w:p>
                <w:p w14:paraId="3D24BC9A">
                  <w:pPr>
                    <w:keepNext w:val="0"/>
                    <w:keepLines w:val="0"/>
                    <w:suppressLineNumbers w:val="0"/>
                    <w:adjustRightInd w:val="0"/>
                    <w:snapToGrid w:val="0"/>
                    <w:spacing w:before="0" w:beforeAutospacing="0" w:after="0" w:afterAutospacing="0" w:line="240" w:lineRule="atLeast"/>
                    <w:ind w:left="0" w:right="0"/>
                    <w:jc w:val="center"/>
                    <w:outlineLvl w:val="0"/>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环境</w:t>
                  </w:r>
                  <w:bookmarkEnd w:id="70"/>
                  <w:bookmarkEnd w:id="71"/>
                </w:p>
              </w:tc>
              <w:tc>
                <w:tcPr>
                  <w:tcW w:w="1605" w:type="dxa"/>
                  <w:noWrap w:val="0"/>
                  <w:vAlign w:val="center"/>
                </w:tcPr>
                <w:p w14:paraId="13D66CC2">
                  <w:pPr>
                    <w:keepNext w:val="0"/>
                    <w:keepLines w:val="0"/>
                    <w:suppressLineNumbers w:val="0"/>
                    <w:adjustRightInd w:val="0"/>
                    <w:snapToGrid w:val="0"/>
                    <w:spacing w:before="0" w:beforeAutospacing="0" w:after="0" w:afterAutospacing="0" w:line="240" w:lineRule="atLeast"/>
                    <w:ind w:left="0" w:right="0"/>
                    <w:jc w:val="center"/>
                    <w:outlineLvl w:val="0"/>
                    <w:rPr>
                      <w:rFonts w:hint="eastAsia" w:ascii="宋体" w:hAnsi="宋体" w:eastAsia="宋体" w:cs="宋体"/>
                      <w:snapToGrid w:val="0"/>
                      <w:kern w:val="0"/>
                      <w:sz w:val="21"/>
                      <w:szCs w:val="21"/>
                      <w:lang w:eastAsia="zh-CN"/>
                    </w:rPr>
                  </w:pPr>
                  <w:r>
                    <w:rPr>
                      <w:rFonts w:hint="eastAsia" w:ascii="宋体" w:hAnsi="宋体" w:eastAsia="宋体" w:cs="宋体"/>
                      <w:snapToGrid w:val="0"/>
                      <w:kern w:val="0"/>
                      <w:sz w:val="21"/>
                      <w:szCs w:val="21"/>
                      <w:lang w:val="en-US" w:eastAsia="zh-CN"/>
                    </w:rPr>
                    <w:t>陈武村</w:t>
                  </w:r>
                </w:p>
              </w:tc>
              <w:tc>
                <w:tcPr>
                  <w:tcW w:w="1211" w:type="dxa"/>
                  <w:noWrap w:val="0"/>
                  <w:vAlign w:val="center"/>
                </w:tcPr>
                <w:p w14:paraId="3A08F0E6">
                  <w:pPr>
                    <w:keepNext w:val="0"/>
                    <w:keepLines w:val="0"/>
                    <w:suppressLineNumbers w:val="0"/>
                    <w:adjustRightInd w:val="0"/>
                    <w:snapToGrid w:val="0"/>
                    <w:spacing w:before="0" w:beforeAutospacing="0" w:after="0" w:afterAutospacing="0" w:line="240" w:lineRule="atLeast"/>
                    <w:ind w:left="0" w:right="0"/>
                    <w:jc w:val="center"/>
                    <w:outlineLvl w:val="0"/>
                    <w:rPr>
                      <w:rFonts w:hint="default" w:ascii="宋体" w:hAnsi="宋体" w:eastAsia="宋体" w:cs="宋体"/>
                      <w:snapToGrid w:val="0"/>
                      <w:kern w:val="0"/>
                      <w:sz w:val="21"/>
                      <w:szCs w:val="21"/>
                      <w:lang w:val="en-US" w:eastAsia="zh-CN"/>
                    </w:rPr>
                  </w:pPr>
                  <w:r>
                    <w:rPr>
                      <w:rFonts w:hint="eastAsia" w:ascii="宋体" w:hAnsi="宋体" w:eastAsia="宋体" w:cs="宋体"/>
                      <w:snapToGrid w:val="0"/>
                      <w:kern w:val="0"/>
                      <w:sz w:val="21"/>
                      <w:szCs w:val="21"/>
                      <w:lang w:val="en-US" w:eastAsia="zh-CN"/>
                    </w:rPr>
                    <w:t>约24人</w:t>
                  </w:r>
                </w:p>
              </w:tc>
              <w:tc>
                <w:tcPr>
                  <w:tcW w:w="1275" w:type="dxa"/>
                  <w:vMerge w:val="restart"/>
                  <w:noWrap w:val="0"/>
                  <w:vAlign w:val="center"/>
                </w:tcPr>
                <w:p w14:paraId="51FA4BEE">
                  <w:pPr>
                    <w:keepNext w:val="0"/>
                    <w:keepLines w:val="0"/>
                    <w:suppressLineNumbers w:val="0"/>
                    <w:adjustRightInd w:val="0"/>
                    <w:snapToGrid w:val="0"/>
                    <w:spacing w:before="0" w:beforeAutospacing="0" w:after="0" w:afterAutospacing="0" w:line="240" w:lineRule="atLeast"/>
                    <w:ind w:left="0" w:right="0"/>
                    <w:jc w:val="center"/>
                    <w:outlineLvl w:val="0"/>
                    <w:rPr>
                      <w:rFonts w:hint="eastAsia" w:ascii="宋体" w:hAnsi="宋体" w:eastAsia="宋体" w:cs="宋体"/>
                      <w:snapToGrid w:val="0"/>
                      <w:kern w:val="0"/>
                      <w:sz w:val="21"/>
                      <w:szCs w:val="21"/>
                    </w:rPr>
                  </w:pPr>
                  <w:bookmarkStart w:id="72" w:name="_Toc5777"/>
                  <w:bookmarkStart w:id="73" w:name="_Toc25781"/>
                  <w:r>
                    <w:rPr>
                      <w:rFonts w:hint="eastAsia" w:ascii="宋体" w:hAnsi="宋体" w:eastAsia="宋体" w:cs="宋体"/>
                      <w:snapToGrid w:val="0"/>
                      <w:kern w:val="0"/>
                      <w:sz w:val="21"/>
                      <w:szCs w:val="21"/>
                    </w:rPr>
                    <w:t>二类</w:t>
                  </w:r>
                  <w:bookmarkEnd w:id="72"/>
                  <w:bookmarkEnd w:id="73"/>
                </w:p>
              </w:tc>
              <w:tc>
                <w:tcPr>
                  <w:tcW w:w="1457" w:type="dxa"/>
                  <w:noWrap w:val="0"/>
                  <w:vAlign w:val="center"/>
                </w:tcPr>
                <w:p w14:paraId="32775612">
                  <w:pPr>
                    <w:keepNext w:val="0"/>
                    <w:keepLines w:val="0"/>
                    <w:suppressLineNumbers w:val="0"/>
                    <w:adjustRightInd w:val="0"/>
                    <w:snapToGrid w:val="0"/>
                    <w:spacing w:before="0" w:beforeAutospacing="0" w:after="0" w:afterAutospacing="0" w:line="240" w:lineRule="atLeast"/>
                    <w:ind w:left="0" w:right="0"/>
                    <w:jc w:val="center"/>
                    <w:outlineLvl w:val="0"/>
                    <w:rPr>
                      <w:rFonts w:hint="eastAsia" w:ascii="宋体" w:hAnsi="宋体" w:eastAsia="宋体" w:cs="宋体"/>
                      <w:snapToGrid w:val="0"/>
                      <w:kern w:val="0"/>
                      <w:sz w:val="21"/>
                      <w:szCs w:val="21"/>
                      <w:lang w:eastAsia="zh-CN"/>
                    </w:rPr>
                  </w:pPr>
                  <w:r>
                    <w:rPr>
                      <w:rFonts w:hint="eastAsia" w:ascii="宋体" w:hAnsi="宋体" w:eastAsia="宋体" w:cs="宋体"/>
                      <w:snapToGrid w:val="0"/>
                      <w:kern w:val="0"/>
                      <w:sz w:val="21"/>
                      <w:szCs w:val="21"/>
                      <w:lang w:val="en-US" w:eastAsia="zh-CN"/>
                    </w:rPr>
                    <w:t>南</w:t>
                  </w:r>
                </w:p>
              </w:tc>
              <w:tc>
                <w:tcPr>
                  <w:tcW w:w="1595" w:type="dxa"/>
                  <w:noWrap w:val="0"/>
                  <w:vAlign w:val="center"/>
                </w:tcPr>
                <w:p w14:paraId="1BBB957A">
                  <w:pPr>
                    <w:keepNext w:val="0"/>
                    <w:keepLines w:val="0"/>
                    <w:suppressLineNumbers w:val="0"/>
                    <w:adjustRightInd w:val="0"/>
                    <w:snapToGrid w:val="0"/>
                    <w:spacing w:before="0" w:beforeAutospacing="0" w:after="0" w:afterAutospacing="0" w:line="240" w:lineRule="atLeast"/>
                    <w:ind w:left="0" w:right="0"/>
                    <w:jc w:val="center"/>
                    <w:outlineLvl w:val="0"/>
                    <w:rPr>
                      <w:rFonts w:hint="default" w:ascii="宋体" w:hAnsi="宋体" w:eastAsia="宋体" w:cs="宋体"/>
                      <w:snapToGrid w:val="0"/>
                      <w:kern w:val="0"/>
                      <w:sz w:val="21"/>
                      <w:szCs w:val="21"/>
                      <w:lang w:val="en-US" w:eastAsia="zh-CN"/>
                    </w:rPr>
                  </w:pPr>
                  <w:r>
                    <w:rPr>
                      <w:rFonts w:hint="eastAsia" w:ascii="宋体" w:hAnsi="宋体" w:eastAsia="宋体" w:cs="宋体"/>
                      <w:snapToGrid w:val="0"/>
                      <w:kern w:val="0"/>
                      <w:sz w:val="21"/>
                      <w:szCs w:val="21"/>
                      <w:lang w:val="en-US" w:eastAsia="zh-CN"/>
                    </w:rPr>
                    <w:t>30</w:t>
                  </w:r>
                </w:p>
              </w:tc>
            </w:tr>
            <w:tr w14:paraId="3DFF53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2" w:type="dxa"/>
                  <w:vMerge w:val="continue"/>
                  <w:noWrap w:val="0"/>
                  <w:vAlign w:val="center"/>
                </w:tcPr>
                <w:p w14:paraId="5884EE7F">
                  <w:pPr>
                    <w:keepNext w:val="0"/>
                    <w:keepLines w:val="0"/>
                    <w:suppressLineNumbers w:val="0"/>
                    <w:adjustRightInd w:val="0"/>
                    <w:snapToGrid w:val="0"/>
                    <w:spacing w:before="0" w:beforeAutospacing="0" w:after="0" w:afterAutospacing="0" w:line="240" w:lineRule="atLeast"/>
                    <w:ind w:left="0" w:right="0"/>
                    <w:jc w:val="center"/>
                    <w:outlineLvl w:val="0"/>
                    <w:rPr>
                      <w:rFonts w:hint="eastAsia" w:ascii="宋体" w:hAnsi="宋体" w:eastAsia="宋体" w:cs="宋体"/>
                      <w:snapToGrid w:val="0"/>
                      <w:kern w:val="0"/>
                      <w:sz w:val="21"/>
                      <w:szCs w:val="21"/>
                    </w:rPr>
                  </w:pPr>
                  <w:bookmarkStart w:id="74" w:name="_Toc15913"/>
                  <w:bookmarkStart w:id="75" w:name="_Toc16103"/>
                </w:p>
              </w:tc>
              <w:tc>
                <w:tcPr>
                  <w:tcW w:w="1605" w:type="dxa"/>
                  <w:noWrap w:val="0"/>
                  <w:vAlign w:val="center"/>
                </w:tcPr>
                <w:p w14:paraId="0F8A1872">
                  <w:pPr>
                    <w:keepNext w:val="0"/>
                    <w:keepLines w:val="0"/>
                    <w:suppressLineNumbers w:val="0"/>
                    <w:adjustRightInd w:val="0"/>
                    <w:snapToGrid w:val="0"/>
                    <w:spacing w:before="0" w:beforeAutospacing="0" w:after="0" w:afterAutospacing="0" w:line="240" w:lineRule="atLeast"/>
                    <w:ind w:left="0" w:right="0"/>
                    <w:jc w:val="center"/>
                    <w:outlineLvl w:val="0"/>
                    <w:rPr>
                      <w:rFonts w:hint="eastAsia" w:ascii="宋体" w:hAnsi="宋体" w:eastAsia="宋体" w:cs="宋体"/>
                      <w:snapToGrid w:val="0"/>
                      <w:kern w:val="0"/>
                      <w:sz w:val="21"/>
                      <w:szCs w:val="21"/>
                      <w:lang w:val="en-US" w:eastAsia="zh-CN"/>
                    </w:rPr>
                  </w:pPr>
                  <w:r>
                    <w:rPr>
                      <w:rFonts w:hint="eastAsia" w:ascii="宋体" w:hAnsi="宋体" w:eastAsia="宋体" w:cs="宋体"/>
                      <w:snapToGrid w:val="0"/>
                      <w:kern w:val="0"/>
                      <w:sz w:val="21"/>
                      <w:szCs w:val="21"/>
                      <w:lang w:val="en-US" w:eastAsia="zh-CN"/>
                    </w:rPr>
                    <w:t>陈武村</w:t>
                  </w:r>
                </w:p>
              </w:tc>
              <w:tc>
                <w:tcPr>
                  <w:tcW w:w="1211" w:type="dxa"/>
                  <w:noWrap w:val="0"/>
                  <w:vAlign w:val="center"/>
                </w:tcPr>
                <w:p w14:paraId="2844EBDB">
                  <w:pPr>
                    <w:keepNext w:val="0"/>
                    <w:keepLines w:val="0"/>
                    <w:suppressLineNumbers w:val="0"/>
                    <w:adjustRightInd w:val="0"/>
                    <w:snapToGrid w:val="0"/>
                    <w:spacing w:before="0" w:beforeAutospacing="0" w:after="0" w:afterAutospacing="0" w:line="240" w:lineRule="atLeast"/>
                    <w:ind w:left="0" w:right="0"/>
                    <w:jc w:val="center"/>
                    <w:outlineLvl w:val="0"/>
                    <w:rPr>
                      <w:rFonts w:hint="eastAsia" w:ascii="宋体" w:hAnsi="宋体" w:eastAsia="宋体" w:cs="宋体"/>
                      <w:snapToGrid w:val="0"/>
                      <w:kern w:val="0"/>
                      <w:sz w:val="21"/>
                      <w:szCs w:val="21"/>
                      <w:lang w:val="en-US" w:eastAsia="zh-CN"/>
                    </w:rPr>
                  </w:pPr>
                  <w:r>
                    <w:rPr>
                      <w:rFonts w:hint="eastAsia" w:ascii="宋体" w:hAnsi="宋体" w:eastAsia="宋体" w:cs="宋体"/>
                      <w:snapToGrid w:val="0"/>
                      <w:kern w:val="0"/>
                      <w:sz w:val="21"/>
                      <w:szCs w:val="21"/>
                      <w:lang w:val="en-US" w:eastAsia="zh-CN"/>
                    </w:rPr>
                    <w:t>约28人</w:t>
                  </w:r>
                </w:p>
              </w:tc>
              <w:tc>
                <w:tcPr>
                  <w:tcW w:w="1275" w:type="dxa"/>
                  <w:vMerge w:val="continue"/>
                  <w:noWrap w:val="0"/>
                  <w:vAlign w:val="center"/>
                </w:tcPr>
                <w:p w14:paraId="2B6EB05F">
                  <w:pPr>
                    <w:keepNext w:val="0"/>
                    <w:keepLines w:val="0"/>
                    <w:suppressLineNumbers w:val="0"/>
                    <w:adjustRightInd w:val="0"/>
                    <w:snapToGrid w:val="0"/>
                    <w:spacing w:before="0" w:beforeAutospacing="0" w:after="0" w:afterAutospacing="0" w:line="240" w:lineRule="atLeast"/>
                    <w:ind w:left="0" w:right="0"/>
                    <w:jc w:val="center"/>
                    <w:outlineLvl w:val="0"/>
                    <w:rPr>
                      <w:rFonts w:hint="eastAsia" w:ascii="宋体" w:hAnsi="宋体" w:eastAsia="宋体" w:cs="宋体"/>
                      <w:snapToGrid w:val="0"/>
                      <w:kern w:val="0"/>
                      <w:sz w:val="21"/>
                      <w:szCs w:val="21"/>
                    </w:rPr>
                  </w:pPr>
                </w:p>
              </w:tc>
              <w:tc>
                <w:tcPr>
                  <w:tcW w:w="1457" w:type="dxa"/>
                  <w:noWrap w:val="0"/>
                  <w:vAlign w:val="center"/>
                </w:tcPr>
                <w:p w14:paraId="43054CDA">
                  <w:pPr>
                    <w:keepNext w:val="0"/>
                    <w:keepLines w:val="0"/>
                    <w:suppressLineNumbers w:val="0"/>
                    <w:adjustRightInd w:val="0"/>
                    <w:snapToGrid w:val="0"/>
                    <w:spacing w:before="0" w:beforeAutospacing="0" w:after="0" w:afterAutospacing="0" w:line="240" w:lineRule="atLeast"/>
                    <w:ind w:left="0" w:right="0"/>
                    <w:jc w:val="center"/>
                    <w:outlineLvl w:val="0"/>
                    <w:rPr>
                      <w:rFonts w:hint="default" w:ascii="宋体" w:hAnsi="宋体" w:eastAsia="宋体" w:cs="宋体"/>
                      <w:snapToGrid w:val="0"/>
                      <w:kern w:val="0"/>
                      <w:sz w:val="21"/>
                      <w:szCs w:val="21"/>
                      <w:lang w:val="en-US" w:eastAsia="zh-CN"/>
                    </w:rPr>
                  </w:pPr>
                  <w:r>
                    <w:rPr>
                      <w:rFonts w:hint="eastAsia" w:ascii="宋体" w:hAnsi="宋体" w:eastAsia="宋体" w:cs="宋体"/>
                      <w:snapToGrid w:val="0"/>
                      <w:kern w:val="0"/>
                      <w:sz w:val="21"/>
                      <w:szCs w:val="21"/>
                      <w:lang w:val="en-US" w:eastAsia="zh-CN"/>
                    </w:rPr>
                    <w:t>东南</w:t>
                  </w:r>
                </w:p>
              </w:tc>
              <w:tc>
                <w:tcPr>
                  <w:tcW w:w="1595" w:type="dxa"/>
                  <w:noWrap w:val="0"/>
                  <w:vAlign w:val="center"/>
                </w:tcPr>
                <w:p w14:paraId="4250597C">
                  <w:pPr>
                    <w:keepNext w:val="0"/>
                    <w:keepLines w:val="0"/>
                    <w:suppressLineNumbers w:val="0"/>
                    <w:adjustRightInd w:val="0"/>
                    <w:snapToGrid w:val="0"/>
                    <w:spacing w:before="0" w:beforeAutospacing="0" w:after="0" w:afterAutospacing="0" w:line="240" w:lineRule="atLeast"/>
                    <w:ind w:left="0" w:right="0"/>
                    <w:jc w:val="center"/>
                    <w:outlineLvl w:val="0"/>
                    <w:rPr>
                      <w:rFonts w:hint="default" w:ascii="宋体" w:hAnsi="宋体" w:eastAsia="宋体" w:cs="宋体"/>
                      <w:snapToGrid w:val="0"/>
                      <w:kern w:val="0"/>
                      <w:sz w:val="21"/>
                      <w:szCs w:val="21"/>
                      <w:lang w:val="en-US" w:eastAsia="zh-CN"/>
                    </w:rPr>
                  </w:pPr>
                  <w:r>
                    <w:rPr>
                      <w:rFonts w:hint="eastAsia" w:ascii="宋体" w:hAnsi="宋体" w:eastAsia="宋体" w:cs="宋体"/>
                      <w:snapToGrid w:val="0"/>
                      <w:kern w:val="0"/>
                      <w:sz w:val="21"/>
                      <w:szCs w:val="21"/>
                      <w:lang w:val="en-US" w:eastAsia="zh-CN"/>
                    </w:rPr>
                    <w:t>48</w:t>
                  </w:r>
                </w:p>
              </w:tc>
            </w:tr>
            <w:tr w14:paraId="773D42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2" w:type="dxa"/>
                  <w:vMerge w:val="continue"/>
                  <w:noWrap w:val="0"/>
                  <w:vAlign w:val="center"/>
                </w:tcPr>
                <w:p w14:paraId="1E242755">
                  <w:pPr>
                    <w:keepNext w:val="0"/>
                    <w:keepLines w:val="0"/>
                    <w:suppressLineNumbers w:val="0"/>
                    <w:adjustRightInd w:val="0"/>
                    <w:snapToGrid w:val="0"/>
                    <w:spacing w:before="0" w:beforeAutospacing="0" w:after="0" w:afterAutospacing="0" w:line="240" w:lineRule="atLeast"/>
                    <w:ind w:left="0" w:right="0"/>
                    <w:jc w:val="center"/>
                    <w:outlineLvl w:val="0"/>
                    <w:rPr>
                      <w:rFonts w:hint="eastAsia" w:ascii="宋体" w:hAnsi="宋体" w:eastAsia="宋体" w:cs="宋体"/>
                      <w:snapToGrid w:val="0"/>
                      <w:kern w:val="0"/>
                      <w:sz w:val="21"/>
                      <w:szCs w:val="21"/>
                    </w:rPr>
                  </w:pPr>
                </w:p>
              </w:tc>
              <w:tc>
                <w:tcPr>
                  <w:tcW w:w="1605" w:type="dxa"/>
                  <w:noWrap w:val="0"/>
                  <w:vAlign w:val="center"/>
                </w:tcPr>
                <w:p w14:paraId="4C757495">
                  <w:pPr>
                    <w:keepNext w:val="0"/>
                    <w:keepLines w:val="0"/>
                    <w:suppressLineNumbers w:val="0"/>
                    <w:adjustRightInd w:val="0"/>
                    <w:snapToGrid w:val="0"/>
                    <w:spacing w:before="0" w:beforeAutospacing="0" w:after="0" w:afterAutospacing="0" w:line="240" w:lineRule="atLeast"/>
                    <w:ind w:left="0" w:right="0"/>
                    <w:jc w:val="center"/>
                    <w:outlineLvl w:val="0"/>
                    <w:rPr>
                      <w:rFonts w:hint="default" w:ascii="宋体" w:hAnsi="宋体" w:eastAsia="宋体" w:cs="宋体"/>
                      <w:snapToGrid w:val="0"/>
                      <w:kern w:val="0"/>
                      <w:sz w:val="21"/>
                      <w:szCs w:val="21"/>
                      <w:lang w:val="en-US" w:eastAsia="zh-CN"/>
                    </w:rPr>
                  </w:pPr>
                  <w:r>
                    <w:rPr>
                      <w:rFonts w:hint="eastAsia" w:ascii="宋体" w:hAnsi="宋体" w:eastAsia="宋体" w:cs="宋体"/>
                      <w:snapToGrid w:val="0"/>
                      <w:kern w:val="0"/>
                      <w:sz w:val="21"/>
                      <w:szCs w:val="21"/>
                      <w:lang w:val="en-US" w:eastAsia="zh-CN"/>
                    </w:rPr>
                    <w:t>陈武村村委会</w:t>
                  </w:r>
                </w:p>
              </w:tc>
              <w:tc>
                <w:tcPr>
                  <w:tcW w:w="1211" w:type="dxa"/>
                  <w:noWrap w:val="0"/>
                  <w:vAlign w:val="center"/>
                </w:tcPr>
                <w:p w14:paraId="10A3472E">
                  <w:pPr>
                    <w:keepNext w:val="0"/>
                    <w:keepLines w:val="0"/>
                    <w:suppressLineNumbers w:val="0"/>
                    <w:adjustRightInd w:val="0"/>
                    <w:snapToGrid w:val="0"/>
                    <w:spacing w:before="0" w:beforeAutospacing="0" w:after="0" w:afterAutospacing="0" w:line="240" w:lineRule="atLeast"/>
                    <w:ind w:left="0" w:right="0"/>
                    <w:jc w:val="center"/>
                    <w:outlineLvl w:val="0"/>
                    <w:rPr>
                      <w:rFonts w:hint="default" w:ascii="宋体" w:hAnsi="宋体" w:eastAsia="宋体" w:cs="宋体"/>
                      <w:snapToGrid w:val="0"/>
                      <w:kern w:val="0"/>
                      <w:sz w:val="21"/>
                      <w:szCs w:val="21"/>
                      <w:lang w:val="en-US" w:eastAsia="zh-CN"/>
                    </w:rPr>
                  </w:pPr>
                  <w:r>
                    <w:rPr>
                      <w:rFonts w:hint="eastAsia" w:ascii="宋体" w:hAnsi="宋体" w:eastAsia="宋体" w:cs="宋体"/>
                      <w:snapToGrid w:val="0"/>
                      <w:kern w:val="0"/>
                      <w:sz w:val="21"/>
                      <w:szCs w:val="21"/>
                      <w:lang w:val="en-US" w:eastAsia="zh-CN"/>
                    </w:rPr>
                    <w:t>约20人</w:t>
                  </w:r>
                </w:p>
              </w:tc>
              <w:tc>
                <w:tcPr>
                  <w:tcW w:w="1275" w:type="dxa"/>
                  <w:vMerge w:val="continue"/>
                  <w:noWrap w:val="0"/>
                  <w:vAlign w:val="center"/>
                </w:tcPr>
                <w:p w14:paraId="2BFE5E69">
                  <w:pPr>
                    <w:keepNext w:val="0"/>
                    <w:keepLines w:val="0"/>
                    <w:suppressLineNumbers w:val="0"/>
                    <w:adjustRightInd w:val="0"/>
                    <w:snapToGrid w:val="0"/>
                    <w:spacing w:before="0" w:beforeAutospacing="0" w:after="0" w:afterAutospacing="0" w:line="240" w:lineRule="atLeast"/>
                    <w:ind w:left="0" w:right="0"/>
                    <w:jc w:val="center"/>
                    <w:outlineLvl w:val="0"/>
                    <w:rPr>
                      <w:rFonts w:hint="eastAsia" w:ascii="宋体" w:hAnsi="宋体" w:eastAsia="宋体" w:cs="宋体"/>
                      <w:snapToGrid w:val="0"/>
                      <w:kern w:val="0"/>
                      <w:sz w:val="21"/>
                      <w:szCs w:val="21"/>
                    </w:rPr>
                  </w:pPr>
                </w:p>
              </w:tc>
              <w:tc>
                <w:tcPr>
                  <w:tcW w:w="1457" w:type="dxa"/>
                  <w:noWrap w:val="0"/>
                  <w:vAlign w:val="center"/>
                </w:tcPr>
                <w:p w14:paraId="19A10638">
                  <w:pPr>
                    <w:keepNext w:val="0"/>
                    <w:keepLines w:val="0"/>
                    <w:suppressLineNumbers w:val="0"/>
                    <w:adjustRightInd w:val="0"/>
                    <w:snapToGrid w:val="0"/>
                    <w:spacing w:before="0" w:beforeAutospacing="0" w:after="0" w:afterAutospacing="0" w:line="240" w:lineRule="atLeast"/>
                    <w:ind w:left="0" w:right="0"/>
                    <w:jc w:val="center"/>
                    <w:outlineLvl w:val="0"/>
                    <w:rPr>
                      <w:rFonts w:hint="default" w:ascii="宋体" w:hAnsi="宋体" w:eastAsia="宋体" w:cs="宋体"/>
                      <w:snapToGrid w:val="0"/>
                      <w:kern w:val="0"/>
                      <w:sz w:val="21"/>
                      <w:szCs w:val="21"/>
                      <w:lang w:val="en-US" w:eastAsia="zh-CN"/>
                    </w:rPr>
                  </w:pPr>
                  <w:r>
                    <w:rPr>
                      <w:rFonts w:hint="eastAsia" w:ascii="宋体" w:hAnsi="宋体" w:eastAsia="宋体" w:cs="宋体"/>
                      <w:snapToGrid w:val="0"/>
                      <w:kern w:val="0"/>
                      <w:sz w:val="21"/>
                      <w:szCs w:val="21"/>
                      <w:lang w:val="en-US" w:eastAsia="zh-CN"/>
                    </w:rPr>
                    <w:t>南</w:t>
                  </w:r>
                </w:p>
              </w:tc>
              <w:tc>
                <w:tcPr>
                  <w:tcW w:w="1595" w:type="dxa"/>
                  <w:noWrap w:val="0"/>
                  <w:vAlign w:val="center"/>
                </w:tcPr>
                <w:p w14:paraId="58B082EE">
                  <w:pPr>
                    <w:keepNext w:val="0"/>
                    <w:keepLines w:val="0"/>
                    <w:suppressLineNumbers w:val="0"/>
                    <w:adjustRightInd w:val="0"/>
                    <w:snapToGrid w:val="0"/>
                    <w:spacing w:before="0" w:beforeAutospacing="0" w:after="0" w:afterAutospacing="0" w:line="240" w:lineRule="atLeast"/>
                    <w:ind w:left="0" w:right="0"/>
                    <w:jc w:val="center"/>
                    <w:outlineLvl w:val="0"/>
                    <w:rPr>
                      <w:rFonts w:hint="default" w:ascii="宋体" w:hAnsi="宋体" w:eastAsia="宋体" w:cs="宋体"/>
                      <w:snapToGrid w:val="0"/>
                      <w:kern w:val="0"/>
                      <w:sz w:val="21"/>
                      <w:szCs w:val="21"/>
                      <w:lang w:val="en-US" w:eastAsia="zh-CN"/>
                    </w:rPr>
                  </w:pPr>
                  <w:r>
                    <w:rPr>
                      <w:rFonts w:hint="eastAsia" w:ascii="宋体" w:hAnsi="宋体" w:eastAsia="宋体" w:cs="宋体"/>
                      <w:snapToGrid w:val="0"/>
                      <w:kern w:val="0"/>
                      <w:sz w:val="21"/>
                      <w:szCs w:val="21"/>
                      <w:lang w:val="en-US" w:eastAsia="zh-CN"/>
                    </w:rPr>
                    <w:t>200</w:t>
                  </w:r>
                </w:p>
              </w:tc>
            </w:tr>
            <w:tr w14:paraId="6D8973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2" w:type="dxa"/>
                  <w:vMerge w:val="continue"/>
                  <w:noWrap w:val="0"/>
                  <w:vAlign w:val="center"/>
                </w:tcPr>
                <w:p w14:paraId="77F96FA9">
                  <w:pPr>
                    <w:keepNext w:val="0"/>
                    <w:keepLines w:val="0"/>
                    <w:suppressLineNumbers w:val="0"/>
                    <w:adjustRightInd w:val="0"/>
                    <w:snapToGrid w:val="0"/>
                    <w:spacing w:before="0" w:beforeAutospacing="0" w:after="0" w:afterAutospacing="0" w:line="240" w:lineRule="atLeast"/>
                    <w:ind w:left="0" w:right="0"/>
                    <w:jc w:val="center"/>
                    <w:outlineLvl w:val="0"/>
                    <w:rPr>
                      <w:rFonts w:hint="eastAsia" w:ascii="宋体" w:hAnsi="宋体" w:eastAsia="宋体" w:cs="宋体"/>
                      <w:snapToGrid w:val="0"/>
                      <w:kern w:val="0"/>
                      <w:sz w:val="21"/>
                      <w:szCs w:val="21"/>
                    </w:rPr>
                  </w:pPr>
                </w:p>
              </w:tc>
              <w:tc>
                <w:tcPr>
                  <w:tcW w:w="1605" w:type="dxa"/>
                  <w:noWrap w:val="0"/>
                  <w:vAlign w:val="center"/>
                </w:tcPr>
                <w:p w14:paraId="475A6EA8">
                  <w:pPr>
                    <w:keepNext w:val="0"/>
                    <w:keepLines w:val="0"/>
                    <w:suppressLineNumbers w:val="0"/>
                    <w:adjustRightInd w:val="0"/>
                    <w:snapToGrid w:val="0"/>
                    <w:spacing w:before="0" w:beforeAutospacing="0" w:after="0" w:afterAutospacing="0" w:line="240" w:lineRule="atLeast"/>
                    <w:ind w:left="0" w:right="0"/>
                    <w:jc w:val="center"/>
                    <w:outlineLvl w:val="0"/>
                    <w:rPr>
                      <w:rFonts w:hint="eastAsia" w:ascii="宋体" w:hAnsi="宋体" w:eastAsia="宋体" w:cs="宋体"/>
                      <w:snapToGrid w:val="0"/>
                      <w:kern w:val="0"/>
                      <w:sz w:val="21"/>
                      <w:szCs w:val="21"/>
                      <w:lang w:val="en-US" w:eastAsia="zh-CN"/>
                    </w:rPr>
                  </w:pPr>
                  <w:r>
                    <w:rPr>
                      <w:rFonts w:hint="eastAsia" w:ascii="宋体" w:hAnsi="宋体" w:eastAsia="宋体" w:cs="宋体"/>
                      <w:snapToGrid w:val="0"/>
                      <w:kern w:val="0"/>
                      <w:sz w:val="21"/>
                      <w:szCs w:val="21"/>
                      <w:lang w:val="en-US" w:eastAsia="zh-CN"/>
                    </w:rPr>
                    <w:t>陈武村</w:t>
                  </w:r>
                </w:p>
              </w:tc>
              <w:tc>
                <w:tcPr>
                  <w:tcW w:w="1211" w:type="dxa"/>
                  <w:noWrap w:val="0"/>
                  <w:vAlign w:val="center"/>
                </w:tcPr>
                <w:p w14:paraId="5771C10E">
                  <w:pPr>
                    <w:keepNext w:val="0"/>
                    <w:keepLines w:val="0"/>
                    <w:suppressLineNumbers w:val="0"/>
                    <w:adjustRightInd w:val="0"/>
                    <w:snapToGrid w:val="0"/>
                    <w:spacing w:before="0" w:beforeAutospacing="0" w:after="0" w:afterAutospacing="0" w:line="240" w:lineRule="atLeast"/>
                    <w:ind w:left="0" w:right="0"/>
                    <w:jc w:val="center"/>
                    <w:outlineLvl w:val="0"/>
                    <w:rPr>
                      <w:rFonts w:hint="eastAsia" w:ascii="宋体" w:hAnsi="宋体" w:eastAsia="宋体" w:cs="宋体"/>
                      <w:snapToGrid w:val="0"/>
                      <w:kern w:val="0"/>
                      <w:sz w:val="21"/>
                      <w:szCs w:val="21"/>
                      <w:lang w:val="en-US" w:eastAsia="zh-CN"/>
                    </w:rPr>
                  </w:pPr>
                  <w:r>
                    <w:rPr>
                      <w:rFonts w:hint="eastAsia" w:ascii="宋体" w:hAnsi="宋体" w:eastAsia="宋体" w:cs="宋体"/>
                      <w:snapToGrid w:val="0"/>
                      <w:kern w:val="0"/>
                      <w:sz w:val="21"/>
                      <w:szCs w:val="21"/>
                      <w:lang w:val="en-US" w:eastAsia="zh-CN"/>
                    </w:rPr>
                    <w:t>约160人</w:t>
                  </w:r>
                </w:p>
              </w:tc>
              <w:tc>
                <w:tcPr>
                  <w:tcW w:w="1275" w:type="dxa"/>
                  <w:vMerge w:val="continue"/>
                  <w:noWrap w:val="0"/>
                  <w:vAlign w:val="center"/>
                </w:tcPr>
                <w:p w14:paraId="442C0C81">
                  <w:pPr>
                    <w:keepNext w:val="0"/>
                    <w:keepLines w:val="0"/>
                    <w:suppressLineNumbers w:val="0"/>
                    <w:adjustRightInd w:val="0"/>
                    <w:snapToGrid w:val="0"/>
                    <w:spacing w:before="0" w:beforeAutospacing="0" w:after="0" w:afterAutospacing="0" w:line="240" w:lineRule="atLeast"/>
                    <w:ind w:left="0" w:right="0"/>
                    <w:jc w:val="center"/>
                    <w:outlineLvl w:val="0"/>
                    <w:rPr>
                      <w:rFonts w:hint="eastAsia" w:ascii="宋体" w:hAnsi="宋体" w:eastAsia="宋体" w:cs="宋体"/>
                      <w:snapToGrid w:val="0"/>
                      <w:kern w:val="0"/>
                      <w:sz w:val="21"/>
                      <w:szCs w:val="21"/>
                    </w:rPr>
                  </w:pPr>
                </w:p>
              </w:tc>
              <w:tc>
                <w:tcPr>
                  <w:tcW w:w="1457" w:type="dxa"/>
                  <w:noWrap w:val="0"/>
                  <w:vAlign w:val="center"/>
                </w:tcPr>
                <w:p w14:paraId="0D2EE34D">
                  <w:pPr>
                    <w:keepNext w:val="0"/>
                    <w:keepLines w:val="0"/>
                    <w:suppressLineNumbers w:val="0"/>
                    <w:adjustRightInd w:val="0"/>
                    <w:snapToGrid w:val="0"/>
                    <w:spacing w:before="0" w:beforeAutospacing="0" w:after="0" w:afterAutospacing="0" w:line="240" w:lineRule="atLeast"/>
                    <w:ind w:left="0" w:right="0"/>
                    <w:jc w:val="center"/>
                    <w:outlineLvl w:val="0"/>
                    <w:rPr>
                      <w:rFonts w:hint="default" w:ascii="宋体" w:hAnsi="宋体" w:eastAsia="宋体" w:cs="宋体"/>
                      <w:snapToGrid w:val="0"/>
                      <w:kern w:val="0"/>
                      <w:sz w:val="21"/>
                      <w:szCs w:val="21"/>
                      <w:lang w:val="en-US" w:eastAsia="zh-CN"/>
                    </w:rPr>
                  </w:pPr>
                  <w:r>
                    <w:rPr>
                      <w:rFonts w:hint="eastAsia" w:ascii="宋体" w:hAnsi="宋体" w:eastAsia="宋体" w:cs="宋体"/>
                      <w:snapToGrid w:val="0"/>
                      <w:kern w:val="0"/>
                      <w:sz w:val="21"/>
                      <w:szCs w:val="21"/>
                      <w:lang w:val="en-US" w:eastAsia="zh-CN"/>
                    </w:rPr>
                    <w:t>西南</w:t>
                  </w:r>
                </w:p>
              </w:tc>
              <w:tc>
                <w:tcPr>
                  <w:tcW w:w="1595" w:type="dxa"/>
                  <w:noWrap w:val="0"/>
                  <w:vAlign w:val="center"/>
                </w:tcPr>
                <w:p w14:paraId="1527D9B3">
                  <w:pPr>
                    <w:keepNext w:val="0"/>
                    <w:keepLines w:val="0"/>
                    <w:suppressLineNumbers w:val="0"/>
                    <w:adjustRightInd w:val="0"/>
                    <w:snapToGrid w:val="0"/>
                    <w:spacing w:before="0" w:beforeAutospacing="0" w:after="0" w:afterAutospacing="0" w:line="240" w:lineRule="atLeast"/>
                    <w:ind w:left="0" w:right="0"/>
                    <w:jc w:val="center"/>
                    <w:outlineLvl w:val="0"/>
                    <w:rPr>
                      <w:rFonts w:hint="default" w:ascii="宋体" w:hAnsi="宋体" w:eastAsia="宋体" w:cs="宋体"/>
                      <w:snapToGrid w:val="0"/>
                      <w:kern w:val="0"/>
                      <w:sz w:val="21"/>
                      <w:szCs w:val="21"/>
                      <w:lang w:val="en-US" w:eastAsia="zh-CN"/>
                    </w:rPr>
                  </w:pPr>
                  <w:r>
                    <w:rPr>
                      <w:rFonts w:hint="eastAsia" w:ascii="宋体" w:hAnsi="宋体" w:eastAsia="宋体" w:cs="宋体"/>
                      <w:snapToGrid w:val="0"/>
                      <w:kern w:val="0"/>
                      <w:sz w:val="21"/>
                      <w:szCs w:val="21"/>
                      <w:lang w:val="en-US" w:eastAsia="zh-CN"/>
                    </w:rPr>
                    <w:t>85</w:t>
                  </w:r>
                </w:p>
              </w:tc>
            </w:tr>
            <w:tr w14:paraId="000AA3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2" w:type="dxa"/>
                  <w:vMerge w:val="continue"/>
                  <w:noWrap w:val="0"/>
                  <w:vAlign w:val="center"/>
                </w:tcPr>
                <w:p w14:paraId="40953B66">
                  <w:pPr>
                    <w:keepNext w:val="0"/>
                    <w:keepLines w:val="0"/>
                    <w:suppressLineNumbers w:val="0"/>
                    <w:adjustRightInd w:val="0"/>
                    <w:snapToGrid w:val="0"/>
                    <w:spacing w:before="0" w:beforeAutospacing="0" w:after="0" w:afterAutospacing="0" w:line="240" w:lineRule="atLeast"/>
                    <w:ind w:left="0" w:right="0"/>
                    <w:jc w:val="center"/>
                    <w:outlineLvl w:val="0"/>
                    <w:rPr>
                      <w:rFonts w:hint="eastAsia" w:ascii="宋体" w:hAnsi="宋体" w:eastAsia="宋体" w:cs="宋体"/>
                      <w:snapToGrid w:val="0"/>
                      <w:kern w:val="0"/>
                      <w:sz w:val="21"/>
                      <w:szCs w:val="21"/>
                    </w:rPr>
                  </w:pPr>
                </w:p>
              </w:tc>
              <w:tc>
                <w:tcPr>
                  <w:tcW w:w="1605" w:type="dxa"/>
                  <w:noWrap w:val="0"/>
                  <w:vAlign w:val="center"/>
                </w:tcPr>
                <w:p w14:paraId="7FE0BB63">
                  <w:pPr>
                    <w:keepNext w:val="0"/>
                    <w:keepLines w:val="0"/>
                    <w:suppressLineNumbers w:val="0"/>
                    <w:adjustRightInd w:val="0"/>
                    <w:snapToGrid w:val="0"/>
                    <w:spacing w:before="0" w:beforeAutospacing="0" w:after="0" w:afterAutospacing="0" w:line="240" w:lineRule="atLeast"/>
                    <w:ind w:left="0" w:right="0"/>
                    <w:jc w:val="center"/>
                    <w:outlineLvl w:val="0"/>
                    <w:rPr>
                      <w:rFonts w:hint="default" w:ascii="宋体" w:hAnsi="宋体" w:eastAsia="宋体" w:cs="宋体"/>
                      <w:snapToGrid w:val="0"/>
                      <w:kern w:val="0"/>
                      <w:sz w:val="21"/>
                      <w:szCs w:val="21"/>
                      <w:lang w:val="en-US" w:eastAsia="zh-CN"/>
                    </w:rPr>
                  </w:pPr>
                  <w:r>
                    <w:rPr>
                      <w:rFonts w:hint="eastAsia" w:ascii="宋体" w:hAnsi="宋体" w:eastAsia="宋体" w:cs="宋体"/>
                      <w:snapToGrid w:val="0"/>
                      <w:kern w:val="0"/>
                      <w:sz w:val="21"/>
                      <w:szCs w:val="21"/>
                      <w:lang w:val="en-US" w:eastAsia="zh-CN"/>
                    </w:rPr>
                    <w:t>坝头村</w:t>
                  </w:r>
                </w:p>
              </w:tc>
              <w:tc>
                <w:tcPr>
                  <w:tcW w:w="1211" w:type="dxa"/>
                  <w:noWrap w:val="0"/>
                  <w:vAlign w:val="center"/>
                </w:tcPr>
                <w:p w14:paraId="5539C897">
                  <w:pPr>
                    <w:keepNext w:val="0"/>
                    <w:keepLines w:val="0"/>
                    <w:suppressLineNumbers w:val="0"/>
                    <w:adjustRightInd w:val="0"/>
                    <w:snapToGrid w:val="0"/>
                    <w:spacing w:before="0" w:beforeAutospacing="0" w:after="0" w:afterAutospacing="0" w:line="240" w:lineRule="atLeast"/>
                    <w:ind w:left="0" w:right="0"/>
                    <w:jc w:val="center"/>
                    <w:outlineLvl w:val="0"/>
                    <w:rPr>
                      <w:rFonts w:hint="eastAsia" w:ascii="宋体" w:hAnsi="宋体" w:eastAsia="宋体" w:cs="宋体"/>
                      <w:snapToGrid w:val="0"/>
                      <w:kern w:val="0"/>
                      <w:sz w:val="21"/>
                      <w:szCs w:val="21"/>
                      <w:lang w:val="en-US" w:eastAsia="zh-CN"/>
                    </w:rPr>
                  </w:pPr>
                  <w:r>
                    <w:rPr>
                      <w:rFonts w:hint="eastAsia" w:ascii="宋体" w:hAnsi="宋体" w:eastAsia="宋体" w:cs="宋体"/>
                      <w:snapToGrid w:val="0"/>
                      <w:kern w:val="0"/>
                      <w:sz w:val="21"/>
                      <w:szCs w:val="21"/>
                      <w:lang w:val="en-US" w:eastAsia="zh-CN"/>
                    </w:rPr>
                    <w:t>约150人</w:t>
                  </w:r>
                </w:p>
              </w:tc>
              <w:tc>
                <w:tcPr>
                  <w:tcW w:w="1275" w:type="dxa"/>
                  <w:vMerge w:val="continue"/>
                  <w:noWrap w:val="0"/>
                  <w:vAlign w:val="center"/>
                </w:tcPr>
                <w:p w14:paraId="3EDE1EDB">
                  <w:pPr>
                    <w:keepNext w:val="0"/>
                    <w:keepLines w:val="0"/>
                    <w:suppressLineNumbers w:val="0"/>
                    <w:adjustRightInd w:val="0"/>
                    <w:snapToGrid w:val="0"/>
                    <w:spacing w:before="0" w:beforeAutospacing="0" w:after="0" w:afterAutospacing="0" w:line="240" w:lineRule="atLeast"/>
                    <w:ind w:left="0" w:right="0"/>
                    <w:jc w:val="center"/>
                    <w:outlineLvl w:val="0"/>
                    <w:rPr>
                      <w:rFonts w:hint="eastAsia" w:ascii="宋体" w:hAnsi="宋体" w:eastAsia="宋体" w:cs="宋体"/>
                      <w:snapToGrid w:val="0"/>
                      <w:kern w:val="0"/>
                      <w:sz w:val="21"/>
                      <w:szCs w:val="21"/>
                    </w:rPr>
                  </w:pPr>
                </w:p>
              </w:tc>
              <w:tc>
                <w:tcPr>
                  <w:tcW w:w="1457" w:type="dxa"/>
                  <w:noWrap w:val="0"/>
                  <w:vAlign w:val="center"/>
                </w:tcPr>
                <w:p w14:paraId="3640F68A">
                  <w:pPr>
                    <w:keepNext w:val="0"/>
                    <w:keepLines w:val="0"/>
                    <w:suppressLineNumbers w:val="0"/>
                    <w:adjustRightInd w:val="0"/>
                    <w:snapToGrid w:val="0"/>
                    <w:spacing w:before="0" w:beforeAutospacing="0" w:after="0" w:afterAutospacing="0" w:line="240" w:lineRule="atLeast"/>
                    <w:ind w:left="0" w:right="0"/>
                    <w:jc w:val="center"/>
                    <w:outlineLvl w:val="0"/>
                    <w:rPr>
                      <w:rFonts w:hint="default" w:ascii="宋体" w:hAnsi="宋体" w:eastAsia="宋体" w:cs="宋体"/>
                      <w:snapToGrid w:val="0"/>
                      <w:kern w:val="0"/>
                      <w:sz w:val="21"/>
                      <w:szCs w:val="21"/>
                      <w:lang w:val="en-US" w:eastAsia="zh-CN"/>
                    </w:rPr>
                  </w:pPr>
                  <w:r>
                    <w:rPr>
                      <w:rFonts w:hint="eastAsia" w:ascii="宋体" w:hAnsi="宋体" w:eastAsia="宋体" w:cs="宋体"/>
                      <w:snapToGrid w:val="0"/>
                      <w:kern w:val="0"/>
                      <w:sz w:val="21"/>
                      <w:szCs w:val="21"/>
                      <w:lang w:val="en-US" w:eastAsia="zh-CN"/>
                    </w:rPr>
                    <w:t>东北</w:t>
                  </w:r>
                </w:p>
              </w:tc>
              <w:tc>
                <w:tcPr>
                  <w:tcW w:w="1595" w:type="dxa"/>
                  <w:noWrap w:val="0"/>
                  <w:vAlign w:val="center"/>
                </w:tcPr>
                <w:p w14:paraId="670895DA">
                  <w:pPr>
                    <w:keepNext w:val="0"/>
                    <w:keepLines w:val="0"/>
                    <w:suppressLineNumbers w:val="0"/>
                    <w:adjustRightInd w:val="0"/>
                    <w:snapToGrid w:val="0"/>
                    <w:spacing w:before="0" w:beforeAutospacing="0" w:after="0" w:afterAutospacing="0" w:line="240" w:lineRule="atLeast"/>
                    <w:ind w:left="0" w:right="0"/>
                    <w:jc w:val="center"/>
                    <w:outlineLvl w:val="0"/>
                    <w:rPr>
                      <w:rFonts w:hint="default" w:ascii="宋体" w:hAnsi="宋体" w:eastAsia="宋体" w:cs="宋体"/>
                      <w:snapToGrid w:val="0"/>
                      <w:kern w:val="0"/>
                      <w:sz w:val="21"/>
                      <w:szCs w:val="21"/>
                      <w:lang w:val="en-US" w:eastAsia="zh-CN"/>
                    </w:rPr>
                  </w:pPr>
                  <w:r>
                    <w:rPr>
                      <w:rFonts w:hint="eastAsia" w:ascii="宋体" w:hAnsi="宋体" w:eastAsia="宋体" w:cs="宋体"/>
                      <w:snapToGrid w:val="0"/>
                      <w:kern w:val="0"/>
                      <w:sz w:val="21"/>
                      <w:szCs w:val="21"/>
                      <w:lang w:val="en-US" w:eastAsia="zh-CN"/>
                    </w:rPr>
                    <w:t>340</w:t>
                  </w:r>
                </w:p>
              </w:tc>
            </w:tr>
            <w:tr w14:paraId="3BD910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2" w:type="dxa"/>
                  <w:vMerge w:val="continue"/>
                  <w:noWrap w:val="0"/>
                  <w:vAlign w:val="center"/>
                </w:tcPr>
                <w:p w14:paraId="51A2CE62">
                  <w:pPr>
                    <w:keepNext w:val="0"/>
                    <w:keepLines w:val="0"/>
                    <w:suppressLineNumbers w:val="0"/>
                    <w:adjustRightInd w:val="0"/>
                    <w:snapToGrid w:val="0"/>
                    <w:spacing w:before="0" w:beforeAutospacing="0" w:after="0" w:afterAutospacing="0" w:line="240" w:lineRule="atLeast"/>
                    <w:ind w:left="0" w:right="0"/>
                    <w:jc w:val="center"/>
                    <w:outlineLvl w:val="0"/>
                    <w:rPr>
                      <w:rFonts w:hint="eastAsia" w:ascii="宋体" w:hAnsi="宋体" w:eastAsia="宋体" w:cs="宋体"/>
                      <w:snapToGrid w:val="0"/>
                      <w:kern w:val="0"/>
                      <w:sz w:val="21"/>
                      <w:szCs w:val="21"/>
                    </w:rPr>
                  </w:pPr>
                </w:p>
              </w:tc>
              <w:tc>
                <w:tcPr>
                  <w:tcW w:w="1605" w:type="dxa"/>
                  <w:noWrap w:val="0"/>
                  <w:vAlign w:val="center"/>
                </w:tcPr>
                <w:p w14:paraId="385C8E57">
                  <w:pPr>
                    <w:keepNext w:val="0"/>
                    <w:keepLines w:val="0"/>
                    <w:suppressLineNumbers w:val="0"/>
                    <w:adjustRightInd w:val="0"/>
                    <w:snapToGrid w:val="0"/>
                    <w:spacing w:before="0" w:beforeAutospacing="0" w:after="0" w:afterAutospacing="0" w:line="240" w:lineRule="atLeast"/>
                    <w:ind w:left="0" w:right="0"/>
                    <w:jc w:val="center"/>
                    <w:outlineLvl w:val="0"/>
                    <w:rPr>
                      <w:rFonts w:hint="default" w:ascii="宋体" w:hAnsi="宋体" w:eastAsia="宋体" w:cs="宋体"/>
                      <w:snapToGrid w:val="0"/>
                      <w:kern w:val="0"/>
                      <w:sz w:val="21"/>
                      <w:szCs w:val="21"/>
                      <w:lang w:val="en-US" w:eastAsia="zh-CN"/>
                    </w:rPr>
                  </w:pPr>
                  <w:r>
                    <w:rPr>
                      <w:rFonts w:hint="eastAsia" w:ascii="宋体" w:hAnsi="宋体" w:eastAsia="宋体" w:cs="宋体"/>
                      <w:snapToGrid w:val="0"/>
                      <w:kern w:val="0"/>
                      <w:sz w:val="21"/>
                      <w:szCs w:val="21"/>
                      <w:lang w:val="en-US" w:eastAsia="zh-CN"/>
                    </w:rPr>
                    <w:t>句容市边城卫生院</w:t>
                  </w:r>
                </w:p>
              </w:tc>
              <w:tc>
                <w:tcPr>
                  <w:tcW w:w="1211" w:type="dxa"/>
                  <w:noWrap w:val="0"/>
                  <w:vAlign w:val="center"/>
                </w:tcPr>
                <w:p w14:paraId="548182F2">
                  <w:pPr>
                    <w:keepNext w:val="0"/>
                    <w:keepLines w:val="0"/>
                    <w:suppressLineNumbers w:val="0"/>
                    <w:adjustRightInd w:val="0"/>
                    <w:snapToGrid w:val="0"/>
                    <w:spacing w:before="0" w:beforeAutospacing="0" w:after="0" w:afterAutospacing="0" w:line="240" w:lineRule="atLeast"/>
                    <w:ind w:left="0" w:right="0"/>
                    <w:jc w:val="center"/>
                    <w:outlineLvl w:val="0"/>
                    <w:rPr>
                      <w:rFonts w:hint="eastAsia" w:ascii="宋体" w:hAnsi="宋体" w:eastAsia="宋体" w:cs="宋体"/>
                      <w:snapToGrid w:val="0"/>
                      <w:kern w:val="0"/>
                      <w:sz w:val="21"/>
                      <w:szCs w:val="21"/>
                      <w:lang w:val="en-US" w:eastAsia="zh-CN"/>
                    </w:rPr>
                  </w:pPr>
                  <w:r>
                    <w:rPr>
                      <w:rFonts w:hint="eastAsia" w:ascii="宋体" w:hAnsi="宋体" w:eastAsia="宋体" w:cs="宋体"/>
                      <w:snapToGrid w:val="0"/>
                      <w:kern w:val="0"/>
                      <w:sz w:val="21"/>
                      <w:szCs w:val="21"/>
                      <w:lang w:val="en-US" w:eastAsia="zh-CN"/>
                    </w:rPr>
                    <w:t>约40人</w:t>
                  </w:r>
                </w:p>
              </w:tc>
              <w:tc>
                <w:tcPr>
                  <w:tcW w:w="1275" w:type="dxa"/>
                  <w:vMerge w:val="continue"/>
                  <w:noWrap w:val="0"/>
                  <w:vAlign w:val="center"/>
                </w:tcPr>
                <w:p w14:paraId="41F6E75D">
                  <w:pPr>
                    <w:keepNext w:val="0"/>
                    <w:keepLines w:val="0"/>
                    <w:suppressLineNumbers w:val="0"/>
                    <w:adjustRightInd w:val="0"/>
                    <w:snapToGrid w:val="0"/>
                    <w:spacing w:before="0" w:beforeAutospacing="0" w:after="0" w:afterAutospacing="0" w:line="240" w:lineRule="atLeast"/>
                    <w:ind w:left="0" w:right="0"/>
                    <w:jc w:val="center"/>
                    <w:outlineLvl w:val="0"/>
                    <w:rPr>
                      <w:rFonts w:hint="eastAsia" w:ascii="宋体" w:hAnsi="宋体" w:eastAsia="宋体" w:cs="宋体"/>
                      <w:snapToGrid w:val="0"/>
                      <w:kern w:val="0"/>
                      <w:sz w:val="21"/>
                      <w:szCs w:val="21"/>
                    </w:rPr>
                  </w:pPr>
                </w:p>
              </w:tc>
              <w:tc>
                <w:tcPr>
                  <w:tcW w:w="1457" w:type="dxa"/>
                  <w:noWrap w:val="0"/>
                  <w:vAlign w:val="center"/>
                </w:tcPr>
                <w:p w14:paraId="7732C8EF">
                  <w:pPr>
                    <w:keepNext w:val="0"/>
                    <w:keepLines w:val="0"/>
                    <w:suppressLineNumbers w:val="0"/>
                    <w:adjustRightInd w:val="0"/>
                    <w:snapToGrid w:val="0"/>
                    <w:spacing w:before="0" w:beforeAutospacing="0" w:after="0" w:afterAutospacing="0" w:line="240" w:lineRule="atLeast"/>
                    <w:ind w:left="0" w:right="0"/>
                    <w:jc w:val="center"/>
                    <w:outlineLvl w:val="0"/>
                    <w:rPr>
                      <w:rFonts w:hint="default" w:ascii="宋体" w:hAnsi="宋体" w:eastAsia="宋体" w:cs="宋体"/>
                      <w:snapToGrid w:val="0"/>
                      <w:kern w:val="0"/>
                      <w:sz w:val="21"/>
                      <w:szCs w:val="21"/>
                      <w:lang w:val="en-US" w:eastAsia="zh-CN"/>
                    </w:rPr>
                  </w:pPr>
                  <w:r>
                    <w:rPr>
                      <w:rFonts w:hint="eastAsia" w:ascii="宋体" w:hAnsi="宋体" w:eastAsia="宋体" w:cs="宋体"/>
                      <w:snapToGrid w:val="0"/>
                      <w:kern w:val="0"/>
                      <w:sz w:val="21"/>
                      <w:szCs w:val="21"/>
                      <w:lang w:val="en-US" w:eastAsia="zh-CN"/>
                    </w:rPr>
                    <w:t>北</w:t>
                  </w:r>
                </w:p>
              </w:tc>
              <w:tc>
                <w:tcPr>
                  <w:tcW w:w="1595" w:type="dxa"/>
                  <w:noWrap w:val="0"/>
                  <w:vAlign w:val="center"/>
                </w:tcPr>
                <w:p w14:paraId="070D2680">
                  <w:pPr>
                    <w:keepNext w:val="0"/>
                    <w:keepLines w:val="0"/>
                    <w:suppressLineNumbers w:val="0"/>
                    <w:adjustRightInd w:val="0"/>
                    <w:snapToGrid w:val="0"/>
                    <w:spacing w:before="0" w:beforeAutospacing="0" w:after="0" w:afterAutospacing="0" w:line="240" w:lineRule="atLeast"/>
                    <w:ind w:left="0" w:right="0"/>
                    <w:jc w:val="center"/>
                    <w:outlineLvl w:val="0"/>
                    <w:rPr>
                      <w:rFonts w:hint="default" w:ascii="宋体" w:hAnsi="宋体" w:eastAsia="宋体" w:cs="宋体"/>
                      <w:snapToGrid w:val="0"/>
                      <w:kern w:val="0"/>
                      <w:sz w:val="21"/>
                      <w:szCs w:val="21"/>
                      <w:lang w:val="en-US" w:eastAsia="zh-CN"/>
                    </w:rPr>
                  </w:pPr>
                  <w:r>
                    <w:rPr>
                      <w:rFonts w:hint="eastAsia" w:ascii="宋体" w:hAnsi="宋体" w:eastAsia="宋体" w:cs="宋体"/>
                      <w:snapToGrid w:val="0"/>
                      <w:kern w:val="0"/>
                      <w:sz w:val="21"/>
                      <w:szCs w:val="21"/>
                      <w:lang w:val="en-US" w:eastAsia="zh-CN"/>
                    </w:rPr>
                    <w:t>425</w:t>
                  </w:r>
                </w:p>
              </w:tc>
            </w:tr>
            <w:tr w14:paraId="507565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2" w:type="dxa"/>
                  <w:vMerge w:val="continue"/>
                  <w:noWrap w:val="0"/>
                  <w:vAlign w:val="center"/>
                </w:tcPr>
                <w:p w14:paraId="03DBEC9F">
                  <w:pPr>
                    <w:keepNext w:val="0"/>
                    <w:keepLines w:val="0"/>
                    <w:suppressLineNumbers w:val="0"/>
                    <w:adjustRightInd w:val="0"/>
                    <w:snapToGrid w:val="0"/>
                    <w:spacing w:before="0" w:beforeAutospacing="0" w:after="0" w:afterAutospacing="0" w:line="240" w:lineRule="atLeast"/>
                    <w:ind w:left="0" w:right="0"/>
                    <w:jc w:val="center"/>
                    <w:outlineLvl w:val="0"/>
                    <w:rPr>
                      <w:rFonts w:hint="eastAsia" w:ascii="宋体" w:hAnsi="宋体" w:eastAsia="宋体" w:cs="宋体"/>
                      <w:snapToGrid w:val="0"/>
                      <w:kern w:val="0"/>
                      <w:sz w:val="21"/>
                      <w:szCs w:val="21"/>
                    </w:rPr>
                  </w:pPr>
                </w:p>
              </w:tc>
              <w:tc>
                <w:tcPr>
                  <w:tcW w:w="1605" w:type="dxa"/>
                  <w:noWrap w:val="0"/>
                  <w:vAlign w:val="center"/>
                </w:tcPr>
                <w:p w14:paraId="239096AE">
                  <w:pPr>
                    <w:keepNext w:val="0"/>
                    <w:keepLines w:val="0"/>
                    <w:suppressLineNumbers w:val="0"/>
                    <w:adjustRightInd w:val="0"/>
                    <w:snapToGrid w:val="0"/>
                    <w:spacing w:before="0" w:beforeAutospacing="0" w:after="0" w:afterAutospacing="0" w:line="240" w:lineRule="atLeast"/>
                    <w:ind w:left="0" w:right="0"/>
                    <w:jc w:val="center"/>
                    <w:outlineLvl w:val="0"/>
                    <w:rPr>
                      <w:rFonts w:hint="default" w:ascii="宋体" w:hAnsi="宋体" w:eastAsia="宋体" w:cs="宋体"/>
                      <w:snapToGrid w:val="0"/>
                      <w:kern w:val="0"/>
                      <w:sz w:val="21"/>
                      <w:szCs w:val="21"/>
                      <w:lang w:val="en-US" w:eastAsia="zh-CN"/>
                    </w:rPr>
                  </w:pPr>
                  <w:r>
                    <w:rPr>
                      <w:rFonts w:hint="eastAsia" w:ascii="宋体" w:hAnsi="宋体" w:eastAsia="宋体" w:cs="宋体"/>
                      <w:snapToGrid w:val="0"/>
                      <w:kern w:val="0"/>
                      <w:sz w:val="21"/>
                      <w:szCs w:val="21"/>
                      <w:lang w:val="en-US" w:eastAsia="zh-CN"/>
                    </w:rPr>
                    <w:t>陈武庄</w:t>
                  </w:r>
                </w:p>
              </w:tc>
              <w:tc>
                <w:tcPr>
                  <w:tcW w:w="1211" w:type="dxa"/>
                  <w:noWrap w:val="0"/>
                  <w:vAlign w:val="center"/>
                </w:tcPr>
                <w:p w14:paraId="13294073">
                  <w:pPr>
                    <w:keepNext w:val="0"/>
                    <w:keepLines w:val="0"/>
                    <w:suppressLineNumbers w:val="0"/>
                    <w:adjustRightInd w:val="0"/>
                    <w:snapToGrid w:val="0"/>
                    <w:spacing w:before="0" w:beforeAutospacing="0" w:after="0" w:afterAutospacing="0" w:line="240" w:lineRule="atLeast"/>
                    <w:ind w:left="0" w:right="0"/>
                    <w:jc w:val="center"/>
                    <w:outlineLvl w:val="0"/>
                    <w:rPr>
                      <w:rFonts w:hint="eastAsia" w:ascii="宋体" w:hAnsi="宋体" w:eastAsia="宋体" w:cs="宋体"/>
                      <w:snapToGrid w:val="0"/>
                      <w:kern w:val="0"/>
                      <w:sz w:val="21"/>
                      <w:szCs w:val="21"/>
                      <w:lang w:val="en-US" w:eastAsia="zh-CN"/>
                    </w:rPr>
                  </w:pPr>
                  <w:r>
                    <w:rPr>
                      <w:rFonts w:hint="eastAsia" w:ascii="宋体" w:hAnsi="宋体" w:eastAsia="宋体" w:cs="宋体"/>
                      <w:snapToGrid w:val="0"/>
                      <w:kern w:val="0"/>
                      <w:sz w:val="21"/>
                      <w:szCs w:val="21"/>
                      <w:lang w:val="en-US" w:eastAsia="zh-CN"/>
                    </w:rPr>
                    <w:t>约300人</w:t>
                  </w:r>
                </w:p>
              </w:tc>
              <w:tc>
                <w:tcPr>
                  <w:tcW w:w="1275" w:type="dxa"/>
                  <w:vMerge w:val="continue"/>
                  <w:noWrap w:val="0"/>
                  <w:vAlign w:val="center"/>
                </w:tcPr>
                <w:p w14:paraId="5C5A29FC">
                  <w:pPr>
                    <w:keepNext w:val="0"/>
                    <w:keepLines w:val="0"/>
                    <w:suppressLineNumbers w:val="0"/>
                    <w:adjustRightInd w:val="0"/>
                    <w:snapToGrid w:val="0"/>
                    <w:spacing w:before="0" w:beforeAutospacing="0" w:after="0" w:afterAutospacing="0" w:line="240" w:lineRule="atLeast"/>
                    <w:ind w:left="0" w:right="0"/>
                    <w:jc w:val="center"/>
                    <w:outlineLvl w:val="0"/>
                    <w:rPr>
                      <w:rFonts w:hint="eastAsia" w:ascii="宋体" w:hAnsi="宋体" w:eastAsia="宋体" w:cs="宋体"/>
                      <w:snapToGrid w:val="0"/>
                      <w:kern w:val="0"/>
                      <w:sz w:val="21"/>
                      <w:szCs w:val="21"/>
                    </w:rPr>
                  </w:pPr>
                </w:p>
              </w:tc>
              <w:tc>
                <w:tcPr>
                  <w:tcW w:w="1457" w:type="dxa"/>
                  <w:noWrap w:val="0"/>
                  <w:vAlign w:val="center"/>
                </w:tcPr>
                <w:p w14:paraId="6C39A802">
                  <w:pPr>
                    <w:keepNext w:val="0"/>
                    <w:keepLines w:val="0"/>
                    <w:suppressLineNumbers w:val="0"/>
                    <w:adjustRightInd w:val="0"/>
                    <w:snapToGrid w:val="0"/>
                    <w:spacing w:before="0" w:beforeAutospacing="0" w:after="0" w:afterAutospacing="0" w:line="240" w:lineRule="atLeast"/>
                    <w:ind w:left="0" w:right="0"/>
                    <w:jc w:val="center"/>
                    <w:outlineLvl w:val="0"/>
                    <w:rPr>
                      <w:rFonts w:hint="default" w:ascii="宋体" w:hAnsi="宋体" w:eastAsia="宋体" w:cs="宋体"/>
                      <w:snapToGrid w:val="0"/>
                      <w:kern w:val="0"/>
                      <w:sz w:val="21"/>
                      <w:szCs w:val="21"/>
                      <w:lang w:val="en-US" w:eastAsia="zh-CN"/>
                    </w:rPr>
                  </w:pPr>
                  <w:r>
                    <w:rPr>
                      <w:rFonts w:hint="eastAsia" w:ascii="宋体" w:hAnsi="宋体" w:eastAsia="宋体" w:cs="宋体"/>
                      <w:snapToGrid w:val="0"/>
                      <w:kern w:val="0"/>
                      <w:sz w:val="21"/>
                      <w:szCs w:val="21"/>
                      <w:lang w:val="en-US" w:eastAsia="zh-CN"/>
                    </w:rPr>
                    <w:t>西北</w:t>
                  </w:r>
                </w:p>
              </w:tc>
              <w:tc>
                <w:tcPr>
                  <w:tcW w:w="1595" w:type="dxa"/>
                  <w:noWrap w:val="0"/>
                  <w:vAlign w:val="center"/>
                </w:tcPr>
                <w:p w14:paraId="4CE9FDBB">
                  <w:pPr>
                    <w:keepNext w:val="0"/>
                    <w:keepLines w:val="0"/>
                    <w:suppressLineNumbers w:val="0"/>
                    <w:adjustRightInd w:val="0"/>
                    <w:snapToGrid w:val="0"/>
                    <w:spacing w:before="0" w:beforeAutospacing="0" w:after="0" w:afterAutospacing="0" w:line="240" w:lineRule="atLeast"/>
                    <w:ind w:left="0" w:right="0"/>
                    <w:jc w:val="center"/>
                    <w:outlineLvl w:val="0"/>
                    <w:rPr>
                      <w:rFonts w:hint="default" w:ascii="宋体" w:hAnsi="宋体" w:eastAsia="宋体" w:cs="宋体"/>
                      <w:snapToGrid w:val="0"/>
                      <w:kern w:val="0"/>
                      <w:sz w:val="21"/>
                      <w:szCs w:val="21"/>
                      <w:lang w:val="en-US" w:eastAsia="zh-CN"/>
                    </w:rPr>
                  </w:pPr>
                  <w:r>
                    <w:rPr>
                      <w:rFonts w:hint="eastAsia" w:ascii="宋体" w:hAnsi="宋体" w:eastAsia="宋体" w:cs="宋体"/>
                      <w:snapToGrid w:val="0"/>
                      <w:kern w:val="0"/>
                      <w:sz w:val="21"/>
                      <w:szCs w:val="21"/>
                      <w:lang w:val="en-US" w:eastAsia="zh-CN"/>
                    </w:rPr>
                    <w:t>300</w:t>
                  </w:r>
                </w:p>
              </w:tc>
            </w:tr>
            <w:tr w14:paraId="697DFD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2" w:type="dxa"/>
                  <w:vMerge w:val="continue"/>
                  <w:noWrap w:val="0"/>
                  <w:vAlign w:val="center"/>
                </w:tcPr>
                <w:p w14:paraId="415C3682">
                  <w:pPr>
                    <w:keepNext w:val="0"/>
                    <w:keepLines w:val="0"/>
                    <w:suppressLineNumbers w:val="0"/>
                    <w:adjustRightInd w:val="0"/>
                    <w:snapToGrid w:val="0"/>
                    <w:spacing w:before="0" w:beforeAutospacing="0" w:after="0" w:afterAutospacing="0" w:line="240" w:lineRule="atLeast"/>
                    <w:ind w:left="0" w:right="0"/>
                    <w:jc w:val="center"/>
                    <w:outlineLvl w:val="0"/>
                    <w:rPr>
                      <w:rFonts w:hint="eastAsia" w:ascii="宋体" w:hAnsi="宋体" w:eastAsia="宋体" w:cs="宋体"/>
                      <w:snapToGrid w:val="0"/>
                      <w:kern w:val="0"/>
                      <w:sz w:val="21"/>
                      <w:szCs w:val="21"/>
                    </w:rPr>
                  </w:pPr>
                </w:p>
              </w:tc>
              <w:tc>
                <w:tcPr>
                  <w:tcW w:w="1605" w:type="dxa"/>
                  <w:noWrap w:val="0"/>
                  <w:vAlign w:val="center"/>
                </w:tcPr>
                <w:p w14:paraId="03038332">
                  <w:pPr>
                    <w:keepNext w:val="0"/>
                    <w:keepLines w:val="0"/>
                    <w:suppressLineNumbers w:val="0"/>
                    <w:adjustRightInd w:val="0"/>
                    <w:snapToGrid w:val="0"/>
                    <w:spacing w:before="0" w:beforeAutospacing="0" w:after="0" w:afterAutospacing="0" w:line="240" w:lineRule="atLeast"/>
                    <w:ind w:left="0" w:right="0"/>
                    <w:jc w:val="center"/>
                    <w:outlineLvl w:val="0"/>
                    <w:rPr>
                      <w:rFonts w:hint="default" w:ascii="宋体" w:hAnsi="宋体" w:eastAsia="宋体" w:cs="宋体"/>
                      <w:snapToGrid w:val="0"/>
                      <w:kern w:val="0"/>
                      <w:sz w:val="21"/>
                      <w:szCs w:val="21"/>
                      <w:lang w:val="en-US" w:eastAsia="zh-CN"/>
                    </w:rPr>
                  </w:pPr>
                  <w:r>
                    <w:rPr>
                      <w:rFonts w:hint="eastAsia" w:ascii="宋体" w:hAnsi="宋体" w:eastAsia="宋体" w:cs="宋体"/>
                      <w:snapToGrid w:val="0"/>
                      <w:kern w:val="0"/>
                      <w:sz w:val="21"/>
                      <w:szCs w:val="21"/>
                      <w:lang w:val="en-US" w:eastAsia="zh-CN"/>
                    </w:rPr>
                    <w:t>句容市边城中学</w:t>
                  </w:r>
                </w:p>
              </w:tc>
              <w:tc>
                <w:tcPr>
                  <w:tcW w:w="1211" w:type="dxa"/>
                  <w:noWrap w:val="0"/>
                  <w:vAlign w:val="center"/>
                </w:tcPr>
                <w:p w14:paraId="22D3FAEE">
                  <w:pPr>
                    <w:keepNext w:val="0"/>
                    <w:keepLines w:val="0"/>
                    <w:suppressLineNumbers w:val="0"/>
                    <w:adjustRightInd w:val="0"/>
                    <w:snapToGrid w:val="0"/>
                    <w:spacing w:before="0" w:beforeAutospacing="0" w:after="0" w:afterAutospacing="0" w:line="240" w:lineRule="atLeast"/>
                    <w:ind w:left="0" w:right="0"/>
                    <w:jc w:val="center"/>
                    <w:outlineLvl w:val="0"/>
                    <w:rPr>
                      <w:rFonts w:hint="eastAsia" w:ascii="宋体" w:hAnsi="宋体" w:eastAsia="宋体" w:cs="宋体"/>
                      <w:snapToGrid w:val="0"/>
                      <w:kern w:val="0"/>
                      <w:sz w:val="21"/>
                      <w:szCs w:val="21"/>
                      <w:lang w:val="en-US" w:eastAsia="zh-CN"/>
                    </w:rPr>
                  </w:pPr>
                  <w:r>
                    <w:rPr>
                      <w:rFonts w:hint="eastAsia" w:ascii="宋体" w:hAnsi="宋体" w:eastAsia="宋体" w:cs="宋体"/>
                      <w:snapToGrid w:val="0"/>
                      <w:kern w:val="0"/>
                      <w:sz w:val="21"/>
                      <w:szCs w:val="21"/>
                      <w:lang w:val="en-US" w:eastAsia="zh-CN"/>
                    </w:rPr>
                    <w:t>约500人</w:t>
                  </w:r>
                </w:p>
              </w:tc>
              <w:tc>
                <w:tcPr>
                  <w:tcW w:w="1275" w:type="dxa"/>
                  <w:vMerge w:val="continue"/>
                  <w:noWrap w:val="0"/>
                  <w:vAlign w:val="center"/>
                </w:tcPr>
                <w:p w14:paraId="1742102A">
                  <w:pPr>
                    <w:keepNext w:val="0"/>
                    <w:keepLines w:val="0"/>
                    <w:suppressLineNumbers w:val="0"/>
                    <w:adjustRightInd w:val="0"/>
                    <w:snapToGrid w:val="0"/>
                    <w:spacing w:before="0" w:beforeAutospacing="0" w:after="0" w:afterAutospacing="0" w:line="240" w:lineRule="atLeast"/>
                    <w:ind w:left="0" w:right="0"/>
                    <w:jc w:val="center"/>
                    <w:outlineLvl w:val="0"/>
                    <w:rPr>
                      <w:rFonts w:hint="eastAsia" w:ascii="宋体" w:hAnsi="宋体" w:eastAsia="宋体" w:cs="宋体"/>
                      <w:snapToGrid w:val="0"/>
                      <w:kern w:val="0"/>
                      <w:sz w:val="21"/>
                      <w:szCs w:val="21"/>
                    </w:rPr>
                  </w:pPr>
                </w:p>
              </w:tc>
              <w:tc>
                <w:tcPr>
                  <w:tcW w:w="1457" w:type="dxa"/>
                  <w:noWrap w:val="0"/>
                  <w:vAlign w:val="center"/>
                </w:tcPr>
                <w:p w14:paraId="5EEF2C7F">
                  <w:pPr>
                    <w:keepNext w:val="0"/>
                    <w:keepLines w:val="0"/>
                    <w:suppressLineNumbers w:val="0"/>
                    <w:adjustRightInd w:val="0"/>
                    <w:snapToGrid w:val="0"/>
                    <w:spacing w:before="0" w:beforeAutospacing="0" w:after="0" w:afterAutospacing="0" w:line="240" w:lineRule="atLeast"/>
                    <w:ind w:left="0" w:right="0"/>
                    <w:jc w:val="center"/>
                    <w:outlineLvl w:val="0"/>
                    <w:rPr>
                      <w:rFonts w:hint="default" w:ascii="宋体" w:hAnsi="宋体" w:eastAsia="宋体" w:cs="宋体"/>
                      <w:snapToGrid w:val="0"/>
                      <w:kern w:val="0"/>
                      <w:sz w:val="21"/>
                      <w:szCs w:val="21"/>
                      <w:lang w:val="en-US" w:eastAsia="zh-CN"/>
                    </w:rPr>
                  </w:pPr>
                  <w:r>
                    <w:rPr>
                      <w:rFonts w:hint="eastAsia" w:ascii="宋体" w:hAnsi="宋体" w:eastAsia="宋体" w:cs="宋体"/>
                      <w:snapToGrid w:val="0"/>
                      <w:kern w:val="0"/>
                      <w:sz w:val="21"/>
                      <w:szCs w:val="21"/>
                      <w:lang w:val="en-US" w:eastAsia="zh-CN"/>
                    </w:rPr>
                    <w:t>西</w:t>
                  </w:r>
                </w:p>
              </w:tc>
              <w:tc>
                <w:tcPr>
                  <w:tcW w:w="1595" w:type="dxa"/>
                  <w:noWrap w:val="0"/>
                  <w:vAlign w:val="center"/>
                </w:tcPr>
                <w:p w14:paraId="51FDFCA5">
                  <w:pPr>
                    <w:keepNext w:val="0"/>
                    <w:keepLines w:val="0"/>
                    <w:suppressLineNumbers w:val="0"/>
                    <w:adjustRightInd w:val="0"/>
                    <w:snapToGrid w:val="0"/>
                    <w:spacing w:before="0" w:beforeAutospacing="0" w:after="0" w:afterAutospacing="0" w:line="240" w:lineRule="atLeast"/>
                    <w:ind w:left="0" w:right="0"/>
                    <w:jc w:val="center"/>
                    <w:outlineLvl w:val="0"/>
                    <w:rPr>
                      <w:rFonts w:hint="default" w:ascii="宋体" w:hAnsi="宋体" w:eastAsia="宋体" w:cs="宋体"/>
                      <w:snapToGrid w:val="0"/>
                      <w:kern w:val="0"/>
                      <w:sz w:val="21"/>
                      <w:szCs w:val="21"/>
                      <w:lang w:val="en-US" w:eastAsia="zh-CN"/>
                    </w:rPr>
                  </w:pPr>
                  <w:r>
                    <w:rPr>
                      <w:rFonts w:hint="eastAsia" w:ascii="宋体" w:hAnsi="宋体" w:eastAsia="宋体" w:cs="宋体"/>
                      <w:snapToGrid w:val="0"/>
                      <w:kern w:val="0"/>
                      <w:sz w:val="21"/>
                      <w:szCs w:val="21"/>
                      <w:lang w:val="en-US" w:eastAsia="zh-CN"/>
                    </w:rPr>
                    <w:t>400</w:t>
                  </w:r>
                </w:p>
              </w:tc>
            </w:tr>
            <w:tr w14:paraId="3BA18F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902" w:type="dxa"/>
                  <w:noWrap w:val="0"/>
                  <w:vAlign w:val="center"/>
                </w:tcPr>
                <w:p w14:paraId="2332079E">
                  <w:pPr>
                    <w:keepNext w:val="0"/>
                    <w:keepLines w:val="0"/>
                    <w:suppressLineNumbers w:val="0"/>
                    <w:adjustRightInd w:val="0"/>
                    <w:snapToGrid w:val="0"/>
                    <w:spacing w:before="0" w:beforeAutospacing="0" w:after="0" w:afterAutospacing="0" w:line="240" w:lineRule="atLeast"/>
                    <w:ind w:left="0" w:right="0"/>
                    <w:jc w:val="center"/>
                    <w:outlineLvl w:val="0"/>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水环境</w:t>
                  </w:r>
                  <w:bookmarkEnd w:id="74"/>
                  <w:bookmarkEnd w:id="75"/>
                </w:p>
              </w:tc>
              <w:tc>
                <w:tcPr>
                  <w:tcW w:w="1605" w:type="dxa"/>
                  <w:noWrap w:val="0"/>
                  <w:vAlign w:val="center"/>
                </w:tcPr>
                <w:p w14:paraId="70AE4521">
                  <w:pPr>
                    <w:keepNext w:val="0"/>
                    <w:keepLines w:val="0"/>
                    <w:suppressLineNumbers w:val="0"/>
                    <w:adjustRightInd w:val="0"/>
                    <w:snapToGrid w:val="0"/>
                    <w:spacing w:before="0" w:beforeAutospacing="0" w:after="0" w:afterAutospacing="0" w:line="240" w:lineRule="atLeast"/>
                    <w:ind w:left="0" w:leftChars="0" w:right="0" w:rightChars="0" w:firstLine="105" w:firstLineChars="5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w:t>
                  </w:r>
                </w:p>
              </w:tc>
              <w:tc>
                <w:tcPr>
                  <w:tcW w:w="1211" w:type="dxa"/>
                  <w:noWrap w:val="0"/>
                  <w:vAlign w:val="center"/>
                </w:tcPr>
                <w:p w14:paraId="73E41EA8">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w:t>
                  </w:r>
                </w:p>
              </w:tc>
              <w:tc>
                <w:tcPr>
                  <w:tcW w:w="1275" w:type="dxa"/>
                  <w:noWrap w:val="0"/>
                  <w:vAlign w:val="center"/>
                </w:tcPr>
                <w:p w14:paraId="77792B51">
                  <w:pPr>
                    <w:keepNext w:val="0"/>
                    <w:keepLines w:val="0"/>
                    <w:suppressLineNumbers w:val="0"/>
                    <w:adjustRightInd w:val="0"/>
                    <w:snapToGrid w:val="0"/>
                    <w:spacing w:before="0" w:beforeAutospacing="0" w:after="0" w:afterAutospacing="0" w:line="240" w:lineRule="atLeast"/>
                    <w:ind w:left="0" w:leftChars="0" w:right="0" w:rightChars="0"/>
                    <w:jc w:val="center"/>
                    <w:outlineLvl w:val="0"/>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w:t>
                  </w:r>
                </w:p>
              </w:tc>
              <w:tc>
                <w:tcPr>
                  <w:tcW w:w="1457" w:type="dxa"/>
                  <w:noWrap w:val="0"/>
                  <w:vAlign w:val="center"/>
                </w:tcPr>
                <w:p w14:paraId="0502111F">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w:t>
                  </w:r>
                </w:p>
              </w:tc>
              <w:tc>
                <w:tcPr>
                  <w:tcW w:w="1595" w:type="dxa"/>
                  <w:noWrap w:val="0"/>
                  <w:vAlign w:val="center"/>
                </w:tcPr>
                <w:p w14:paraId="482B78A2">
                  <w:pPr>
                    <w:keepNext w:val="0"/>
                    <w:keepLines w:val="0"/>
                    <w:suppressLineNumbers w:val="0"/>
                    <w:adjustRightInd w:val="0"/>
                    <w:snapToGrid w:val="0"/>
                    <w:spacing w:before="0" w:beforeAutospacing="0" w:after="0" w:afterAutospacing="0" w:line="240" w:lineRule="atLeast"/>
                    <w:ind w:left="0" w:leftChars="0" w:right="0" w:rightChars="0"/>
                    <w:jc w:val="center"/>
                    <w:rPr>
                      <w:rFonts w:hint="default" w:ascii="宋体" w:hAnsi="宋体" w:eastAsia="宋体" w:cs="宋体"/>
                      <w:snapToGrid w:val="0"/>
                      <w:kern w:val="0"/>
                      <w:sz w:val="21"/>
                      <w:szCs w:val="21"/>
                    </w:rPr>
                  </w:pPr>
                  <w:r>
                    <w:rPr>
                      <w:rFonts w:hint="eastAsia" w:ascii="宋体" w:hAnsi="宋体" w:eastAsia="宋体" w:cs="宋体"/>
                      <w:snapToGrid w:val="0"/>
                      <w:kern w:val="0"/>
                      <w:sz w:val="21"/>
                      <w:szCs w:val="21"/>
                    </w:rPr>
                    <w:t>/</w:t>
                  </w:r>
                </w:p>
              </w:tc>
            </w:tr>
            <w:tr w14:paraId="490A5B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902" w:type="dxa"/>
                  <w:vMerge w:val="restart"/>
                  <w:noWrap w:val="0"/>
                  <w:vAlign w:val="center"/>
                </w:tcPr>
                <w:p w14:paraId="34415C75">
                  <w:pPr>
                    <w:keepNext w:val="0"/>
                    <w:keepLines w:val="0"/>
                    <w:suppressLineNumbers w:val="0"/>
                    <w:adjustRightInd w:val="0"/>
                    <w:snapToGrid w:val="0"/>
                    <w:spacing w:before="0" w:beforeAutospacing="0" w:after="0" w:afterAutospacing="0" w:line="240" w:lineRule="atLeast"/>
                    <w:ind w:left="0" w:right="0"/>
                    <w:jc w:val="center"/>
                    <w:outlineLvl w:val="0"/>
                    <w:rPr>
                      <w:rFonts w:hint="eastAsia" w:ascii="宋体" w:hAnsi="宋体" w:eastAsia="宋体" w:cs="宋体"/>
                      <w:snapToGrid w:val="0"/>
                      <w:kern w:val="0"/>
                      <w:sz w:val="21"/>
                      <w:szCs w:val="21"/>
                    </w:rPr>
                  </w:pPr>
                  <w:bookmarkStart w:id="76" w:name="_Toc29795"/>
                  <w:bookmarkStart w:id="77" w:name="_Toc1986"/>
                  <w:r>
                    <w:rPr>
                      <w:rFonts w:hint="eastAsia" w:ascii="宋体" w:hAnsi="宋体" w:eastAsia="宋体" w:cs="宋体"/>
                      <w:snapToGrid w:val="0"/>
                      <w:kern w:val="0"/>
                      <w:sz w:val="21"/>
                      <w:szCs w:val="21"/>
                    </w:rPr>
                    <w:t>声环境</w:t>
                  </w:r>
                  <w:bookmarkEnd w:id="76"/>
                  <w:bookmarkEnd w:id="77"/>
                </w:p>
              </w:tc>
              <w:tc>
                <w:tcPr>
                  <w:tcW w:w="1605" w:type="dxa"/>
                  <w:noWrap w:val="0"/>
                  <w:vAlign w:val="center"/>
                </w:tcPr>
                <w:p w14:paraId="2157138E">
                  <w:pPr>
                    <w:keepNext w:val="0"/>
                    <w:keepLines w:val="0"/>
                    <w:suppressLineNumbers w:val="0"/>
                    <w:adjustRightInd w:val="0"/>
                    <w:snapToGrid w:val="0"/>
                    <w:spacing w:before="0" w:beforeAutospacing="0" w:after="0" w:afterAutospacing="0" w:line="240" w:lineRule="atLeast"/>
                    <w:ind w:left="0" w:leftChars="0" w:right="0" w:rightChars="0"/>
                    <w:jc w:val="center"/>
                    <w:outlineLvl w:val="0"/>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lang w:val="en-US" w:eastAsia="zh-CN"/>
                    </w:rPr>
                    <w:t>陈武村</w:t>
                  </w:r>
                </w:p>
              </w:tc>
              <w:tc>
                <w:tcPr>
                  <w:tcW w:w="1211" w:type="dxa"/>
                  <w:noWrap w:val="0"/>
                  <w:vAlign w:val="center"/>
                </w:tcPr>
                <w:p w14:paraId="2BEF6EF3">
                  <w:pPr>
                    <w:keepNext w:val="0"/>
                    <w:keepLines w:val="0"/>
                    <w:suppressLineNumbers w:val="0"/>
                    <w:adjustRightInd w:val="0"/>
                    <w:snapToGrid w:val="0"/>
                    <w:spacing w:before="0" w:beforeAutospacing="0" w:after="0" w:afterAutospacing="0" w:line="240" w:lineRule="atLeast"/>
                    <w:ind w:left="0" w:leftChars="0" w:right="0" w:rightChars="0"/>
                    <w:jc w:val="center"/>
                    <w:outlineLvl w:val="0"/>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lang w:val="en-US" w:eastAsia="zh-CN"/>
                    </w:rPr>
                    <w:t>约24人</w:t>
                  </w:r>
                </w:p>
              </w:tc>
              <w:tc>
                <w:tcPr>
                  <w:tcW w:w="1275" w:type="dxa"/>
                  <w:vMerge w:val="restart"/>
                  <w:noWrap w:val="0"/>
                  <w:vAlign w:val="center"/>
                </w:tcPr>
                <w:p w14:paraId="111CD0E5">
                  <w:pPr>
                    <w:keepNext w:val="0"/>
                    <w:keepLines w:val="0"/>
                    <w:suppressLineNumbers w:val="0"/>
                    <w:adjustRightInd w:val="0"/>
                    <w:snapToGrid w:val="0"/>
                    <w:spacing w:before="0" w:beforeAutospacing="0" w:after="0" w:afterAutospacing="0" w:line="240" w:lineRule="atLeast"/>
                    <w:ind w:left="0" w:leftChars="0" w:right="0" w:rightChars="0"/>
                    <w:jc w:val="center"/>
                    <w:outlineLvl w:val="0"/>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lang w:val="en-US" w:eastAsia="zh-CN"/>
                    </w:rPr>
                    <w:t>2</w:t>
                  </w:r>
                  <w:r>
                    <w:rPr>
                      <w:rFonts w:hint="eastAsia" w:ascii="宋体" w:hAnsi="宋体" w:eastAsia="宋体" w:cs="宋体"/>
                      <w:snapToGrid w:val="0"/>
                      <w:kern w:val="0"/>
                      <w:sz w:val="21"/>
                      <w:szCs w:val="21"/>
                    </w:rPr>
                    <w:t>类</w:t>
                  </w:r>
                </w:p>
              </w:tc>
              <w:tc>
                <w:tcPr>
                  <w:tcW w:w="1457" w:type="dxa"/>
                  <w:noWrap w:val="0"/>
                  <w:vAlign w:val="center"/>
                </w:tcPr>
                <w:p w14:paraId="09FAA491">
                  <w:pPr>
                    <w:keepNext w:val="0"/>
                    <w:keepLines w:val="0"/>
                    <w:suppressLineNumbers w:val="0"/>
                    <w:adjustRightInd w:val="0"/>
                    <w:snapToGrid w:val="0"/>
                    <w:spacing w:before="0" w:beforeAutospacing="0" w:after="0" w:afterAutospacing="0" w:line="240" w:lineRule="atLeast"/>
                    <w:ind w:left="0" w:leftChars="0" w:right="0" w:rightChars="0"/>
                    <w:jc w:val="center"/>
                    <w:outlineLvl w:val="0"/>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lang w:val="en-US" w:eastAsia="zh-CN"/>
                    </w:rPr>
                    <w:t>南</w:t>
                  </w:r>
                </w:p>
              </w:tc>
              <w:tc>
                <w:tcPr>
                  <w:tcW w:w="1595" w:type="dxa"/>
                  <w:noWrap w:val="0"/>
                  <w:vAlign w:val="center"/>
                </w:tcPr>
                <w:p w14:paraId="070D7B51">
                  <w:pPr>
                    <w:keepNext w:val="0"/>
                    <w:keepLines w:val="0"/>
                    <w:suppressLineNumbers w:val="0"/>
                    <w:adjustRightInd w:val="0"/>
                    <w:snapToGrid w:val="0"/>
                    <w:spacing w:before="0" w:beforeAutospacing="0" w:after="0" w:afterAutospacing="0" w:line="240" w:lineRule="atLeast"/>
                    <w:ind w:left="0" w:leftChars="0" w:right="0" w:rightChars="0"/>
                    <w:jc w:val="center"/>
                    <w:outlineLvl w:val="0"/>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lang w:val="en-US" w:eastAsia="zh-CN"/>
                    </w:rPr>
                    <w:t>30</w:t>
                  </w:r>
                </w:p>
              </w:tc>
            </w:tr>
            <w:tr w14:paraId="22A4C0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902" w:type="dxa"/>
                  <w:vMerge w:val="continue"/>
                  <w:noWrap w:val="0"/>
                  <w:vAlign w:val="center"/>
                </w:tcPr>
                <w:p w14:paraId="4BD024D7">
                  <w:pPr>
                    <w:keepNext w:val="0"/>
                    <w:keepLines w:val="0"/>
                    <w:suppressLineNumbers w:val="0"/>
                    <w:adjustRightInd w:val="0"/>
                    <w:snapToGrid w:val="0"/>
                    <w:spacing w:before="0" w:beforeAutospacing="0" w:after="0" w:afterAutospacing="0" w:line="240" w:lineRule="atLeast"/>
                    <w:ind w:left="0" w:right="0"/>
                    <w:jc w:val="center"/>
                    <w:outlineLvl w:val="0"/>
                    <w:rPr>
                      <w:rFonts w:hint="eastAsia" w:ascii="宋体" w:hAnsi="宋体" w:eastAsia="宋体" w:cs="宋体"/>
                      <w:snapToGrid w:val="0"/>
                      <w:kern w:val="0"/>
                      <w:sz w:val="21"/>
                      <w:szCs w:val="21"/>
                    </w:rPr>
                  </w:pPr>
                  <w:bookmarkStart w:id="78" w:name="_Toc26223"/>
                  <w:bookmarkStart w:id="79" w:name="_Toc20102"/>
                </w:p>
              </w:tc>
              <w:tc>
                <w:tcPr>
                  <w:tcW w:w="1605" w:type="dxa"/>
                  <w:noWrap w:val="0"/>
                  <w:vAlign w:val="center"/>
                </w:tcPr>
                <w:p w14:paraId="0F653329">
                  <w:pPr>
                    <w:keepNext w:val="0"/>
                    <w:keepLines w:val="0"/>
                    <w:suppressLineNumbers w:val="0"/>
                    <w:adjustRightInd w:val="0"/>
                    <w:snapToGrid w:val="0"/>
                    <w:spacing w:before="0" w:beforeAutospacing="0" w:after="0" w:afterAutospacing="0" w:line="240" w:lineRule="atLeast"/>
                    <w:ind w:left="0" w:leftChars="0" w:right="0" w:rightChars="0"/>
                    <w:jc w:val="center"/>
                    <w:outlineLvl w:val="0"/>
                    <w:rPr>
                      <w:rFonts w:hint="eastAsia" w:ascii="宋体" w:hAnsi="宋体" w:eastAsia="宋体" w:cs="宋体"/>
                      <w:snapToGrid w:val="0"/>
                      <w:kern w:val="0"/>
                      <w:sz w:val="21"/>
                      <w:szCs w:val="21"/>
                      <w:lang w:val="en-US" w:eastAsia="zh-CN"/>
                    </w:rPr>
                  </w:pPr>
                  <w:r>
                    <w:rPr>
                      <w:rFonts w:hint="eastAsia" w:ascii="宋体" w:hAnsi="宋体" w:eastAsia="宋体" w:cs="宋体"/>
                      <w:snapToGrid w:val="0"/>
                      <w:kern w:val="0"/>
                      <w:sz w:val="21"/>
                      <w:szCs w:val="21"/>
                      <w:lang w:val="en-US" w:eastAsia="zh-CN"/>
                    </w:rPr>
                    <w:t>陈武村</w:t>
                  </w:r>
                </w:p>
              </w:tc>
              <w:tc>
                <w:tcPr>
                  <w:tcW w:w="1211" w:type="dxa"/>
                  <w:noWrap w:val="0"/>
                  <w:vAlign w:val="center"/>
                </w:tcPr>
                <w:p w14:paraId="4C9A5B62">
                  <w:pPr>
                    <w:keepNext w:val="0"/>
                    <w:keepLines w:val="0"/>
                    <w:suppressLineNumbers w:val="0"/>
                    <w:adjustRightInd w:val="0"/>
                    <w:snapToGrid w:val="0"/>
                    <w:spacing w:before="0" w:beforeAutospacing="0" w:after="0" w:afterAutospacing="0" w:line="240" w:lineRule="atLeast"/>
                    <w:ind w:left="0" w:leftChars="0" w:right="0" w:rightChars="0"/>
                    <w:jc w:val="center"/>
                    <w:outlineLvl w:val="0"/>
                    <w:rPr>
                      <w:rFonts w:hint="eastAsia" w:ascii="宋体" w:hAnsi="宋体" w:eastAsia="宋体" w:cs="宋体"/>
                      <w:snapToGrid w:val="0"/>
                      <w:kern w:val="0"/>
                      <w:sz w:val="21"/>
                      <w:szCs w:val="21"/>
                      <w:lang w:val="en-US" w:eastAsia="zh-CN"/>
                    </w:rPr>
                  </w:pPr>
                  <w:r>
                    <w:rPr>
                      <w:rFonts w:hint="eastAsia" w:ascii="宋体" w:hAnsi="宋体" w:eastAsia="宋体" w:cs="宋体"/>
                      <w:snapToGrid w:val="0"/>
                      <w:kern w:val="0"/>
                      <w:sz w:val="21"/>
                      <w:szCs w:val="21"/>
                      <w:lang w:val="en-US" w:eastAsia="zh-CN"/>
                    </w:rPr>
                    <w:t>约28人</w:t>
                  </w:r>
                </w:p>
              </w:tc>
              <w:tc>
                <w:tcPr>
                  <w:tcW w:w="1275" w:type="dxa"/>
                  <w:vMerge w:val="continue"/>
                  <w:noWrap w:val="0"/>
                  <w:vAlign w:val="center"/>
                </w:tcPr>
                <w:p w14:paraId="6291622B">
                  <w:pPr>
                    <w:keepNext w:val="0"/>
                    <w:keepLines w:val="0"/>
                    <w:suppressLineNumbers w:val="0"/>
                    <w:adjustRightInd w:val="0"/>
                    <w:snapToGrid w:val="0"/>
                    <w:spacing w:before="0" w:beforeAutospacing="0" w:after="0" w:afterAutospacing="0" w:line="240" w:lineRule="atLeast"/>
                    <w:ind w:left="0" w:leftChars="0" w:right="0" w:rightChars="0"/>
                    <w:jc w:val="center"/>
                    <w:outlineLvl w:val="0"/>
                    <w:rPr>
                      <w:rFonts w:hint="eastAsia" w:ascii="宋体" w:hAnsi="宋体" w:eastAsia="宋体" w:cs="宋体"/>
                      <w:snapToGrid w:val="0"/>
                      <w:kern w:val="0"/>
                      <w:sz w:val="21"/>
                      <w:szCs w:val="21"/>
                      <w:lang w:val="en-US" w:eastAsia="zh-CN"/>
                    </w:rPr>
                  </w:pPr>
                </w:p>
              </w:tc>
              <w:tc>
                <w:tcPr>
                  <w:tcW w:w="1457" w:type="dxa"/>
                  <w:noWrap w:val="0"/>
                  <w:vAlign w:val="center"/>
                </w:tcPr>
                <w:p w14:paraId="1051CC2D">
                  <w:pPr>
                    <w:keepNext w:val="0"/>
                    <w:keepLines w:val="0"/>
                    <w:suppressLineNumbers w:val="0"/>
                    <w:adjustRightInd w:val="0"/>
                    <w:snapToGrid w:val="0"/>
                    <w:spacing w:before="0" w:beforeAutospacing="0" w:after="0" w:afterAutospacing="0" w:line="240" w:lineRule="atLeast"/>
                    <w:ind w:left="0" w:leftChars="0" w:right="0" w:rightChars="0"/>
                    <w:jc w:val="center"/>
                    <w:outlineLvl w:val="0"/>
                    <w:rPr>
                      <w:rFonts w:hint="eastAsia" w:ascii="宋体" w:hAnsi="宋体" w:eastAsia="宋体" w:cs="宋体"/>
                      <w:snapToGrid w:val="0"/>
                      <w:kern w:val="0"/>
                      <w:sz w:val="21"/>
                      <w:szCs w:val="21"/>
                      <w:lang w:val="en-US" w:eastAsia="zh-CN"/>
                    </w:rPr>
                  </w:pPr>
                  <w:r>
                    <w:rPr>
                      <w:rFonts w:hint="eastAsia" w:ascii="宋体" w:hAnsi="宋体" w:eastAsia="宋体" w:cs="宋体"/>
                      <w:snapToGrid w:val="0"/>
                      <w:kern w:val="0"/>
                      <w:sz w:val="21"/>
                      <w:szCs w:val="21"/>
                      <w:lang w:val="en-US" w:eastAsia="zh-CN"/>
                    </w:rPr>
                    <w:t>东南</w:t>
                  </w:r>
                </w:p>
              </w:tc>
              <w:tc>
                <w:tcPr>
                  <w:tcW w:w="1595" w:type="dxa"/>
                  <w:noWrap w:val="0"/>
                  <w:vAlign w:val="center"/>
                </w:tcPr>
                <w:p w14:paraId="4597962A">
                  <w:pPr>
                    <w:keepNext w:val="0"/>
                    <w:keepLines w:val="0"/>
                    <w:suppressLineNumbers w:val="0"/>
                    <w:adjustRightInd w:val="0"/>
                    <w:snapToGrid w:val="0"/>
                    <w:spacing w:before="0" w:beforeAutospacing="0" w:after="0" w:afterAutospacing="0" w:line="240" w:lineRule="atLeast"/>
                    <w:ind w:left="0" w:leftChars="0" w:right="0" w:rightChars="0"/>
                    <w:jc w:val="center"/>
                    <w:outlineLvl w:val="0"/>
                    <w:rPr>
                      <w:rFonts w:hint="eastAsia" w:ascii="宋体" w:hAnsi="宋体" w:eastAsia="宋体" w:cs="宋体"/>
                      <w:snapToGrid w:val="0"/>
                      <w:kern w:val="0"/>
                      <w:sz w:val="21"/>
                      <w:szCs w:val="21"/>
                      <w:lang w:val="en-US" w:eastAsia="zh-CN"/>
                    </w:rPr>
                  </w:pPr>
                  <w:r>
                    <w:rPr>
                      <w:rFonts w:hint="eastAsia" w:ascii="宋体" w:hAnsi="宋体" w:eastAsia="宋体" w:cs="宋体"/>
                      <w:snapToGrid w:val="0"/>
                      <w:kern w:val="0"/>
                      <w:sz w:val="21"/>
                      <w:szCs w:val="21"/>
                      <w:lang w:val="en-US" w:eastAsia="zh-CN"/>
                    </w:rPr>
                    <w:t>48</w:t>
                  </w:r>
                </w:p>
              </w:tc>
            </w:tr>
            <w:tr w14:paraId="623096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902" w:type="dxa"/>
                  <w:noWrap w:val="0"/>
                  <w:vAlign w:val="center"/>
                </w:tcPr>
                <w:p w14:paraId="57D2AAED">
                  <w:pPr>
                    <w:keepNext w:val="0"/>
                    <w:keepLines w:val="0"/>
                    <w:suppressLineNumbers w:val="0"/>
                    <w:adjustRightInd w:val="0"/>
                    <w:snapToGrid w:val="0"/>
                    <w:spacing w:before="0" w:beforeAutospacing="0" w:after="0" w:afterAutospacing="0" w:line="240" w:lineRule="atLeast"/>
                    <w:ind w:left="0" w:right="0"/>
                    <w:jc w:val="center"/>
                    <w:outlineLvl w:val="0"/>
                    <w:rPr>
                      <w:rFonts w:hint="eastAsia" w:ascii="宋体" w:hAnsi="宋体" w:eastAsia="宋体" w:cs="宋体"/>
                      <w:sz w:val="21"/>
                      <w:szCs w:val="21"/>
                    </w:rPr>
                  </w:pPr>
                  <w:r>
                    <w:rPr>
                      <w:rFonts w:hint="eastAsia" w:ascii="宋体" w:hAnsi="宋体" w:eastAsia="宋体" w:cs="宋体"/>
                      <w:sz w:val="21"/>
                      <w:szCs w:val="21"/>
                    </w:rPr>
                    <w:t>生态</w:t>
                  </w:r>
                </w:p>
                <w:p w14:paraId="0E207985">
                  <w:pPr>
                    <w:keepNext w:val="0"/>
                    <w:keepLines w:val="0"/>
                    <w:suppressLineNumbers w:val="0"/>
                    <w:adjustRightInd w:val="0"/>
                    <w:snapToGrid w:val="0"/>
                    <w:spacing w:before="0" w:beforeAutospacing="0" w:after="0" w:afterAutospacing="0" w:line="240" w:lineRule="atLeast"/>
                    <w:ind w:left="0" w:right="0"/>
                    <w:jc w:val="center"/>
                    <w:outlineLvl w:val="0"/>
                    <w:rPr>
                      <w:rFonts w:hint="eastAsia" w:ascii="宋体" w:hAnsi="宋体" w:eastAsia="宋体" w:cs="宋体"/>
                      <w:snapToGrid w:val="0"/>
                      <w:kern w:val="0"/>
                      <w:sz w:val="21"/>
                      <w:szCs w:val="21"/>
                    </w:rPr>
                  </w:pPr>
                  <w:r>
                    <w:rPr>
                      <w:rFonts w:hint="eastAsia" w:ascii="宋体" w:hAnsi="宋体" w:eastAsia="宋体" w:cs="宋体"/>
                      <w:sz w:val="21"/>
                      <w:szCs w:val="21"/>
                    </w:rPr>
                    <w:t>环境</w:t>
                  </w:r>
                  <w:bookmarkEnd w:id="78"/>
                  <w:bookmarkEnd w:id="79"/>
                </w:p>
              </w:tc>
              <w:tc>
                <w:tcPr>
                  <w:tcW w:w="1605" w:type="dxa"/>
                  <w:noWrap w:val="0"/>
                  <w:vAlign w:val="center"/>
                </w:tcPr>
                <w:p w14:paraId="589EE44D">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句容水库饮用水水源保护区</w:t>
                  </w:r>
                </w:p>
              </w:tc>
              <w:tc>
                <w:tcPr>
                  <w:tcW w:w="1211" w:type="dxa"/>
                  <w:noWrap w:val="0"/>
                  <w:vAlign w:val="center"/>
                </w:tcPr>
                <w:p w14:paraId="206D0101">
                  <w:pPr>
                    <w:keepNext w:val="0"/>
                    <w:keepLines w:val="0"/>
                    <w:suppressLineNumbers w:val="0"/>
                    <w:adjustRightInd w:val="0"/>
                    <w:snapToGrid w:val="0"/>
                    <w:spacing w:before="0" w:beforeAutospacing="0" w:after="0" w:afterAutospacing="0" w:line="240" w:lineRule="atLeast"/>
                    <w:ind w:left="0" w:right="0"/>
                    <w:jc w:val="center"/>
                    <w:outlineLvl w:val="0"/>
                    <w:rPr>
                      <w:rFonts w:hint="eastAsia" w:ascii="宋体" w:hAnsi="宋体" w:eastAsia="宋体" w:cs="宋体"/>
                      <w:snapToGrid w:val="0"/>
                      <w:kern w:val="0"/>
                      <w:sz w:val="21"/>
                      <w:szCs w:val="21"/>
                    </w:rPr>
                  </w:pPr>
                  <w:r>
                    <w:rPr>
                      <w:rFonts w:hint="default" w:ascii="Times New Roman" w:hAnsi="Times New Roman" w:eastAsia="宋体" w:cs="Times New Roman"/>
                      <w:color w:val="auto"/>
                      <w:sz w:val="21"/>
                      <w:szCs w:val="21"/>
                      <w:lang w:val="en-US" w:eastAsia="zh-CN"/>
                    </w:rPr>
                    <w:t>水源水质</w:t>
                  </w:r>
                </w:p>
              </w:tc>
              <w:tc>
                <w:tcPr>
                  <w:tcW w:w="1275" w:type="dxa"/>
                  <w:noWrap w:val="0"/>
                  <w:vAlign w:val="center"/>
                </w:tcPr>
                <w:p w14:paraId="1FDEEAFD">
                  <w:pPr>
                    <w:keepNext w:val="0"/>
                    <w:keepLines w:val="0"/>
                    <w:suppressLineNumbers w:val="0"/>
                    <w:adjustRightInd w:val="0"/>
                    <w:snapToGrid w:val="0"/>
                    <w:spacing w:before="0" w:beforeAutospacing="0" w:after="0" w:afterAutospacing="0" w:line="240" w:lineRule="atLeast"/>
                    <w:ind w:left="0" w:right="0"/>
                    <w:jc w:val="center"/>
                    <w:outlineLvl w:val="0"/>
                    <w:rPr>
                      <w:rFonts w:hint="default" w:ascii="宋体" w:hAnsi="宋体" w:eastAsia="宋体" w:cs="宋体"/>
                      <w:snapToGrid w:val="0"/>
                      <w:kern w:val="0"/>
                      <w:sz w:val="21"/>
                      <w:szCs w:val="21"/>
                      <w:lang w:val="en-US" w:eastAsia="zh-CN"/>
                    </w:rPr>
                  </w:pPr>
                  <w:r>
                    <w:rPr>
                      <w:rFonts w:hint="eastAsia" w:ascii="宋体" w:hAnsi="宋体" w:eastAsia="宋体" w:cs="宋体"/>
                      <w:snapToGrid w:val="0"/>
                      <w:kern w:val="0"/>
                      <w:sz w:val="21"/>
                      <w:szCs w:val="21"/>
                      <w:lang w:val="en-US" w:eastAsia="zh-CN"/>
                    </w:rPr>
                    <w:t>水源水质保护</w:t>
                  </w:r>
                </w:p>
              </w:tc>
              <w:tc>
                <w:tcPr>
                  <w:tcW w:w="1457" w:type="dxa"/>
                  <w:noWrap w:val="0"/>
                  <w:vAlign w:val="center"/>
                </w:tcPr>
                <w:p w14:paraId="7C91C641">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napToGrid w:val="0"/>
                      <w:kern w:val="0"/>
                      <w:sz w:val="21"/>
                      <w:szCs w:val="21"/>
                      <w:lang w:eastAsia="zh-CN"/>
                    </w:rPr>
                  </w:pPr>
                  <w:r>
                    <w:rPr>
                      <w:rFonts w:hint="eastAsia" w:ascii="宋体" w:hAnsi="宋体" w:eastAsia="宋体" w:cs="宋体"/>
                      <w:snapToGrid w:val="0"/>
                      <w:kern w:val="0"/>
                      <w:sz w:val="21"/>
                      <w:szCs w:val="21"/>
                      <w:lang w:val="en-US" w:eastAsia="zh-CN"/>
                    </w:rPr>
                    <w:t>西南</w:t>
                  </w:r>
                </w:p>
              </w:tc>
              <w:tc>
                <w:tcPr>
                  <w:tcW w:w="1595" w:type="dxa"/>
                  <w:noWrap w:val="0"/>
                  <w:vAlign w:val="center"/>
                </w:tcPr>
                <w:p w14:paraId="4F2A895B">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napToGrid w:val="0"/>
                      <w:kern w:val="0"/>
                      <w:sz w:val="21"/>
                      <w:szCs w:val="21"/>
                      <w:lang w:val="en-US" w:eastAsia="zh-CN"/>
                    </w:rPr>
                  </w:pPr>
                  <w:r>
                    <w:rPr>
                      <w:rFonts w:hint="eastAsia" w:ascii="宋体" w:hAnsi="宋体" w:eastAsia="宋体" w:cs="宋体"/>
                      <w:snapToGrid w:val="0"/>
                      <w:kern w:val="0"/>
                      <w:sz w:val="21"/>
                      <w:szCs w:val="21"/>
                      <w:lang w:val="en-US" w:eastAsia="zh-CN"/>
                    </w:rPr>
                    <w:t>6600</w:t>
                  </w:r>
                </w:p>
              </w:tc>
            </w:tr>
          </w:tbl>
          <w:p w14:paraId="228DC6F8">
            <w:pPr>
              <w:pStyle w:val="61"/>
              <w:keepNext w:val="0"/>
              <w:keepLines w:val="0"/>
              <w:suppressLineNumbers w:val="0"/>
              <w:spacing w:before="0" w:beforeAutospacing="0" w:after="0" w:afterAutospacing="0"/>
              <w:ind w:left="0" w:right="0"/>
              <w:rPr>
                <w:rFonts w:hint="eastAsia" w:ascii="宋体" w:hAnsi="宋体" w:eastAsia="宋体" w:cs="宋体"/>
              </w:rPr>
            </w:pPr>
          </w:p>
          <w:p w14:paraId="51B91FFF">
            <w:pPr>
              <w:pStyle w:val="61"/>
              <w:keepNext w:val="0"/>
              <w:keepLines w:val="0"/>
              <w:suppressLineNumbers w:val="0"/>
              <w:spacing w:before="0" w:beforeAutospacing="0" w:after="0" w:afterAutospacing="0"/>
              <w:ind w:left="0" w:right="0"/>
              <w:rPr>
                <w:rFonts w:hint="eastAsia" w:ascii="宋体" w:hAnsi="宋体" w:eastAsia="宋体" w:cs="宋体"/>
              </w:rPr>
            </w:pPr>
          </w:p>
          <w:p w14:paraId="20ED73B1">
            <w:pPr>
              <w:pStyle w:val="61"/>
              <w:keepNext w:val="0"/>
              <w:keepLines w:val="0"/>
              <w:suppressLineNumbers w:val="0"/>
              <w:spacing w:before="0" w:beforeAutospacing="0" w:after="0" w:afterAutospacing="0"/>
              <w:ind w:left="0" w:right="0"/>
              <w:rPr>
                <w:rFonts w:hint="eastAsia" w:ascii="宋体" w:hAnsi="宋体" w:eastAsia="宋体" w:cs="宋体"/>
              </w:rPr>
            </w:pPr>
          </w:p>
          <w:p w14:paraId="60BD7C26">
            <w:pPr>
              <w:pStyle w:val="61"/>
              <w:keepNext w:val="0"/>
              <w:keepLines w:val="0"/>
              <w:suppressLineNumbers w:val="0"/>
              <w:spacing w:before="0" w:beforeAutospacing="0" w:after="0" w:afterAutospacing="0"/>
              <w:ind w:left="0" w:right="0"/>
              <w:rPr>
                <w:rFonts w:hint="eastAsia" w:ascii="宋体" w:hAnsi="宋体" w:eastAsia="宋体" w:cs="宋体"/>
              </w:rPr>
            </w:pPr>
          </w:p>
          <w:p w14:paraId="5B523CD0">
            <w:pPr>
              <w:pStyle w:val="61"/>
              <w:keepNext w:val="0"/>
              <w:keepLines w:val="0"/>
              <w:suppressLineNumbers w:val="0"/>
              <w:spacing w:before="0" w:beforeAutospacing="0" w:after="0" w:afterAutospacing="0"/>
              <w:ind w:left="0" w:right="0"/>
              <w:rPr>
                <w:rFonts w:hint="eastAsia" w:ascii="宋体" w:hAnsi="宋体" w:eastAsia="宋体" w:cs="宋体"/>
              </w:rPr>
            </w:pPr>
          </w:p>
          <w:p w14:paraId="4349E835">
            <w:pPr>
              <w:pStyle w:val="61"/>
              <w:keepNext w:val="0"/>
              <w:keepLines w:val="0"/>
              <w:suppressLineNumbers w:val="0"/>
              <w:spacing w:before="0" w:beforeAutospacing="0" w:after="0" w:afterAutospacing="0"/>
              <w:ind w:left="0" w:right="0"/>
              <w:rPr>
                <w:rFonts w:hint="eastAsia" w:ascii="宋体" w:hAnsi="宋体" w:eastAsia="宋体" w:cs="宋体"/>
              </w:rPr>
            </w:pPr>
          </w:p>
          <w:p w14:paraId="4A7D67BE">
            <w:pPr>
              <w:pStyle w:val="61"/>
              <w:keepNext w:val="0"/>
              <w:keepLines w:val="0"/>
              <w:suppressLineNumbers w:val="0"/>
              <w:spacing w:before="0" w:beforeAutospacing="0" w:after="0" w:afterAutospacing="0"/>
              <w:ind w:left="0" w:right="0"/>
              <w:rPr>
                <w:rFonts w:hint="eastAsia" w:ascii="宋体" w:hAnsi="宋体" w:eastAsia="宋体" w:cs="宋体"/>
              </w:rPr>
            </w:pPr>
          </w:p>
          <w:p w14:paraId="57E1C51D">
            <w:pPr>
              <w:pStyle w:val="61"/>
              <w:keepNext w:val="0"/>
              <w:keepLines w:val="0"/>
              <w:suppressLineNumbers w:val="0"/>
              <w:spacing w:before="0" w:beforeAutospacing="0" w:after="0" w:afterAutospacing="0"/>
              <w:ind w:left="0" w:right="0"/>
              <w:rPr>
                <w:rFonts w:hint="eastAsia" w:ascii="宋体" w:hAnsi="宋体" w:eastAsia="宋体" w:cs="宋体"/>
              </w:rPr>
            </w:pPr>
          </w:p>
          <w:p w14:paraId="7E09DD5F">
            <w:pPr>
              <w:pStyle w:val="61"/>
              <w:keepNext w:val="0"/>
              <w:keepLines w:val="0"/>
              <w:suppressLineNumbers w:val="0"/>
              <w:spacing w:before="0" w:beforeAutospacing="0" w:after="0" w:afterAutospacing="0"/>
              <w:ind w:left="0" w:right="0"/>
              <w:rPr>
                <w:rFonts w:hint="eastAsia" w:ascii="宋体" w:hAnsi="宋体" w:eastAsia="宋体" w:cs="宋体"/>
              </w:rPr>
            </w:pPr>
          </w:p>
          <w:p w14:paraId="6C13C271">
            <w:pPr>
              <w:pStyle w:val="61"/>
              <w:keepNext w:val="0"/>
              <w:keepLines w:val="0"/>
              <w:suppressLineNumbers w:val="0"/>
              <w:spacing w:before="0" w:beforeAutospacing="0" w:after="0" w:afterAutospacing="0"/>
              <w:ind w:left="0" w:right="0"/>
              <w:rPr>
                <w:rFonts w:hint="eastAsia" w:ascii="宋体" w:hAnsi="宋体" w:eastAsia="宋体" w:cs="宋体"/>
              </w:rPr>
            </w:pPr>
          </w:p>
          <w:p w14:paraId="4BD0B95C">
            <w:pPr>
              <w:pStyle w:val="61"/>
              <w:keepNext w:val="0"/>
              <w:keepLines w:val="0"/>
              <w:suppressLineNumbers w:val="0"/>
              <w:spacing w:before="0" w:beforeAutospacing="0" w:after="0" w:afterAutospacing="0"/>
              <w:ind w:left="0" w:right="0"/>
              <w:rPr>
                <w:rFonts w:hint="eastAsia" w:ascii="宋体" w:hAnsi="宋体" w:eastAsia="宋体" w:cs="宋体"/>
              </w:rPr>
            </w:pPr>
          </w:p>
          <w:p w14:paraId="1714E048">
            <w:pPr>
              <w:pStyle w:val="61"/>
              <w:keepNext w:val="0"/>
              <w:keepLines w:val="0"/>
              <w:suppressLineNumbers w:val="0"/>
              <w:spacing w:before="0" w:beforeAutospacing="0" w:after="0" w:afterAutospacing="0"/>
              <w:ind w:left="0" w:right="0"/>
              <w:rPr>
                <w:rFonts w:hint="eastAsia" w:ascii="宋体" w:hAnsi="宋体" w:eastAsia="宋体" w:cs="宋体"/>
              </w:rPr>
            </w:pPr>
          </w:p>
          <w:p w14:paraId="5B9C6555">
            <w:pPr>
              <w:pStyle w:val="61"/>
              <w:keepNext w:val="0"/>
              <w:keepLines w:val="0"/>
              <w:suppressLineNumbers w:val="0"/>
              <w:spacing w:before="0" w:beforeAutospacing="0" w:after="0" w:afterAutospacing="0"/>
              <w:ind w:left="0" w:right="0"/>
              <w:rPr>
                <w:rFonts w:hint="eastAsia" w:ascii="宋体" w:hAnsi="宋体" w:eastAsia="宋体" w:cs="宋体"/>
              </w:rPr>
            </w:pPr>
          </w:p>
          <w:p w14:paraId="2E4EFBE6">
            <w:pPr>
              <w:pStyle w:val="61"/>
              <w:keepNext w:val="0"/>
              <w:keepLines w:val="0"/>
              <w:suppressLineNumbers w:val="0"/>
              <w:spacing w:before="0" w:beforeAutospacing="0" w:after="0" w:afterAutospacing="0"/>
              <w:ind w:left="0" w:right="0"/>
              <w:rPr>
                <w:rFonts w:hint="eastAsia" w:ascii="宋体" w:hAnsi="宋体" w:eastAsia="宋体" w:cs="宋体"/>
              </w:rPr>
            </w:pPr>
          </w:p>
          <w:p w14:paraId="7DFFDA39">
            <w:pPr>
              <w:pStyle w:val="61"/>
              <w:keepNext w:val="0"/>
              <w:keepLines w:val="0"/>
              <w:suppressLineNumbers w:val="0"/>
              <w:spacing w:before="0" w:beforeAutospacing="0" w:after="0" w:afterAutospacing="0"/>
              <w:ind w:left="0" w:right="0"/>
              <w:rPr>
                <w:rFonts w:hint="eastAsia" w:ascii="宋体" w:hAnsi="宋体" w:eastAsia="宋体" w:cs="宋体"/>
              </w:rPr>
            </w:pPr>
          </w:p>
          <w:p w14:paraId="0D43E7AE">
            <w:pPr>
              <w:pStyle w:val="61"/>
              <w:keepNext w:val="0"/>
              <w:keepLines w:val="0"/>
              <w:suppressLineNumbers w:val="0"/>
              <w:spacing w:before="0" w:beforeAutospacing="0" w:after="0" w:afterAutospacing="0"/>
              <w:ind w:left="0" w:right="0"/>
              <w:rPr>
                <w:rFonts w:hint="eastAsia" w:ascii="宋体" w:hAnsi="宋体" w:eastAsia="宋体" w:cs="宋体"/>
              </w:rPr>
            </w:pPr>
          </w:p>
          <w:p w14:paraId="2EF4C7C7">
            <w:pPr>
              <w:pStyle w:val="61"/>
              <w:keepNext w:val="0"/>
              <w:keepLines w:val="0"/>
              <w:suppressLineNumbers w:val="0"/>
              <w:spacing w:before="0" w:beforeAutospacing="0" w:after="0" w:afterAutospacing="0"/>
              <w:ind w:left="0" w:right="0"/>
              <w:rPr>
                <w:rFonts w:hint="eastAsia" w:ascii="宋体" w:hAnsi="宋体" w:eastAsia="宋体" w:cs="宋体"/>
              </w:rPr>
            </w:pPr>
          </w:p>
          <w:p w14:paraId="1E7972EC">
            <w:pPr>
              <w:pStyle w:val="61"/>
              <w:keepNext w:val="0"/>
              <w:keepLines w:val="0"/>
              <w:suppressLineNumbers w:val="0"/>
              <w:spacing w:before="0" w:beforeAutospacing="0" w:after="0" w:afterAutospacing="0"/>
              <w:ind w:left="0" w:right="0" w:firstLine="0" w:firstLineChars="0"/>
              <w:rPr>
                <w:rFonts w:hint="eastAsia" w:ascii="宋体" w:hAnsi="宋体" w:eastAsia="宋体" w:cs="宋体"/>
              </w:rPr>
            </w:pPr>
          </w:p>
        </w:tc>
      </w:tr>
      <w:tr w14:paraId="04A7210D">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60" w:hRule="atLeast"/>
          <w:jc w:val="center"/>
        </w:trPr>
        <w:tc>
          <w:tcPr>
            <w:tcW w:w="531" w:type="dxa"/>
            <w:noWrap w:val="0"/>
            <w:tcMar>
              <w:left w:w="28" w:type="dxa"/>
              <w:right w:w="28" w:type="dxa"/>
            </w:tcMar>
            <w:vAlign w:val="center"/>
          </w:tcPr>
          <w:p w14:paraId="00F6CA07">
            <w:pPr>
              <w:pStyle w:val="53"/>
              <w:keepNext w:val="0"/>
              <w:keepLines w:val="0"/>
              <w:suppressLineNumbers w:val="0"/>
              <w:spacing w:before="0" w:beforeAutospacing="0" w:after="0" w:afterAutospacing="0" w:line="360" w:lineRule="auto"/>
              <w:ind w:left="0" w:right="0"/>
              <w:rPr>
                <w:rFonts w:ascii="宋体" w:hAnsi="宋体" w:eastAsia="宋体" w:cs="宋体"/>
              </w:rPr>
            </w:pPr>
            <w:r>
              <w:rPr>
                <w:rFonts w:ascii="宋体" w:hAnsi="宋体" w:eastAsia="宋体" w:cs="宋体"/>
              </w:rPr>
              <w:t>污染</w:t>
            </w:r>
          </w:p>
          <w:p w14:paraId="32F99D20">
            <w:pPr>
              <w:pStyle w:val="53"/>
              <w:keepNext w:val="0"/>
              <w:keepLines w:val="0"/>
              <w:suppressLineNumbers w:val="0"/>
              <w:spacing w:before="0" w:beforeAutospacing="0" w:after="0" w:afterAutospacing="0" w:line="360" w:lineRule="auto"/>
              <w:ind w:left="0" w:right="0"/>
              <w:rPr>
                <w:rFonts w:ascii="宋体" w:hAnsi="宋体" w:eastAsia="宋体" w:cs="宋体"/>
              </w:rPr>
            </w:pPr>
            <w:r>
              <w:rPr>
                <w:rFonts w:ascii="宋体" w:hAnsi="宋体" w:eastAsia="宋体" w:cs="宋体"/>
              </w:rPr>
              <w:t>物排</w:t>
            </w:r>
          </w:p>
          <w:p w14:paraId="41BB84B4">
            <w:pPr>
              <w:pStyle w:val="53"/>
              <w:keepNext w:val="0"/>
              <w:keepLines w:val="0"/>
              <w:suppressLineNumbers w:val="0"/>
              <w:spacing w:before="0" w:beforeAutospacing="0" w:after="0" w:afterAutospacing="0" w:line="360" w:lineRule="auto"/>
              <w:ind w:left="0" w:right="0"/>
              <w:rPr>
                <w:rFonts w:ascii="宋体" w:hAnsi="宋体" w:eastAsia="宋体" w:cs="宋体"/>
              </w:rPr>
            </w:pPr>
            <w:r>
              <w:rPr>
                <w:rFonts w:ascii="宋体" w:hAnsi="宋体" w:eastAsia="宋体" w:cs="宋体"/>
              </w:rPr>
              <w:t>放控</w:t>
            </w:r>
          </w:p>
          <w:p w14:paraId="187F2039">
            <w:pPr>
              <w:pStyle w:val="53"/>
              <w:keepNext w:val="0"/>
              <w:keepLines w:val="0"/>
              <w:suppressLineNumbers w:val="0"/>
              <w:spacing w:before="0" w:beforeAutospacing="0" w:after="0" w:afterAutospacing="0" w:line="360" w:lineRule="auto"/>
              <w:ind w:left="0" w:right="0"/>
              <w:rPr>
                <w:rFonts w:ascii="宋体" w:hAnsi="宋体" w:eastAsia="宋体" w:cs="宋体"/>
              </w:rPr>
            </w:pPr>
            <w:r>
              <w:rPr>
                <w:rFonts w:ascii="宋体" w:hAnsi="宋体" w:eastAsia="宋体" w:cs="宋体"/>
              </w:rPr>
              <w:t>制标</w:t>
            </w:r>
          </w:p>
          <w:p w14:paraId="4497B9B5">
            <w:pPr>
              <w:pStyle w:val="53"/>
              <w:keepNext w:val="0"/>
              <w:keepLines w:val="0"/>
              <w:suppressLineNumbers w:val="0"/>
              <w:spacing w:before="0" w:beforeAutospacing="0" w:after="0" w:afterAutospacing="0" w:line="360" w:lineRule="auto"/>
              <w:ind w:left="0" w:right="0"/>
              <w:rPr>
                <w:rFonts w:ascii="宋体" w:hAnsi="宋体" w:eastAsia="宋体" w:cs="宋体"/>
                <w:color w:val="FF0000"/>
              </w:rPr>
            </w:pPr>
            <w:r>
              <w:rPr>
                <w:rFonts w:ascii="宋体" w:hAnsi="宋体" w:eastAsia="宋体" w:cs="宋体"/>
              </w:rPr>
              <w:t>准</w:t>
            </w:r>
          </w:p>
        </w:tc>
        <w:tc>
          <w:tcPr>
            <w:tcW w:w="8495" w:type="dxa"/>
            <w:noWrap w:val="0"/>
            <w:vAlign w:val="center"/>
          </w:tcPr>
          <w:p w14:paraId="25D4025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textAlignment w:val="auto"/>
              <w:rPr>
                <w:rFonts w:hint="eastAsia" w:ascii="Times New Roman" w:hAnsi="Times New Roman" w:cs="Times New Roman"/>
              </w:rPr>
            </w:pPr>
            <w:r>
              <w:rPr>
                <w:rFonts w:hint="eastAsia" w:ascii="宋体" w:hAnsi="宋体" w:eastAsia="宋体" w:cs="宋体"/>
                <w:b/>
                <w:bCs/>
                <w:lang w:eastAsia="zh-CN"/>
              </w:rPr>
              <w:t>施工</w:t>
            </w:r>
            <w:r>
              <w:rPr>
                <w:rFonts w:hint="eastAsia" w:ascii="宋体" w:hAnsi="宋体" w:eastAsia="宋体" w:cs="宋体"/>
                <w:b/>
                <w:bCs/>
              </w:rPr>
              <w:t>期：</w:t>
            </w:r>
          </w:p>
          <w:p w14:paraId="25015E6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textAlignment w:val="auto"/>
              <w:rPr>
                <w:rFonts w:hint="eastAsia" w:ascii="宋体" w:hAnsi="宋体" w:eastAsia="宋体" w:cs="宋体"/>
              </w:rPr>
            </w:pPr>
            <w:r>
              <w:rPr>
                <w:rFonts w:hint="eastAsia" w:ascii="宋体" w:hAnsi="宋体" w:eastAsia="宋体" w:cs="宋体"/>
              </w:rPr>
              <w:t>1、废气</w:t>
            </w:r>
          </w:p>
          <w:p w14:paraId="383A42E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firstLine="480" w:firstLineChars="200"/>
              <w:textAlignment w:val="auto"/>
              <w:rPr>
                <w:rFonts w:hint="eastAsia" w:ascii="宋体" w:hAnsi="宋体" w:eastAsia="宋体" w:cs="宋体"/>
              </w:rPr>
            </w:pPr>
            <w:r>
              <w:rPr>
                <w:rFonts w:hint="eastAsia" w:ascii="宋体" w:hAnsi="宋体" w:eastAsia="宋体" w:cs="宋体"/>
              </w:rPr>
              <w:t xml:space="preserve"> 粉尘排放执行《施工场地扬尘排放标准》（DB32/4437-2022）表1标准。</w:t>
            </w:r>
          </w:p>
          <w:p w14:paraId="46503EC8">
            <w:pPr>
              <w:pStyle w:val="41"/>
              <w:keepNext w:val="0"/>
              <w:keepLines w:val="0"/>
              <w:pageBreakBefore w:val="0"/>
              <w:widowControl w:val="0"/>
              <w:suppressLineNumbers w:val="0"/>
              <w:kinsoku/>
              <w:wordWrap/>
              <w:overflowPunct/>
              <w:topLinePunct w:val="0"/>
              <w:bidi w:val="0"/>
              <w:adjustRightInd w:val="0"/>
              <w:snapToGrid w:val="0"/>
              <w:spacing w:before="0" w:beforeLines="0" w:beforeAutospacing="0" w:after="0" w:afterLines="0" w:afterAutospacing="0"/>
              <w:ind w:left="0" w:right="0"/>
              <w:jc w:val="center"/>
              <w:textAlignment w:val="auto"/>
              <w:rPr>
                <w:rFonts w:hint="eastAsia" w:ascii="宋体" w:hAnsi="宋体" w:eastAsia="宋体" w:cs="宋体"/>
                <w:color w:val="auto"/>
              </w:rPr>
            </w:pPr>
            <w:r>
              <w:rPr>
                <w:rFonts w:hint="eastAsia" w:ascii="宋体" w:hAnsi="宋体" w:eastAsia="宋体" w:cs="宋体"/>
                <w:b/>
                <w:bCs/>
                <w:color w:val="auto"/>
              </w:rPr>
              <w:t>表3-</w:t>
            </w:r>
            <w:r>
              <w:rPr>
                <w:rFonts w:hint="eastAsia" w:eastAsia="宋体" w:cs="宋体"/>
                <w:b/>
                <w:bCs/>
                <w:color w:val="auto"/>
                <w:lang w:val="en-US" w:eastAsia="zh-CN"/>
              </w:rPr>
              <w:t>7</w:t>
            </w:r>
            <w:r>
              <w:rPr>
                <w:rFonts w:hint="eastAsia" w:ascii="宋体" w:hAnsi="宋体" w:eastAsia="宋体" w:cs="宋体"/>
                <w:b/>
                <w:bCs/>
                <w:color w:val="auto"/>
              </w:rPr>
              <w:t xml:space="preserve"> 施工期粉尘废气排放标准限值</w:t>
            </w:r>
          </w:p>
          <w:tbl>
            <w:tblPr>
              <w:tblStyle w:val="30"/>
              <w:tblW w:w="783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3201"/>
              <w:gridCol w:w="3325"/>
            </w:tblGrid>
            <w:tr w14:paraId="513EF0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308" w:type="dxa"/>
                  <w:noWrap w:val="0"/>
                  <w:vAlign w:val="center"/>
                </w:tcPr>
                <w:p w14:paraId="075DFE15">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b/>
                      <w:kern w:val="0"/>
                      <w:sz w:val="21"/>
                      <w:szCs w:val="21"/>
                    </w:rPr>
                  </w:pPr>
                  <w:r>
                    <w:rPr>
                      <w:rFonts w:hint="eastAsia" w:ascii="宋体" w:hAnsi="宋体" w:eastAsia="宋体" w:cs="宋体"/>
                      <w:b/>
                      <w:kern w:val="0"/>
                      <w:sz w:val="21"/>
                      <w:szCs w:val="21"/>
                    </w:rPr>
                    <w:t>污染物</w:t>
                  </w:r>
                </w:p>
              </w:tc>
              <w:tc>
                <w:tcPr>
                  <w:tcW w:w="3201" w:type="dxa"/>
                  <w:noWrap w:val="0"/>
                  <w:vAlign w:val="center"/>
                </w:tcPr>
                <w:p w14:paraId="775891A0">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b/>
                      <w:kern w:val="0"/>
                      <w:sz w:val="21"/>
                      <w:szCs w:val="21"/>
                    </w:rPr>
                  </w:pPr>
                  <w:r>
                    <w:rPr>
                      <w:rFonts w:hint="eastAsia" w:ascii="宋体" w:hAnsi="宋体" w:eastAsia="宋体" w:cs="宋体"/>
                      <w:b/>
                      <w:kern w:val="0"/>
                      <w:sz w:val="21"/>
                      <w:szCs w:val="21"/>
                    </w:rPr>
                    <w:t>浓度限值（mg/m</w:t>
                  </w:r>
                  <w:r>
                    <w:rPr>
                      <w:rFonts w:hint="eastAsia" w:ascii="宋体" w:hAnsi="宋体" w:eastAsia="宋体" w:cs="宋体"/>
                      <w:b/>
                      <w:kern w:val="0"/>
                      <w:sz w:val="21"/>
                      <w:szCs w:val="21"/>
                      <w:vertAlign w:val="superscript"/>
                    </w:rPr>
                    <w:t>3</w:t>
                  </w:r>
                  <w:r>
                    <w:rPr>
                      <w:rFonts w:hint="eastAsia" w:ascii="宋体" w:hAnsi="宋体" w:eastAsia="宋体" w:cs="宋体"/>
                      <w:b/>
                      <w:kern w:val="0"/>
                      <w:sz w:val="21"/>
                      <w:szCs w:val="21"/>
                    </w:rPr>
                    <w:t>）</w:t>
                  </w:r>
                </w:p>
              </w:tc>
              <w:tc>
                <w:tcPr>
                  <w:tcW w:w="3325" w:type="dxa"/>
                  <w:noWrap w:val="0"/>
                  <w:vAlign w:val="center"/>
                </w:tcPr>
                <w:p w14:paraId="33F7D631">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b/>
                      <w:kern w:val="0"/>
                      <w:sz w:val="21"/>
                      <w:szCs w:val="21"/>
                    </w:rPr>
                  </w:pPr>
                  <w:r>
                    <w:rPr>
                      <w:rFonts w:hint="eastAsia" w:ascii="宋体" w:hAnsi="宋体" w:eastAsia="宋体" w:cs="宋体"/>
                      <w:b/>
                      <w:kern w:val="0"/>
                      <w:sz w:val="21"/>
                      <w:szCs w:val="21"/>
                    </w:rPr>
                    <w:t>标准来源</w:t>
                  </w:r>
                </w:p>
              </w:tc>
            </w:tr>
            <w:tr w14:paraId="32CDE3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308" w:type="dxa"/>
                  <w:noWrap w:val="0"/>
                  <w:vAlign w:val="center"/>
                </w:tcPr>
                <w:p w14:paraId="478C7641">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rPr>
                  </w:pPr>
                  <w:r>
                    <w:rPr>
                      <w:rFonts w:hint="eastAsia" w:ascii="宋体" w:hAnsi="宋体" w:eastAsia="宋体" w:cs="宋体"/>
                      <w:sz w:val="21"/>
                      <w:szCs w:val="21"/>
                    </w:rPr>
                    <w:t>TSP</w:t>
                  </w:r>
                </w:p>
              </w:tc>
              <w:tc>
                <w:tcPr>
                  <w:tcW w:w="3201" w:type="dxa"/>
                  <w:noWrap w:val="0"/>
                  <w:vAlign w:val="center"/>
                </w:tcPr>
                <w:p w14:paraId="1568C417">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0.5</w:t>
                  </w:r>
                </w:p>
              </w:tc>
              <w:tc>
                <w:tcPr>
                  <w:tcW w:w="3325" w:type="dxa"/>
                  <w:noWrap w:val="0"/>
                  <w:vAlign w:val="center"/>
                </w:tcPr>
                <w:p w14:paraId="46273540">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bCs/>
                      <w:sz w:val="21"/>
                      <w:szCs w:val="21"/>
                    </w:rPr>
                  </w:pPr>
                  <w:r>
                    <w:rPr>
                      <w:rFonts w:hint="eastAsia" w:ascii="宋体" w:hAnsi="宋体" w:eastAsia="宋体" w:cs="宋体"/>
                      <w:bCs/>
                      <w:sz w:val="21"/>
                      <w:szCs w:val="21"/>
                    </w:rPr>
                    <w:t>《施工场地扬尘排放标准》（DB32/4437-2022）</w:t>
                  </w:r>
                </w:p>
              </w:tc>
            </w:tr>
          </w:tbl>
          <w:p w14:paraId="7FB39F55">
            <w:pPr>
              <w:keepNext w:val="0"/>
              <w:keepLines w:val="0"/>
              <w:suppressLineNumbers w:val="0"/>
              <w:adjustRightInd w:val="0"/>
              <w:snapToGrid w:val="0"/>
              <w:spacing w:before="0" w:beforeAutospacing="0" w:after="0" w:afterAutospacing="0" w:line="360" w:lineRule="auto"/>
              <w:ind w:left="0" w:right="0"/>
              <w:rPr>
                <w:rFonts w:hint="eastAsia" w:ascii="宋体" w:hAnsi="宋体" w:eastAsia="宋体" w:cs="宋体"/>
                <w:lang w:val="en-US" w:eastAsia="zh-CN"/>
              </w:rPr>
            </w:pPr>
          </w:p>
          <w:p w14:paraId="7D0E801C">
            <w:pPr>
              <w:keepNext w:val="0"/>
              <w:keepLines w:val="0"/>
              <w:suppressLineNumbers w:val="0"/>
              <w:adjustRightInd w:val="0"/>
              <w:snapToGrid w:val="0"/>
              <w:spacing w:before="0" w:beforeAutospacing="0" w:after="0" w:afterAutospacing="0" w:line="360" w:lineRule="auto"/>
              <w:ind w:left="0" w:right="0"/>
              <w:rPr>
                <w:rFonts w:hint="eastAsia" w:ascii="宋体" w:hAnsi="宋体" w:eastAsia="宋体" w:cs="宋体"/>
                <w:sz w:val="24"/>
              </w:rPr>
            </w:pPr>
            <w:r>
              <w:rPr>
                <w:rFonts w:hint="eastAsia" w:ascii="宋体" w:hAnsi="宋体" w:eastAsia="宋体" w:cs="宋体"/>
                <w:lang w:val="en-US" w:eastAsia="zh-CN"/>
              </w:rPr>
              <w:t>2、</w:t>
            </w:r>
            <w:r>
              <w:rPr>
                <w:rFonts w:hint="eastAsia" w:ascii="宋体" w:hAnsi="宋体" w:eastAsia="宋体" w:cs="宋体"/>
                <w:sz w:val="24"/>
              </w:rPr>
              <w:t>噪声</w:t>
            </w:r>
          </w:p>
          <w:p w14:paraId="6FB4354D">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sz w:val="24"/>
              </w:rPr>
            </w:pPr>
            <w:r>
              <w:rPr>
                <w:rFonts w:hint="eastAsia" w:ascii="宋体" w:hAnsi="宋体" w:eastAsia="宋体" w:cs="宋体"/>
                <w:sz w:val="24"/>
              </w:rPr>
              <w:t>执行《建筑施工场界环境噪声排放标准》（GB12523-2011）标准。具体标准值见下表，单位dB(A)。</w:t>
            </w:r>
          </w:p>
          <w:p w14:paraId="53B3D67D">
            <w:pPr>
              <w:pStyle w:val="10"/>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b/>
                <w:bCs/>
                <w:sz w:val="24"/>
                <w:szCs w:val="24"/>
              </w:rPr>
              <w:t>表3-</w:t>
            </w:r>
            <w:r>
              <w:rPr>
                <w:rFonts w:hint="eastAsia" w:ascii="宋体" w:hAnsi="宋体" w:eastAsia="宋体" w:cs="宋体"/>
                <w:b/>
                <w:bCs/>
                <w:sz w:val="24"/>
                <w:szCs w:val="24"/>
                <w:lang w:val="en-US" w:eastAsia="zh-CN"/>
              </w:rPr>
              <w:t>8</w:t>
            </w:r>
            <w:r>
              <w:rPr>
                <w:rFonts w:hint="eastAsia" w:ascii="宋体" w:hAnsi="宋体" w:eastAsia="宋体" w:cs="宋体"/>
                <w:b/>
                <w:bCs/>
                <w:sz w:val="24"/>
                <w:szCs w:val="24"/>
              </w:rPr>
              <w:t xml:space="preserve">  施工期噪声排放标准</w:t>
            </w:r>
          </w:p>
          <w:tbl>
            <w:tblPr>
              <w:tblStyle w:val="3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46"/>
              <w:gridCol w:w="1601"/>
              <w:gridCol w:w="2456"/>
            </w:tblGrid>
            <w:tr w14:paraId="3ED3A6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46" w:type="dxa"/>
                  <w:noWrap w:val="0"/>
                  <w:vAlign w:val="center"/>
                </w:tcPr>
                <w:p w14:paraId="7399B791">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1601" w:type="dxa"/>
                  <w:noWrap w:val="0"/>
                  <w:vAlign w:val="center"/>
                </w:tcPr>
                <w:p w14:paraId="4F31B344">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昼间</w:t>
                  </w:r>
                </w:p>
              </w:tc>
              <w:tc>
                <w:tcPr>
                  <w:tcW w:w="2456" w:type="dxa"/>
                  <w:noWrap w:val="0"/>
                  <w:vAlign w:val="center"/>
                </w:tcPr>
                <w:p w14:paraId="12F43A87">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夜间</w:t>
                  </w:r>
                </w:p>
              </w:tc>
            </w:tr>
            <w:tr w14:paraId="53AB2A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46" w:type="dxa"/>
                  <w:noWrap w:val="0"/>
                  <w:vAlign w:val="center"/>
                </w:tcPr>
                <w:p w14:paraId="63FE35BB">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建筑施工场界噪声</w:t>
                  </w:r>
                </w:p>
                <w:p w14:paraId="2565F5AA">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排放标准限值</w:t>
                  </w:r>
                </w:p>
              </w:tc>
              <w:tc>
                <w:tcPr>
                  <w:tcW w:w="1601" w:type="dxa"/>
                  <w:noWrap w:val="0"/>
                  <w:vAlign w:val="center"/>
                </w:tcPr>
                <w:p w14:paraId="01B6554E">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70</w:t>
                  </w:r>
                </w:p>
              </w:tc>
              <w:tc>
                <w:tcPr>
                  <w:tcW w:w="2456" w:type="dxa"/>
                  <w:noWrap w:val="0"/>
                  <w:vAlign w:val="center"/>
                </w:tcPr>
                <w:p w14:paraId="743B12FB">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55</w:t>
                  </w:r>
                </w:p>
              </w:tc>
            </w:tr>
          </w:tbl>
          <w:p w14:paraId="6E90966E">
            <w:pPr>
              <w:keepNext w:val="0"/>
              <w:keepLines w:val="0"/>
              <w:suppressLineNumbers w:val="0"/>
              <w:adjustRightInd w:val="0"/>
              <w:snapToGrid w:val="0"/>
              <w:spacing w:before="0" w:beforeAutospacing="0" w:after="0" w:afterAutospacing="0"/>
              <w:ind w:left="0" w:right="0"/>
              <w:rPr>
                <w:rFonts w:hint="eastAsia" w:ascii="宋体" w:hAnsi="宋体" w:eastAsia="宋体" w:cs="宋体"/>
                <w:lang w:val="en-US" w:eastAsia="zh-CN"/>
              </w:rPr>
            </w:pPr>
          </w:p>
          <w:p w14:paraId="0DA79AFC">
            <w:pPr>
              <w:keepNext w:val="0"/>
              <w:keepLines w:val="0"/>
              <w:suppressLineNumbers w:val="0"/>
              <w:adjustRightInd w:val="0"/>
              <w:snapToGrid w:val="0"/>
              <w:spacing w:before="0" w:beforeAutospacing="0" w:after="0" w:afterAutospacing="0"/>
              <w:ind w:left="0" w:right="0"/>
              <w:rPr>
                <w:rFonts w:hint="eastAsia" w:ascii="宋体" w:hAnsi="宋体" w:eastAsia="宋体" w:cs="宋体"/>
                <w:lang w:val="en-US" w:eastAsia="zh-CN"/>
              </w:rPr>
            </w:pPr>
          </w:p>
          <w:p w14:paraId="7FF57FF2">
            <w:pPr>
              <w:keepNext w:val="0"/>
              <w:keepLines w:val="0"/>
              <w:suppressLineNumbers w:val="0"/>
              <w:adjustRightInd w:val="0"/>
              <w:snapToGrid w:val="0"/>
              <w:spacing w:before="0" w:beforeAutospacing="0" w:after="0" w:afterAutospacing="0"/>
              <w:ind w:left="0" w:right="0"/>
              <w:rPr>
                <w:rFonts w:hint="eastAsia" w:ascii="宋体" w:hAnsi="宋体" w:eastAsia="宋体" w:cs="宋体"/>
                <w:lang w:eastAsia="zh-CN"/>
              </w:rPr>
            </w:pPr>
            <w:r>
              <w:rPr>
                <w:rFonts w:hint="eastAsia" w:ascii="宋体" w:hAnsi="宋体" w:eastAsia="宋体" w:cs="宋体"/>
                <w:b/>
                <w:bCs/>
                <w:lang w:eastAsia="zh-CN"/>
              </w:rPr>
              <w:t>营运期：</w:t>
            </w:r>
          </w:p>
          <w:p w14:paraId="4C45D2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宋体" w:hAnsi="宋体" w:eastAsia="宋体" w:cs="宋体"/>
                <w:lang w:val="en-US" w:eastAsia="zh-CN"/>
              </w:rPr>
            </w:pPr>
            <w:r>
              <w:rPr>
                <w:rFonts w:hint="eastAsia" w:ascii="宋体" w:hAnsi="宋体" w:eastAsia="宋体" w:cs="宋体"/>
                <w:lang w:val="en-US" w:eastAsia="zh-CN"/>
              </w:rPr>
              <w:t>1、废气</w:t>
            </w:r>
          </w:p>
          <w:p w14:paraId="0B609E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eastAsia" w:ascii="宋体" w:hAnsi="宋体" w:eastAsia="宋体" w:cs="宋体"/>
              </w:rPr>
            </w:pPr>
            <w:r>
              <w:rPr>
                <w:rFonts w:hint="eastAsia" w:ascii="宋体" w:hAnsi="宋体" w:eastAsia="宋体" w:cs="宋体"/>
              </w:rPr>
              <w:t>①本项目喷</w:t>
            </w:r>
            <w:r>
              <w:rPr>
                <w:rFonts w:hint="eastAsia" w:ascii="宋体" w:hAnsi="宋体" w:eastAsia="宋体" w:cs="宋体"/>
                <w:lang w:val="en-US" w:eastAsia="zh-CN"/>
              </w:rPr>
              <w:t>塑</w:t>
            </w:r>
            <w:r>
              <w:rPr>
                <w:rFonts w:hint="eastAsia" w:ascii="宋体" w:hAnsi="宋体" w:eastAsia="宋体" w:cs="宋体"/>
                <w:lang w:val="zh-CN"/>
              </w:rPr>
              <w:t>有组织废气执行《工业涂装工序大气污染物排放标准》（DB32/4439-2022）表1标准；</w:t>
            </w:r>
          </w:p>
          <w:p w14:paraId="0DAA6A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eastAsia" w:ascii="宋体" w:hAnsi="宋体" w:eastAsia="宋体" w:cs="宋体"/>
                <w:lang w:val="zh-CN"/>
              </w:rPr>
            </w:pPr>
            <w:r>
              <w:rPr>
                <w:rFonts w:hint="eastAsia" w:ascii="宋体" w:hAnsi="宋体" w:eastAsia="宋体" w:cs="宋体"/>
              </w:rPr>
              <w:t>②</w:t>
            </w:r>
            <w:r>
              <w:rPr>
                <w:rFonts w:hint="eastAsia" w:ascii="宋体" w:hAnsi="宋体" w:eastAsia="宋体" w:cs="宋体"/>
                <w:lang w:val="zh-CN"/>
              </w:rPr>
              <w:t>本项目</w:t>
            </w:r>
            <w:r>
              <w:rPr>
                <w:rFonts w:hint="eastAsia" w:ascii="宋体" w:hAnsi="宋体" w:eastAsia="宋体" w:cs="宋体"/>
                <w:lang w:val="en-US" w:eastAsia="zh-CN"/>
              </w:rPr>
              <w:t>打磨</w:t>
            </w:r>
            <w:r>
              <w:rPr>
                <w:rFonts w:hint="eastAsia" w:ascii="宋体" w:hAnsi="宋体" w:eastAsia="宋体" w:cs="宋体"/>
                <w:lang w:eastAsia="zh-CN"/>
              </w:rPr>
              <w:t>、喷砂产生的颗粒物</w:t>
            </w:r>
            <w:r>
              <w:rPr>
                <w:rFonts w:hint="eastAsia" w:ascii="宋体" w:hAnsi="宋体" w:eastAsia="宋体" w:cs="宋体"/>
              </w:rPr>
              <w:t>有组织</w:t>
            </w:r>
            <w:r>
              <w:rPr>
                <w:rFonts w:hint="eastAsia" w:ascii="宋体" w:hAnsi="宋体" w:eastAsia="宋体" w:cs="宋体"/>
                <w:lang w:val="zh-CN"/>
              </w:rPr>
              <w:t>废气执行《大气污染物综合排放标准》（DB32/4041-2021）表1中的排放限值。</w:t>
            </w:r>
          </w:p>
          <w:p w14:paraId="14FC6C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③本项目</w:t>
            </w:r>
            <w:r>
              <w:rPr>
                <w:rFonts w:hint="eastAsia" w:ascii="宋体" w:hAnsi="宋体" w:eastAsia="宋体" w:cs="宋体"/>
                <w:sz w:val="24"/>
                <w:szCs w:val="24"/>
              </w:rPr>
              <w:t>天然气燃烧</w:t>
            </w:r>
            <w:r>
              <w:rPr>
                <w:rFonts w:hint="eastAsia" w:ascii="宋体" w:hAnsi="宋体" w:eastAsia="宋体" w:cs="宋体"/>
                <w:bCs/>
                <w:sz w:val="24"/>
                <w:szCs w:val="24"/>
              </w:rPr>
              <w:t>废气</w:t>
            </w:r>
            <w:r>
              <w:rPr>
                <w:rFonts w:hint="eastAsia" w:ascii="宋体" w:hAnsi="宋体" w:eastAsia="宋体" w:cs="宋体"/>
                <w:sz w:val="24"/>
                <w:szCs w:val="24"/>
              </w:rPr>
              <w:t>执行《锅炉大气污染物排放标准》（DB32/4385-2022）</w:t>
            </w:r>
            <w:r>
              <w:rPr>
                <w:rFonts w:hint="eastAsia" w:ascii="宋体" w:hAnsi="宋体" w:eastAsia="宋体" w:cs="宋体"/>
                <w:sz w:val="24"/>
                <w:szCs w:val="24"/>
                <w:lang w:val="zh-CN"/>
              </w:rPr>
              <w:t>中表</w:t>
            </w:r>
            <w:r>
              <w:rPr>
                <w:rFonts w:hint="eastAsia" w:ascii="宋体" w:hAnsi="宋体" w:eastAsia="宋体" w:cs="宋体"/>
                <w:sz w:val="24"/>
                <w:szCs w:val="24"/>
              </w:rPr>
              <w:t>1</w:t>
            </w:r>
            <w:r>
              <w:rPr>
                <w:rFonts w:hint="eastAsia" w:ascii="宋体" w:hAnsi="宋体" w:eastAsia="宋体" w:cs="宋体"/>
                <w:sz w:val="24"/>
                <w:szCs w:val="24"/>
                <w:lang w:val="zh-CN"/>
              </w:rPr>
              <w:t>标准；</w:t>
            </w:r>
          </w:p>
          <w:p w14:paraId="76AD7650">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textAlignment w:val="auto"/>
              <w:rPr>
                <w:rFonts w:hint="eastAsia" w:eastAsia="宋体"/>
                <w:color w:val="auto"/>
                <w:sz w:val="24"/>
                <w:szCs w:val="24"/>
              </w:rPr>
            </w:pPr>
            <w:r>
              <w:rPr>
                <w:rFonts w:hint="eastAsia" w:ascii="宋体" w:hAnsi="宋体" w:eastAsia="宋体" w:cs="宋体"/>
                <w:sz w:val="24"/>
                <w:szCs w:val="24"/>
                <w:lang w:val="zh-CN"/>
              </w:rPr>
              <w:t>④本项目厂界无组织废气执行《大气污染物综合排放标准》（DB32/4041-2021）表3标准；厂区内非甲烷总烃无组织排放监控点浓度执行《工业涂装工序大气污染物排放标准》（DB32/4439-2022）表</w:t>
            </w:r>
            <w:r>
              <w:rPr>
                <w:rFonts w:hint="eastAsia" w:ascii="宋体" w:hAnsi="宋体" w:eastAsia="宋体" w:cs="宋体"/>
                <w:sz w:val="24"/>
                <w:szCs w:val="24"/>
              </w:rPr>
              <w:t>3</w:t>
            </w:r>
            <w:r>
              <w:rPr>
                <w:rFonts w:hint="eastAsia" w:ascii="宋体" w:hAnsi="宋体" w:eastAsia="宋体" w:cs="宋体"/>
                <w:sz w:val="24"/>
                <w:szCs w:val="24"/>
                <w:lang w:val="zh-CN"/>
              </w:rPr>
              <w:t>标准。具体见表</w:t>
            </w:r>
            <w:r>
              <w:rPr>
                <w:rFonts w:hint="eastAsia" w:ascii="宋体" w:hAnsi="宋体" w:eastAsia="宋体" w:cs="宋体"/>
                <w:sz w:val="24"/>
                <w:szCs w:val="24"/>
              </w:rPr>
              <w:t>3-</w:t>
            </w:r>
            <w:r>
              <w:rPr>
                <w:rFonts w:hint="eastAsia" w:ascii="宋体" w:hAnsi="宋体" w:cs="宋体"/>
                <w:sz w:val="24"/>
                <w:szCs w:val="24"/>
                <w:lang w:val="en-US" w:eastAsia="zh-CN"/>
              </w:rPr>
              <w:t>9</w:t>
            </w:r>
            <w:r>
              <w:rPr>
                <w:rFonts w:hint="eastAsia" w:ascii="宋体" w:hAnsi="宋体" w:eastAsia="宋体" w:cs="宋体"/>
                <w:sz w:val="24"/>
                <w:szCs w:val="24"/>
              </w:rPr>
              <w:t>～3-</w:t>
            </w:r>
            <w:r>
              <w:rPr>
                <w:rFonts w:hint="eastAsia" w:ascii="宋体" w:hAnsi="宋体" w:cs="宋体"/>
                <w:sz w:val="24"/>
                <w:szCs w:val="24"/>
                <w:lang w:val="en-US" w:eastAsia="zh-CN"/>
              </w:rPr>
              <w:t>11</w:t>
            </w:r>
            <w:r>
              <w:rPr>
                <w:rFonts w:hint="eastAsia" w:ascii="宋体" w:hAnsi="宋体" w:eastAsia="宋体" w:cs="宋体"/>
                <w:sz w:val="24"/>
                <w:szCs w:val="24"/>
                <w:lang w:val="zh-CN"/>
              </w:rPr>
              <w:t>。</w:t>
            </w:r>
          </w:p>
          <w:p w14:paraId="2B221B44">
            <w:pPr>
              <w:pStyle w:val="41"/>
              <w:keepNext w:val="0"/>
              <w:keepLines w:val="0"/>
              <w:suppressLineNumbers w:val="0"/>
              <w:snapToGrid w:val="0"/>
              <w:spacing w:before="31" w:beforeAutospacing="0" w:after="31" w:afterAutospacing="0"/>
              <w:ind w:left="0" w:right="0"/>
              <w:jc w:val="center"/>
              <w:rPr>
                <w:rFonts w:hint="eastAsia" w:eastAsia="宋体"/>
                <w:color w:val="auto"/>
              </w:rPr>
            </w:pPr>
          </w:p>
          <w:p w14:paraId="168835D2">
            <w:pPr>
              <w:pStyle w:val="41"/>
              <w:keepNext w:val="0"/>
              <w:keepLines w:val="0"/>
              <w:suppressLineNumbers w:val="0"/>
              <w:snapToGrid w:val="0"/>
              <w:spacing w:before="31" w:beforeAutospacing="0" w:after="31" w:afterAutospacing="0"/>
              <w:ind w:left="0" w:right="0"/>
              <w:jc w:val="center"/>
              <w:rPr>
                <w:rFonts w:hint="eastAsia" w:eastAsia="宋体"/>
                <w:color w:val="auto"/>
              </w:rPr>
            </w:pPr>
          </w:p>
          <w:p w14:paraId="3DB6F922">
            <w:pPr>
              <w:pStyle w:val="41"/>
              <w:keepNext w:val="0"/>
              <w:keepLines w:val="0"/>
              <w:suppressLineNumbers w:val="0"/>
              <w:snapToGrid w:val="0"/>
              <w:spacing w:before="31" w:beforeAutospacing="0" w:after="31" w:afterAutospacing="0"/>
              <w:ind w:left="0" w:right="0"/>
              <w:jc w:val="center"/>
              <w:rPr>
                <w:rFonts w:hint="eastAsia" w:eastAsia="宋体"/>
                <w:color w:val="auto"/>
              </w:rPr>
            </w:pPr>
            <w:r>
              <w:rPr>
                <w:rFonts w:hint="eastAsia" w:eastAsia="宋体"/>
                <w:b/>
                <w:bCs/>
                <w:color w:val="auto"/>
              </w:rPr>
              <w:t>表3-</w:t>
            </w:r>
            <w:r>
              <w:rPr>
                <w:rFonts w:hint="eastAsia" w:eastAsia="宋体"/>
                <w:b/>
                <w:bCs/>
                <w:color w:val="auto"/>
                <w:lang w:val="en-US" w:eastAsia="zh-CN"/>
              </w:rPr>
              <w:t>9</w:t>
            </w:r>
            <w:r>
              <w:rPr>
                <w:rFonts w:hint="eastAsia" w:eastAsia="宋体"/>
                <w:b/>
                <w:bCs/>
                <w:color w:val="auto"/>
              </w:rPr>
              <w:t xml:space="preserve"> 有组织废气和厂界无组织废气排放标准限值</w:t>
            </w:r>
          </w:p>
          <w:tbl>
            <w:tblPr>
              <w:tblStyle w:val="30"/>
              <w:tblW w:w="83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1310"/>
              <w:gridCol w:w="1660"/>
              <w:gridCol w:w="1560"/>
              <w:gridCol w:w="2473"/>
            </w:tblGrid>
            <w:tr w14:paraId="17A272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315" w:type="dxa"/>
                  <w:noWrap w:val="0"/>
                  <w:vAlign w:val="center"/>
                </w:tcPr>
                <w:p w14:paraId="50CCAC2E">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b/>
                      <w:kern w:val="0"/>
                      <w:sz w:val="21"/>
                      <w:szCs w:val="21"/>
                      <w:lang w:eastAsia="zh-CN"/>
                    </w:rPr>
                  </w:pPr>
                  <w:r>
                    <w:rPr>
                      <w:rFonts w:hint="eastAsia" w:ascii="宋体" w:hAnsi="宋体" w:eastAsia="宋体" w:cs="宋体"/>
                      <w:b/>
                      <w:kern w:val="0"/>
                      <w:sz w:val="21"/>
                      <w:szCs w:val="21"/>
                      <w:lang w:eastAsia="zh-CN"/>
                    </w:rPr>
                    <w:t>排气筒</w:t>
                  </w:r>
                </w:p>
              </w:tc>
              <w:tc>
                <w:tcPr>
                  <w:tcW w:w="1310" w:type="dxa"/>
                  <w:noWrap w:val="0"/>
                  <w:vAlign w:val="center"/>
                </w:tcPr>
                <w:p w14:paraId="5504D62E">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b/>
                      <w:kern w:val="0"/>
                      <w:sz w:val="21"/>
                      <w:szCs w:val="21"/>
                    </w:rPr>
                  </w:pPr>
                  <w:r>
                    <w:rPr>
                      <w:rFonts w:hint="eastAsia" w:ascii="宋体" w:hAnsi="宋体" w:eastAsia="宋体" w:cs="宋体"/>
                      <w:b/>
                      <w:kern w:val="0"/>
                      <w:sz w:val="21"/>
                      <w:szCs w:val="21"/>
                    </w:rPr>
                    <w:t>污染物</w:t>
                  </w:r>
                </w:p>
              </w:tc>
              <w:tc>
                <w:tcPr>
                  <w:tcW w:w="1660" w:type="dxa"/>
                  <w:noWrap w:val="0"/>
                  <w:vAlign w:val="center"/>
                </w:tcPr>
                <w:p w14:paraId="7FE0A6D8">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b/>
                      <w:kern w:val="0"/>
                      <w:sz w:val="21"/>
                      <w:szCs w:val="21"/>
                    </w:rPr>
                  </w:pPr>
                  <w:r>
                    <w:rPr>
                      <w:rFonts w:hint="eastAsia" w:ascii="宋体" w:hAnsi="宋体" w:eastAsia="宋体" w:cs="宋体"/>
                      <w:b/>
                      <w:kern w:val="0"/>
                      <w:sz w:val="21"/>
                      <w:szCs w:val="21"/>
                    </w:rPr>
                    <w:t>最高允许排放浓度(mg/m</w:t>
                  </w:r>
                  <w:r>
                    <w:rPr>
                      <w:rFonts w:hint="eastAsia" w:ascii="宋体" w:hAnsi="宋体" w:eastAsia="宋体" w:cs="宋体"/>
                      <w:b/>
                      <w:kern w:val="0"/>
                      <w:sz w:val="21"/>
                      <w:szCs w:val="21"/>
                      <w:vertAlign w:val="superscript"/>
                    </w:rPr>
                    <w:t>3</w:t>
                  </w:r>
                  <w:r>
                    <w:rPr>
                      <w:rFonts w:hint="eastAsia" w:ascii="宋体" w:hAnsi="宋体" w:eastAsia="宋体" w:cs="宋体"/>
                      <w:b/>
                      <w:kern w:val="0"/>
                      <w:sz w:val="21"/>
                      <w:szCs w:val="21"/>
                    </w:rPr>
                    <w:t>)</w:t>
                  </w:r>
                </w:p>
              </w:tc>
              <w:tc>
                <w:tcPr>
                  <w:tcW w:w="1560" w:type="dxa"/>
                  <w:noWrap w:val="0"/>
                  <w:vAlign w:val="center"/>
                </w:tcPr>
                <w:p w14:paraId="092AF5D2">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b/>
                      <w:kern w:val="0"/>
                      <w:sz w:val="21"/>
                      <w:szCs w:val="21"/>
                    </w:rPr>
                  </w:pPr>
                  <w:r>
                    <w:rPr>
                      <w:rFonts w:hint="eastAsia" w:ascii="宋体" w:hAnsi="宋体" w:eastAsia="宋体" w:cs="宋体"/>
                      <w:b/>
                      <w:kern w:val="0"/>
                      <w:sz w:val="21"/>
                      <w:szCs w:val="21"/>
                    </w:rPr>
                    <w:t>最高允许排放速率，kg/h</w:t>
                  </w:r>
                </w:p>
              </w:tc>
              <w:tc>
                <w:tcPr>
                  <w:tcW w:w="2473" w:type="dxa"/>
                  <w:noWrap w:val="0"/>
                  <w:vAlign w:val="center"/>
                </w:tcPr>
                <w:p w14:paraId="432E1F77">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b/>
                      <w:kern w:val="0"/>
                      <w:sz w:val="21"/>
                      <w:szCs w:val="21"/>
                    </w:rPr>
                  </w:pPr>
                  <w:r>
                    <w:rPr>
                      <w:rFonts w:hint="eastAsia" w:ascii="宋体" w:hAnsi="宋体" w:eastAsia="宋体" w:cs="宋体"/>
                      <w:b/>
                      <w:kern w:val="0"/>
                      <w:sz w:val="21"/>
                      <w:szCs w:val="21"/>
                    </w:rPr>
                    <w:t>标准来源</w:t>
                  </w:r>
                </w:p>
              </w:tc>
            </w:tr>
            <w:tr w14:paraId="6377B5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0" w:hRule="atLeast"/>
                <w:jc w:val="center"/>
              </w:trPr>
              <w:tc>
                <w:tcPr>
                  <w:tcW w:w="1315" w:type="dxa"/>
                  <w:vMerge w:val="restart"/>
                  <w:noWrap w:val="0"/>
                  <w:vAlign w:val="center"/>
                </w:tcPr>
                <w:p w14:paraId="4FAE8629">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喷</w:t>
                  </w:r>
                  <w:r>
                    <w:rPr>
                      <w:rFonts w:hint="eastAsia" w:ascii="宋体" w:hAnsi="宋体" w:eastAsia="宋体" w:cs="宋体"/>
                      <w:sz w:val="21"/>
                      <w:szCs w:val="21"/>
                      <w:lang w:val="en-US" w:eastAsia="zh-CN"/>
                    </w:rPr>
                    <w:t>塑</w:t>
                  </w:r>
                  <w:r>
                    <w:rPr>
                      <w:rFonts w:hint="eastAsia" w:ascii="宋体" w:hAnsi="宋体" w:eastAsia="宋体" w:cs="宋体"/>
                      <w:sz w:val="21"/>
                      <w:szCs w:val="21"/>
                      <w:lang w:eastAsia="zh-CN"/>
                    </w:rPr>
                    <w:t>排气筒（</w:t>
                  </w:r>
                  <w:r>
                    <w:rPr>
                      <w:rFonts w:hint="eastAsia" w:ascii="宋体" w:hAnsi="宋体" w:eastAsia="宋体" w:cs="宋体"/>
                      <w:sz w:val="21"/>
                      <w:szCs w:val="21"/>
                      <w:lang w:val="en-US" w:eastAsia="zh-CN"/>
                    </w:rPr>
                    <w:t>DA001、DA002、DA005</w:t>
                  </w:r>
                  <w:r>
                    <w:rPr>
                      <w:rFonts w:hint="eastAsia" w:ascii="宋体" w:hAnsi="宋体" w:eastAsia="宋体" w:cs="宋体"/>
                      <w:sz w:val="21"/>
                      <w:szCs w:val="21"/>
                      <w:lang w:eastAsia="zh-CN"/>
                    </w:rPr>
                    <w:t>）</w:t>
                  </w:r>
                </w:p>
              </w:tc>
              <w:tc>
                <w:tcPr>
                  <w:tcW w:w="1310" w:type="dxa"/>
                  <w:noWrap w:val="0"/>
                  <w:vAlign w:val="center"/>
                </w:tcPr>
                <w:p w14:paraId="7E842A7A">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颗粒物</w:t>
                  </w:r>
                </w:p>
              </w:tc>
              <w:tc>
                <w:tcPr>
                  <w:tcW w:w="1660" w:type="dxa"/>
                  <w:noWrap w:val="0"/>
                  <w:vAlign w:val="center"/>
                </w:tcPr>
                <w:p w14:paraId="7140F896">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rPr>
                  </w:pPr>
                  <w:r>
                    <w:rPr>
                      <w:rFonts w:hint="eastAsia" w:ascii="宋体" w:hAnsi="宋体" w:eastAsia="宋体" w:cs="宋体"/>
                      <w:sz w:val="21"/>
                      <w:szCs w:val="21"/>
                    </w:rPr>
                    <w:t>10</w:t>
                  </w:r>
                </w:p>
              </w:tc>
              <w:tc>
                <w:tcPr>
                  <w:tcW w:w="1560" w:type="dxa"/>
                  <w:noWrap w:val="0"/>
                  <w:vAlign w:val="center"/>
                </w:tcPr>
                <w:p w14:paraId="7A8195B7">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rPr>
                  </w:pPr>
                  <w:r>
                    <w:rPr>
                      <w:rFonts w:hint="eastAsia" w:ascii="宋体" w:hAnsi="宋体" w:eastAsia="宋体" w:cs="宋体"/>
                      <w:sz w:val="21"/>
                      <w:szCs w:val="21"/>
                    </w:rPr>
                    <w:t>0.4</w:t>
                  </w:r>
                </w:p>
              </w:tc>
              <w:tc>
                <w:tcPr>
                  <w:tcW w:w="2473" w:type="dxa"/>
                  <w:vMerge w:val="restart"/>
                  <w:noWrap w:val="0"/>
                  <w:vAlign w:val="center"/>
                </w:tcPr>
                <w:p w14:paraId="19F8D0F2">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bCs/>
                      <w:sz w:val="21"/>
                      <w:szCs w:val="21"/>
                    </w:rPr>
                  </w:pPr>
                  <w:r>
                    <w:rPr>
                      <w:rFonts w:hint="eastAsia" w:ascii="宋体" w:hAnsi="宋体" w:eastAsia="宋体" w:cs="宋体"/>
                      <w:bCs/>
                      <w:sz w:val="21"/>
                      <w:szCs w:val="21"/>
                    </w:rPr>
                    <w:t>《工业涂装工序大气污染物排放标准》（DB32/4439-2022）表1</w:t>
                  </w:r>
                </w:p>
              </w:tc>
            </w:tr>
            <w:tr w14:paraId="5844B5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1315" w:type="dxa"/>
                  <w:vMerge w:val="continue"/>
                  <w:noWrap w:val="0"/>
                  <w:vAlign w:val="center"/>
                </w:tcPr>
                <w:p w14:paraId="025A7EA5">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1310" w:type="dxa"/>
                  <w:noWrap w:val="0"/>
                  <w:vAlign w:val="center"/>
                </w:tcPr>
                <w:p w14:paraId="27AE3961">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非甲烷总烃</w:t>
                  </w:r>
                </w:p>
              </w:tc>
              <w:tc>
                <w:tcPr>
                  <w:tcW w:w="1660" w:type="dxa"/>
                  <w:noWrap w:val="0"/>
                  <w:vAlign w:val="center"/>
                </w:tcPr>
                <w:p w14:paraId="01BAE549">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rPr>
                  </w:pPr>
                  <w:r>
                    <w:rPr>
                      <w:rFonts w:hint="eastAsia" w:ascii="宋体" w:hAnsi="宋体" w:eastAsia="宋体" w:cs="宋体"/>
                      <w:sz w:val="21"/>
                      <w:szCs w:val="21"/>
                    </w:rPr>
                    <w:t>50</w:t>
                  </w:r>
                </w:p>
              </w:tc>
              <w:tc>
                <w:tcPr>
                  <w:tcW w:w="1560" w:type="dxa"/>
                  <w:noWrap w:val="0"/>
                  <w:vAlign w:val="center"/>
                </w:tcPr>
                <w:p w14:paraId="79B385B7">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rPr>
                  </w:pPr>
                  <w:r>
                    <w:rPr>
                      <w:rFonts w:hint="eastAsia" w:ascii="宋体" w:hAnsi="宋体" w:eastAsia="宋体" w:cs="宋体"/>
                      <w:sz w:val="21"/>
                      <w:szCs w:val="21"/>
                    </w:rPr>
                    <w:t>2.0</w:t>
                  </w:r>
                </w:p>
              </w:tc>
              <w:tc>
                <w:tcPr>
                  <w:tcW w:w="2473" w:type="dxa"/>
                  <w:vMerge w:val="continue"/>
                  <w:noWrap w:val="0"/>
                  <w:vAlign w:val="center"/>
                </w:tcPr>
                <w:p w14:paraId="01315E3A">
                  <w:pPr>
                    <w:keepNext w:val="0"/>
                    <w:keepLines w:val="0"/>
                    <w:suppressLineNumbers w:val="0"/>
                    <w:adjustRightInd w:val="0"/>
                    <w:snapToGrid w:val="0"/>
                    <w:spacing w:before="0" w:beforeAutospacing="0" w:after="0" w:afterAutospacing="0" w:line="240" w:lineRule="atLeast"/>
                    <w:ind w:left="0" w:right="0" w:firstLine="210" w:firstLineChars="100"/>
                    <w:jc w:val="center"/>
                    <w:rPr>
                      <w:rFonts w:hint="eastAsia" w:ascii="宋体" w:hAnsi="宋体" w:eastAsia="宋体" w:cs="宋体"/>
                      <w:bCs/>
                      <w:sz w:val="21"/>
                      <w:szCs w:val="21"/>
                    </w:rPr>
                  </w:pPr>
                </w:p>
              </w:tc>
            </w:tr>
            <w:tr w14:paraId="4D3E88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315" w:type="dxa"/>
                  <w:vMerge w:val="restart"/>
                  <w:noWrap w:val="0"/>
                  <w:vAlign w:val="center"/>
                </w:tcPr>
                <w:p w14:paraId="3E33826C">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天然气排气筒（DA004）</w:t>
                  </w:r>
                </w:p>
              </w:tc>
              <w:tc>
                <w:tcPr>
                  <w:tcW w:w="1310" w:type="dxa"/>
                  <w:noWrap w:val="0"/>
                  <w:vAlign w:val="center"/>
                </w:tcPr>
                <w:p w14:paraId="5BE43ACA">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颗粒物</w:t>
                  </w:r>
                </w:p>
              </w:tc>
              <w:tc>
                <w:tcPr>
                  <w:tcW w:w="1660" w:type="dxa"/>
                  <w:noWrap w:val="0"/>
                  <w:vAlign w:val="center"/>
                </w:tcPr>
                <w:p w14:paraId="63D6C153">
                  <w:pPr>
                    <w:keepNext w:val="0"/>
                    <w:keepLines w:val="0"/>
                    <w:suppressLineNumbers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cs="宋体"/>
                      <w:sz w:val="21"/>
                      <w:szCs w:val="21"/>
                    </w:rPr>
                    <w:t>10</w:t>
                  </w:r>
                </w:p>
              </w:tc>
              <w:tc>
                <w:tcPr>
                  <w:tcW w:w="1560" w:type="dxa"/>
                  <w:noWrap w:val="0"/>
                  <w:vAlign w:val="center"/>
                </w:tcPr>
                <w:p w14:paraId="62A59BA9">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473" w:type="dxa"/>
                  <w:vMerge w:val="restart"/>
                  <w:noWrap w:val="0"/>
                  <w:vAlign w:val="center"/>
                </w:tcPr>
                <w:p w14:paraId="3472CB14">
                  <w:pPr>
                    <w:keepNext w:val="0"/>
                    <w:keepLines w:val="0"/>
                    <w:suppressLineNumbers w:val="0"/>
                    <w:adjustRightInd w:val="0"/>
                    <w:snapToGrid w:val="0"/>
                    <w:spacing w:before="0" w:beforeAutospacing="0" w:after="0" w:afterAutospacing="0" w:line="240" w:lineRule="atLeast"/>
                    <w:ind w:left="0" w:right="0" w:firstLine="210" w:firstLineChars="100"/>
                    <w:jc w:val="center"/>
                    <w:rPr>
                      <w:rFonts w:hint="eastAsia" w:ascii="宋体" w:hAnsi="宋体" w:eastAsia="宋体" w:cs="宋体"/>
                      <w:bCs/>
                      <w:sz w:val="21"/>
                      <w:szCs w:val="21"/>
                    </w:rPr>
                  </w:pPr>
                  <w:r>
                    <w:rPr>
                      <w:rFonts w:hint="eastAsia" w:ascii="宋体" w:hAnsi="宋体" w:eastAsia="宋体" w:cs="宋体"/>
                      <w:bCs/>
                      <w:sz w:val="21"/>
                      <w:szCs w:val="21"/>
                    </w:rPr>
                    <w:t>《锅炉大气污染物排放标准》（DB32/4385-2022）表1</w:t>
                  </w:r>
                </w:p>
              </w:tc>
            </w:tr>
            <w:tr w14:paraId="147176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0" w:hRule="atLeast"/>
                <w:jc w:val="center"/>
              </w:trPr>
              <w:tc>
                <w:tcPr>
                  <w:tcW w:w="1315" w:type="dxa"/>
                  <w:vMerge w:val="continue"/>
                  <w:noWrap w:val="0"/>
                  <w:vAlign w:val="center"/>
                </w:tcPr>
                <w:p w14:paraId="69621F1A">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1310" w:type="dxa"/>
                  <w:noWrap w:val="0"/>
                  <w:vAlign w:val="center"/>
                </w:tcPr>
                <w:p w14:paraId="66B10E61">
                  <w:pPr>
                    <w:keepNext w:val="0"/>
                    <w:keepLines w:val="0"/>
                    <w:suppressLineNumbers w:val="0"/>
                    <w:autoSpaceDE w:val="0"/>
                    <w:adjustRightInd w:val="0"/>
                    <w:snapToGrid w:val="0"/>
                    <w:spacing w:before="0" w:beforeAutospacing="0" w:after="0" w:afterAutospacing="0" w:line="240" w:lineRule="atLeast"/>
                    <w:ind w:left="0" w:right="0"/>
                    <w:jc w:val="center"/>
                    <w:rPr>
                      <w:rFonts w:hint="eastAsia" w:ascii="宋体" w:hAnsi="宋体" w:eastAsia="宋体" w:cs="宋体"/>
                      <w:kern w:val="2"/>
                      <w:sz w:val="21"/>
                      <w:szCs w:val="21"/>
                      <w:lang w:val="zh-CN" w:eastAsia="zh-CN" w:bidi="ar-SA"/>
                    </w:rPr>
                  </w:pPr>
                  <w:r>
                    <w:rPr>
                      <w:rFonts w:hint="eastAsia" w:ascii="宋体" w:hAnsi="宋体" w:eastAsia="宋体" w:cs="宋体"/>
                      <w:sz w:val="21"/>
                      <w:szCs w:val="21"/>
                      <w:lang w:val="zh-CN"/>
                    </w:rPr>
                    <w:t>二氧化硫</w:t>
                  </w:r>
                </w:p>
              </w:tc>
              <w:tc>
                <w:tcPr>
                  <w:tcW w:w="1660" w:type="dxa"/>
                  <w:noWrap w:val="0"/>
                  <w:vAlign w:val="center"/>
                </w:tcPr>
                <w:p w14:paraId="13EF3035">
                  <w:pPr>
                    <w:keepNext w:val="0"/>
                    <w:keepLines w:val="0"/>
                    <w:suppressLineNumbers w:val="0"/>
                    <w:spacing w:before="0" w:beforeAutospacing="0" w:after="0" w:afterAutospacing="0" w:line="240" w:lineRule="atLeast"/>
                    <w:ind w:left="0" w:right="0"/>
                    <w:jc w:val="center"/>
                    <w:rPr>
                      <w:rFonts w:hint="eastAsia" w:ascii="宋体" w:hAnsi="宋体" w:eastAsia="宋体" w:cs="宋体"/>
                      <w:kern w:val="2"/>
                      <w:sz w:val="21"/>
                      <w:szCs w:val="21"/>
                      <w:lang w:val="en-US" w:eastAsia="zh-CN" w:bidi="ar-SA"/>
                    </w:rPr>
                  </w:pPr>
                  <w:r>
                    <w:rPr>
                      <w:rFonts w:hint="eastAsia" w:ascii="宋体" w:hAnsi="宋体" w:cs="宋体"/>
                      <w:sz w:val="21"/>
                      <w:szCs w:val="21"/>
                    </w:rPr>
                    <w:t>35</w:t>
                  </w:r>
                </w:p>
              </w:tc>
              <w:tc>
                <w:tcPr>
                  <w:tcW w:w="1560" w:type="dxa"/>
                  <w:noWrap w:val="0"/>
                  <w:vAlign w:val="center"/>
                </w:tcPr>
                <w:p w14:paraId="20F435C5">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473" w:type="dxa"/>
                  <w:vMerge w:val="continue"/>
                  <w:noWrap w:val="0"/>
                  <w:vAlign w:val="center"/>
                </w:tcPr>
                <w:p w14:paraId="548082CB">
                  <w:pPr>
                    <w:keepNext w:val="0"/>
                    <w:keepLines w:val="0"/>
                    <w:suppressLineNumbers w:val="0"/>
                    <w:adjustRightInd w:val="0"/>
                    <w:snapToGrid w:val="0"/>
                    <w:spacing w:before="0" w:beforeAutospacing="0" w:after="0" w:afterAutospacing="0" w:line="240" w:lineRule="atLeast"/>
                    <w:ind w:left="0" w:right="0" w:firstLine="210" w:firstLineChars="100"/>
                    <w:jc w:val="center"/>
                    <w:rPr>
                      <w:rFonts w:hint="eastAsia" w:ascii="宋体" w:hAnsi="宋体" w:eastAsia="宋体" w:cs="宋体"/>
                      <w:bCs/>
                      <w:sz w:val="21"/>
                      <w:szCs w:val="21"/>
                    </w:rPr>
                  </w:pPr>
                </w:p>
              </w:tc>
            </w:tr>
            <w:tr w14:paraId="29CA67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5" w:hRule="atLeast"/>
                <w:jc w:val="center"/>
              </w:trPr>
              <w:tc>
                <w:tcPr>
                  <w:tcW w:w="1315" w:type="dxa"/>
                  <w:vMerge w:val="continue"/>
                  <w:noWrap w:val="0"/>
                  <w:vAlign w:val="center"/>
                </w:tcPr>
                <w:p w14:paraId="1749C708">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1310" w:type="dxa"/>
                  <w:noWrap w:val="0"/>
                  <w:vAlign w:val="center"/>
                </w:tcPr>
                <w:p w14:paraId="6D7E6057">
                  <w:pPr>
                    <w:keepNext w:val="0"/>
                    <w:keepLines w:val="0"/>
                    <w:suppressLineNumbers w:val="0"/>
                    <w:autoSpaceDE w:val="0"/>
                    <w:adjustRightInd w:val="0"/>
                    <w:snapToGrid w:val="0"/>
                    <w:spacing w:before="0" w:beforeAutospacing="0" w:after="0" w:afterAutospacing="0" w:line="240" w:lineRule="atLeast"/>
                    <w:ind w:left="0" w:right="0"/>
                    <w:jc w:val="center"/>
                    <w:rPr>
                      <w:rFonts w:hint="eastAsia" w:ascii="宋体" w:hAnsi="宋体" w:eastAsia="宋体" w:cs="宋体"/>
                      <w:kern w:val="2"/>
                      <w:sz w:val="21"/>
                      <w:szCs w:val="21"/>
                      <w:lang w:val="zh-CN" w:eastAsia="zh-CN" w:bidi="ar-SA"/>
                    </w:rPr>
                  </w:pPr>
                  <w:r>
                    <w:rPr>
                      <w:rFonts w:hint="eastAsia" w:ascii="宋体" w:hAnsi="宋体" w:eastAsia="宋体" w:cs="宋体"/>
                      <w:sz w:val="21"/>
                      <w:szCs w:val="21"/>
                      <w:lang w:val="zh-CN"/>
                    </w:rPr>
                    <w:t>氮氧化物</w:t>
                  </w:r>
                </w:p>
              </w:tc>
              <w:tc>
                <w:tcPr>
                  <w:tcW w:w="1660" w:type="dxa"/>
                  <w:noWrap w:val="0"/>
                  <w:vAlign w:val="center"/>
                </w:tcPr>
                <w:p w14:paraId="72804A5A">
                  <w:pPr>
                    <w:keepNext w:val="0"/>
                    <w:keepLines w:val="0"/>
                    <w:suppressLineNumbers w:val="0"/>
                    <w:spacing w:before="0" w:beforeAutospacing="0" w:after="0" w:afterAutospacing="0" w:line="240" w:lineRule="atLeast"/>
                    <w:ind w:left="0" w:right="0"/>
                    <w:jc w:val="center"/>
                    <w:rPr>
                      <w:rFonts w:hint="eastAsia" w:ascii="宋体" w:hAnsi="宋体" w:eastAsia="宋体" w:cs="宋体"/>
                      <w:kern w:val="2"/>
                      <w:sz w:val="21"/>
                      <w:szCs w:val="21"/>
                      <w:lang w:val="en-US" w:eastAsia="zh-CN" w:bidi="ar-SA"/>
                    </w:rPr>
                  </w:pPr>
                  <w:r>
                    <w:rPr>
                      <w:rFonts w:hint="eastAsia" w:ascii="宋体" w:hAnsi="宋体" w:cs="宋体"/>
                      <w:sz w:val="21"/>
                      <w:szCs w:val="21"/>
                    </w:rPr>
                    <w:t>50</w:t>
                  </w:r>
                </w:p>
              </w:tc>
              <w:tc>
                <w:tcPr>
                  <w:tcW w:w="1560" w:type="dxa"/>
                  <w:noWrap w:val="0"/>
                  <w:vAlign w:val="center"/>
                </w:tcPr>
                <w:p w14:paraId="62DB6580">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473" w:type="dxa"/>
                  <w:vMerge w:val="continue"/>
                  <w:noWrap w:val="0"/>
                  <w:vAlign w:val="center"/>
                </w:tcPr>
                <w:p w14:paraId="0DA5727C">
                  <w:pPr>
                    <w:keepNext w:val="0"/>
                    <w:keepLines w:val="0"/>
                    <w:suppressLineNumbers w:val="0"/>
                    <w:adjustRightInd w:val="0"/>
                    <w:snapToGrid w:val="0"/>
                    <w:spacing w:before="0" w:beforeAutospacing="0" w:after="0" w:afterAutospacing="0" w:line="240" w:lineRule="atLeast"/>
                    <w:ind w:left="0" w:right="0" w:firstLine="210" w:firstLineChars="100"/>
                    <w:jc w:val="center"/>
                    <w:rPr>
                      <w:rFonts w:hint="eastAsia" w:ascii="宋体" w:hAnsi="宋体" w:eastAsia="宋体" w:cs="宋体"/>
                      <w:bCs/>
                      <w:sz w:val="21"/>
                      <w:szCs w:val="21"/>
                    </w:rPr>
                  </w:pPr>
                </w:p>
              </w:tc>
            </w:tr>
            <w:tr w14:paraId="60909C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5" w:hRule="atLeast"/>
                <w:jc w:val="center"/>
              </w:trPr>
              <w:tc>
                <w:tcPr>
                  <w:tcW w:w="1315" w:type="dxa"/>
                  <w:vMerge w:val="continue"/>
                  <w:noWrap w:val="0"/>
                  <w:vAlign w:val="center"/>
                </w:tcPr>
                <w:p w14:paraId="3B6EC78A">
                  <w:pPr>
                    <w:keepNext w:val="0"/>
                    <w:keepLines w:val="0"/>
                    <w:suppressLineNumbers w:val="0"/>
                    <w:adjustRightInd w:val="0"/>
                    <w:snapToGrid w:val="0"/>
                    <w:spacing w:before="0" w:beforeAutospacing="0" w:after="0" w:afterAutospacing="0" w:line="240" w:lineRule="atLeast"/>
                    <w:ind w:left="0" w:right="0"/>
                    <w:jc w:val="center"/>
                    <w:rPr>
                      <w:rFonts w:hint="default"/>
                    </w:rPr>
                  </w:pPr>
                </w:p>
              </w:tc>
              <w:tc>
                <w:tcPr>
                  <w:tcW w:w="1310" w:type="dxa"/>
                  <w:noWrap w:val="0"/>
                  <w:vAlign w:val="center"/>
                </w:tcPr>
                <w:p w14:paraId="3A577223">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烟气黑度（林格曼黑度）/级</w:t>
                  </w:r>
                </w:p>
              </w:tc>
              <w:tc>
                <w:tcPr>
                  <w:tcW w:w="1660" w:type="dxa"/>
                  <w:noWrap w:val="0"/>
                  <w:vAlign w:val="center"/>
                </w:tcPr>
                <w:p w14:paraId="6FC4998E">
                  <w:pPr>
                    <w:keepNext w:val="0"/>
                    <w:keepLines w:val="0"/>
                    <w:suppressLineNumbers w:val="0"/>
                    <w:spacing w:before="0" w:beforeAutospacing="0" w:after="0" w:afterAutospacing="0" w:line="240" w:lineRule="atLeast"/>
                    <w:ind w:left="0" w:right="0"/>
                    <w:jc w:val="center"/>
                    <w:rPr>
                      <w:rFonts w:hint="eastAsia" w:ascii="宋体" w:hAnsi="宋体" w:eastAsia="宋体" w:cs="宋体"/>
                      <w:sz w:val="21"/>
                      <w:szCs w:val="21"/>
                      <w:lang w:val="zh-CN"/>
                    </w:rPr>
                  </w:pPr>
                  <w:r>
                    <w:rPr>
                      <w:rFonts w:hint="eastAsia" w:ascii="宋体" w:hAnsi="宋体" w:cs="宋体"/>
                      <w:sz w:val="21"/>
                      <w:szCs w:val="21"/>
                    </w:rPr>
                    <w:t>1</w:t>
                  </w:r>
                </w:p>
              </w:tc>
              <w:tc>
                <w:tcPr>
                  <w:tcW w:w="1560" w:type="dxa"/>
                  <w:noWrap w:val="0"/>
                  <w:vAlign w:val="center"/>
                </w:tcPr>
                <w:p w14:paraId="7118DCDF">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473" w:type="dxa"/>
                  <w:vMerge w:val="continue"/>
                  <w:noWrap w:val="0"/>
                  <w:vAlign w:val="center"/>
                </w:tcPr>
                <w:p w14:paraId="3D3D6C76">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val="zh-CN"/>
                    </w:rPr>
                  </w:pPr>
                </w:p>
              </w:tc>
            </w:tr>
            <w:tr w14:paraId="625B98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315" w:type="dxa"/>
                  <w:noWrap w:val="0"/>
                  <w:vAlign w:val="center"/>
                </w:tcPr>
                <w:p w14:paraId="75C2D271">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喷砂排气筒（</w:t>
                  </w:r>
                  <w:r>
                    <w:rPr>
                      <w:rFonts w:hint="eastAsia" w:ascii="宋体" w:hAnsi="宋体" w:eastAsia="宋体" w:cs="宋体"/>
                      <w:sz w:val="21"/>
                      <w:szCs w:val="21"/>
                      <w:lang w:val="en-US" w:eastAsia="zh-CN"/>
                    </w:rPr>
                    <w:t>DA003</w:t>
                  </w:r>
                  <w:r>
                    <w:rPr>
                      <w:rFonts w:hint="eastAsia" w:ascii="宋体" w:hAnsi="宋体" w:eastAsia="宋体" w:cs="宋体"/>
                      <w:sz w:val="21"/>
                      <w:szCs w:val="21"/>
                      <w:lang w:eastAsia="zh-CN"/>
                    </w:rPr>
                    <w:t>）</w:t>
                  </w:r>
                </w:p>
              </w:tc>
              <w:tc>
                <w:tcPr>
                  <w:tcW w:w="1310" w:type="dxa"/>
                  <w:noWrap w:val="0"/>
                  <w:vAlign w:val="center"/>
                </w:tcPr>
                <w:p w14:paraId="4CFF9A8F">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颗粒物</w:t>
                  </w:r>
                </w:p>
              </w:tc>
              <w:tc>
                <w:tcPr>
                  <w:tcW w:w="1660" w:type="dxa"/>
                  <w:noWrap w:val="0"/>
                  <w:vAlign w:val="center"/>
                </w:tcPr>
                <w:p w14:paraId="54424323">
                  <w:pPr>
                    <w:keepNext w:val="0"/>
                    <w:keepLines w:val="0"/>
                    <w:suppressLineNumbers w:val="0"/>
                    <w:adjustRightInd w:val="0"/>
                    <w:snapToGrid w:val="0"/>
                    <w:spacing w:before="0" w:beforeAutospacing="0" w:after="0" w:afterAutospacing="0" w:line="240" w:lineRule="atLeast"/>
                    <w:ind w:left="0" w:leftChars="0" w:right="0" w:right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1560" w:type="dxa"/>
                  <w:noWrap w:val="0"/>
                  <w:vAlign w:val="center"/>
                </w:tcPr>
                <w:p w14:paraId="0BF19790">
                  <w:pPr>
                    <w:keepNext w:val="0"/>
                    <w:keepLines w:val="0"/>
                    <w:suppressLineNumbers w:val="0"/>
                    <w:adjustRightInd w:val="0"/>
                    <w:snapToGrid w:val="0"/>
                    <w:spacing w:before="0" w:beforeAutospacing="0" w:after="0" w:afterAutospacing="0" w:line="240" w:lineRule="atLeast"/>
                    <w:ind w:left="0" w:leftChars="0" w:right="0" w:right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2473" w:type="dxa"/>
                  <w:noWrap w:val="0"/>
                  <w:vAlign w:val="center"/>
                </w:tcPr>
                <w:p w14:paraId="783785FF">
                  <w:pPr>
                    <w:keepNext w:val="0"/>
                    <w:keepLines w:val="0"/>
                    <w:suppressLineNumbers w:val="0"/>
                    <w:adjustRightInd w:val="0"/>
                    <w:snapToGrid w:val="0"/>
                    <w:spacing w:before="0" w:beforeAutospacing="0" w:after="0" w:afterAutospacing="0" w:line="240" w:lineRule="atLeast"/>
                    <w:ind w:left="0" w:right="0" w:firstLine="210" w:firstLineChars="100"/>
                    <w:jc w:val="center"/>
                    <w:rPr>
                      <w:rFonts w:hint="eastAsia" w:ascii="宋体" w:hAnsi="宋体" w:eastAsia="宋体" w:cs="宋体"/>
                      <w:bCs/>
                      <w:sz w:val="21"/>
                      <w:szCs w:val="21"/>
                    </w:rPr>
                  </w:pPr>
                  <w:r>
                    <w:rPr>
                      <w:rFonts w:hint="eastAsia" w:ascii="宋体" w:hAnsi="宋体" w:eastAsia="宋体" w:cs="宋体"/>
                      <w:bCs/>
                      <w:sz w:val="21"/>
                      <w:szCs w:val="21"/>
                      <w:lang w:val="zh-CN"/>
                    </w:rPr>
                    <w:t>《大气污染物综合排放标准》（DB32/4041-2021）表1</w:t>
                  </w:r>
                </w:p>
              </w:tc>
            </w:tr>
          </w:tbl>
          <w:p w14:paraId="355C5273">
            <w:pPr>
              <w:pStyle w:val="41"/>
              <w:keepNext w:val="0"/>
              <w:keepLines w:val="0"/>
              <w:suppressLineNumbers w:val="0"/>
              <w:snapToGrid w:val="0"/>
              <w:spacing w:before="31" w:beforeAutospacing="0" w:after="31" w:afterAutospacing="0"/>
              <w:ind w:left="0" w:right="0"/>
              <w:jc w:val="center"/>
              <w:rPr>
                <w:rFonts w:hint="eastAsia" w:eastAsia="宋体"/>
                <w:color w:val="auto"/>
              </w:rPr>
            </w:pPr>
            <w:r>
              <w:rPr>
                <w:rFonts w:hint="eastAsia" w:eastAsia="宋体"/>
                <w:b/>
                <w:bCs/>
                <w:color w:val="auto"/>
              </w:rPr>
              <w:t>表3-</w:t>
            </w:r>
            <w:r>
              <w:rPr>
                <w:rFonts w:hint="eastAsia" w:eastAsia="宋体"/>
                <w:b/>
                <w:bCs/>
                <w:color w:val="auto"/>
                <w:lang w:val="en-US" w:eastAsia="zh-CN"/>
              </w:rPr>
              <w:t>10</w:t>
            </w:r>
            <w:r>
              <w:rPr>
                <w:rFonts w:hint="eastAsia" w:eastAsia="宋体"/>
                <w:b/>
                <w:bCs/>
                <w:color w:val="auto"/>
              </w:rPr>
              <w:t xml:space="preserve">  厂界无组织废气排放标准限值</w:t>
            </w:r>
          </w:p>
          <w:tbl>
            <w:tblPr>
              <w:tblStyle w:val="30"/>
              <w:tblW w:w="762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75"/>
              <w:gridCol w:w="1066"/>
              <w:gridCol w:w="1963"/>
              <w:gridCol w:w="3021"/>
            </w:tblGrid>
            <w:tr w14:paraId="74071B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75" w:type="dxa"/>
                  <w:vMerge w:val="restart"/>
                  <w:noWrap w:val="0"/>
                  <w:vAlign w:val="center"/>
                </w:tcPr>
                <w:p w14:paraId="10F275DC">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b/>
                      <w:kern w:val="0"/>
                      <w:sz w:val="21"/>
                      <w:szCs w:val="21"/>
                    </w:rPr>
                  </w:pPr>
                  <w:r>
                    <w:rPr>
                      <w:rFonts w:hint="eastAsia" w:ascii="宋体" w:hAnsi="宋体" w:eastAsia="宋体" w:cs="宋体"/>
                      <w:b/>
                      <w:kern w:val="0"/>
                      <w:sz w:val="21"/>
                      <w:szCs w:val="21"/>
                    </w:rPr>
                    <w:t>污染物</w:t>
                  </w:r>
                </w:p>
              </w:tc>
              <w:tc>
                <w:tcPr>
                  <w:tcW w:w="3029" w:type="dxa"/>
                  <w:gridSpan w:val="2"/>
                  <w:noWrap w:val="0"/>
                  <w:vAlign w:val="center"/>
                </w:tcPr>
                <w:p w14:paraId="662B5660">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b/>
                      <w:kern w:val="0"/>
                      <w:sz w:val="21"/>
                      <w:szCs w:val="21"/>
                    </w:rPr>
                  </w:pPr>
                  <w:r>
                    <w:rPr>
                      <w:rFonts w:hint="eastAsia" w:ascii="宋体" w:hAnsi="宋体" w:eastAsia="宋体" w:cs="宋体"/>
                      <w:b/>
                      <w:kern w:val="0"/>
                      <w:sz w:val="21"/>
                      <w:szCs w:val="21"/>
                    </w:rPr>
                    <w:t>无组织排放监控浓度限值</w:t>
                  </w:r>
                </w:p>
              </w:tc>
              <w:tc>
                <w:tcPr>
                  <w:tcW w:w="3021" w:type="dxa"/>
                  <w:vMerge w:val="restart"/>
                  <w:noWrap w:val="0"/>
                  <w:vAlign w:val="center"/>
                </w:tcPr>
                <w:p w14:paraId="5FC4B60C">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b/>
                      <w:kern w:val="0"/>
                      <w:sz w:val="21"/>
                      <w:szCs w:val="21"/>
                    </w:rPr>
                  </w:pPr>
                  <w:r>
                    <w:rPr>
                      <w:rFonts w:hint="eastAsia" w:ascii="宋体" w:hAnsi="宋体" w:eastAsia="宋体" w:cs="宋体"/>
                      <w:b/>
                      <w:kern w:val="0"/>
                      <w:sz w:val="21"/>
                      <w:szCs w:val="21"/>
                    </w:rPr>
                    <w:t>标准来源</w:t>
                  </w:r>
                </w:p>
              </w:tc>
            </w:tr>
            <w:tr w14:paraId="574EC4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75" w:type="dxa"/>
                  <w:vMerge w:val="continue"/>
                  <w:noWrap w:val="0"/>
                  <w:vAlign w:val="center"/>
                </w:tcPr>
                <w:p w14:paraId="0C954E65">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b/>
                      <w:kern w:val="0"/>
                      <w:sz w:val="21"/>
                      <w:szCs w:val="21"/>
                    </w:rPr>
                  </w:pPr>
                </w:p>
              </w:tc>
              <w:tc>
                <w:tcPr>
                  <w:tcW w:w="1066" w:type="dxa"/>
                  <w:noWrap w:val="0"/>
                  <w:vAlign w:val="center"/>
                </w:tcPr>
                <w:p w14:paraId="3007BA01">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b/>
                      <w:kern w:val="0"/>
                      <w:sz w:val="21"/>
                      <w:szCs w:val="21"/>
                    </w:rPr>
                  </w:pPr>
                  <w:r>
                    <w:rPr>
                      <w:rFonts w:hint="eastAsia" w:ascii="宋体" w:hAnsi="宋体" w:eastAsia="宋体" w:cs="宋体"/>
                      <w:b/>
                      <w:kern w:val="0"/>
                      <w:sz w:val="21"/>
                      <w:szCs w:val="21"/>
                    </w:rPr>
                    <w:t>监控点</w:t>
                  </w:r>
                </w:p>
              </w:tc>
              <w:tc>
                <w:tcPr>
                  <w:tcW w:w="1963" w:type="dxa"/>
                  <w:noWrap w:val="0"/>
                  <w:vAlign w:val="center"/>
                </w:tcPr>
                <w:p w14:paraId="2E3C94CF">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b/>
                      <w:kern w:val="0"/>
                      <w:sz w:val="21"/>
                      <w:szCs w:val="21"/>
                    </w:rPr>
                  </w:pPr>
                  <w:r>
                    <w:rPr>
                      <w:rFonts w:hint="eastAsia" w:ascii="宋体" w:hAnsi="宋体" w:eastAsia="宋体" w:cs="宋体"/>
                      <w:b/>
                      <w:kern w:val="0"/>
                      <w:sz w:val="21"/>
                      <w:szCs w:val="21"/>
                    </w:rPr>
                    <w:t>浓度(mg/m</w:t>
                  </w:r>
                  <w:r>
                    <w:rPr>
                      <w:rFonts w:hint="eastAsia" w:ascii="宋体" w:hAnsi="宋体" w:eastAsia="宋体" w:cs="宋体"/>
                      <w:b/>
                      <w:kern w:val="0"/>
                      <w:sz w:val="21"/>
                      <w:szCs w:val="21"/>
                      <w:vertAlign w:val="superscript"/>
                    </w:rPr>
                    <w:t>3</w:t>
                  </w:r>
                  <w:r>
                    <w:rPr>
                      <w:rFonts w:hint="eastAsia" w:ascii="宋体" w:hAnsi="宋体" w:eastAsia="宋体" w:cs="宋体"/>
                      <w:b/>
                      <w:kern w:val="0"/>
                      <w:sz w:val="21"/>
                      <w:szCs w:val="21"/>
                    </w:rPr>
                    <w:t>)</w:t>
                  </w:r>
                </w:p>
              </w:tc>
              <w:tc>
                <w:tcPr>
                  <w:tcW w:w="3021" w:type="dxa"/>
                  <w:vMerge w:val="continue"/>
                  <w:noWrap w:val="0"/>
                  <w:vAlign w:val="center"/>
                </w:tcPr>
                <w:p w14:paraId="00E0B498">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b/>
                      <w:kern w:val="0"/>
                      <w:sz w:val="21"/>
                      <w:szCs w:val="21"/>
                    </w:rPr>
                  </w:pPr>
                </w:p>
              </w:tc>
            </w:tr>
            <w:tr w14:paraId="380FBF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75" w:type="dxa"/>
                  <w:noWrap w:val="0"/>
                  <w:vAlign w:val="center"/>
                </w:tcPr>
                <w:p w14:paraId="786F99A8">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zh-CN" w:eastAsia="zh-CN" w:bidi="ar-SA"/>
                    </w:rPr>
                  </w:pPr>
                  <w:r>
                    <w:rPr>
                      <w:rFonts w:hint="eastAsia" w:ascii="宋体" w:hAnsi="宋体" w:eastAsia="宋体" w:cs="宋体"/>
                      <w:sz w:val="21"/>
                      <w:szCs w:val="21"/>
                    </w:rPr>
                    <w:t>颗粒物</w:t>
                  </w:r>
                </w:p>
              </w:tc>
              <w:tc>
                <w:tcPr>
                  <w:tcW w:w="1066" w:type="dxa"/>
                  <w:vMerge w:val="restart"/>
                  <w:noWrap w:val="0"/>
                  <w:vAlign w:val="center"/>
                </w:tcPr>
                <w:p w14:paraId="462AC2D5">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bCs/>
                      <w:kern w:val="0"/>
                      <w:sz w:val="21"/>
                      <w:szCs w:val="21"/>
                    </w:rPr>
                  </w:pPr>
                  <w:r>
                    <w:rPr>
                      <w:rFonts w:hint="eastAsia" w:ascii="宋体" w:hAnsi="宋体" w:eastAsia="宋体" w:cs="宋体"/>
                      <w:bCs/>
                      <w:kern w:val="0"/>
                      <w:sz w:val="21"/>
                      <w:szCs w:val="21"/>
                    </w:rPr>
                    <w:t>边界外浓度最高点</w:t>
                  </w:r>
                </w:p>
              </w:tc>
              <w:tc>
                <w:tcPr>
                  <w:tcW w:w="1963" w:type="dxa"/>
                  <w:noWrap w:val="0"/>
                  <w:vAlign w:val="center"/>
                </w:tcPr>
                <w:p w14:paraId="3FE08126">
                  <w:pPr>
                    <w:keepNext w:val="0"/>
                    <w:keepLines w:val="0"/>
                    <w:suppressLineNumbers w:val="0"/>
                    <w:adjustRightInd w:val="0"/>
                    <w:snapToGrid w:val="0"/>
                    <w:spacing w:before="0" w:beforeAutospacing="0" w:after="0" w:afterAutospacing="0" w:line="240" w:lineRule="atLeast"/>
                    <w:ind w:left="0" w:leftChars="0" w:right="0" w:rightChars="0"/>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rPr>
                    <w:t>0.5</w:t>
                  </w:r>
                </w:p>
              </w:tc>
              <w:tc>
                <w:tcPr>
                  <w:tcW w:w="3021" w:type="dxa"/>
                  <w:vMerge w:val="restart"/>
                  <w:noWrap w:val="0"/>
                  <w:vAlign w:val="center"/>
                </w:tcPr>
                <w:p w14:paraId="2A62EBD1">
                  <w:pPr>
                    <w:keepNext w:val="0"/>
                    <w:keepLines w:val="0"/>
                    <w:suppressLineNumbers w:val="0"/>
                    <w:adjustRightInd w:val="0"/>
                    <w:snapToGrid w:val="0"/>
                    <w:spacing w:before="0" w:beforeAutospacing="0" w:after="0" w:afterAutospacing="0" w:line="240" w:lineRule="atLeast"/>
                    <w:ind w:left="0" w:right="0" w:firstLine="210" w:firstLineChars="100"/>
                    <w:jc w:val="center"/>
                    <w:rPr>
                      <w:rFonts w:hint="eastAsia" w:ascii="宋体" w:hAnsi="宋体" w:eastAsia="宋体" w:cs="宋体"/>
                      <w:bCs/>
                      <w:sz w:val="21"/>
                      <w:szCs w:val="21"/>
                    </w:rPr>
                  </w:pPr>
                  <w:r>
                    <w:rPr>
                      <w:rFonts w:hint="eastAsia" w:ascii="宋体" w:hAnsi="宋体" w:eastAsia="宋体" w:cs="宋体"/>
                      <w:bCs/>
                      <w:kern w:val="0"/>
                      <w:sz w:val="21"/>
                      <w:szCs w:val="21"/>
                      <w:lang w:val="zh-CN"/>
                    </w:rPr>
                    <w:t>《大气污染物综合排放标准》（DB32/4041-2021）表</w:t>
                  </w:r>
                  <w:r>
                    <w:rPr>
                      <w:rFonts w:hint="eastAsia" w:ascii="宋体" w:hAnsi="宋体" w:eastAsia="宋体" w:cs="宋体"/>
                      <w:bCs/>
                      <w:kern w:val="0"/>
                      <w:sz w:val="21"/>
                      <w:szCs w:val="21"/>
                    </w:rPr>
                    <w:t>3</w:t>
                  </w:r>
                </w:p>
              </w:tc>
            </w:tr>
            <w:tr w14:paraId="043F58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75" w:type="dxa"/>
                  <w:noWrap w:val="0"/>
                  <w:vAlign w:val="center"/>
                </w:tcPr>
                <w:p w14:paraId="04121BB6">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zh-CN" w:eastAsia="zh-CN" w:bidi="ar-SA"/>
                    </w:rPr>
                  </w:pPr>
                  <w:r>
                    <w:rPr>
                      <w:rFonts w:hint="eastAsia" w:ascii="宋体" w:hAnsi="宋体" w:eastAsia="宋体" w:cs="宋体"/>
                      <w:sz w:val="21"/>
                      <w:szCs w:val="21"/>
                    </w:rPr>
                    <w:t>非甲烷总烃</w:t>
                  </w:r>
                </w:p>
              </w:tc>
              <w:tc>
                <w:tcPr>
                  <w:tcW w:w="1066" w:type="dxa"/>
                  <w:vMerge w:val="continue"/>
                  <w:noWrap w:val="0"/>
                  <w:vAlign w:val="center"/>
                </w:tcPr>
                <w:p w14:paraId="083B06D7">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kern w:val="0"/>
                      <w:sz w:val="21"/>
                      <w:szCs w:val="21"/>
                    </w:rPr>
                  </w:pPr>
                </w:p>
              </w:tc>
              <w:tc>
                <w:tcPr>
                  <w:tcW w:w="1963" w:type="dxa"/>
                  <w:noWrap w:val="0"/>
                  <w:vAlign w:val="center"/>
                </w:tcPr>
                <w:p w14:paraId="177DB713">
                  <w:pPr>
                    <w:keepNext w:val="0"/>
                    <w:keepLines w:val="0"/>
                    <w:suppressLineNumbers w:val="0"/>
                    <w:adjustRightInd w:val="0"/>
                    <w:snapToGrid w:val="0"/>
                    <w:spacing w:before="0" w:beforeAutospacing="0" w:after="0" w:afterAutospacing="0" w:line="240" w:lineRule="atLeast"/>
                    <w:ind w:left="0" w:leftChars="0" w:right="0" w:right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4</w:t>
                  </w:r>
                </w:p>
              </w:tc>
              <w:tc>
                <w:tcPr>
                  <w:tcW w:w="3021" w:type="dxa"/>
                  <w:vMerge w:val="continue"/>
                  <w:noWrap w:val="0"/>
                  <w:vAlign w:val="center"/>
                </w:tcPr>
                <w:p w14:paraId="34A88B94">
                  <w:pPr>
                    <w:keepNext w:val="0"/>
                    <w:keepLines w:val="0"/>
                    <w:suppressLineNumbers w:val="0"/>
                    <w:adjustRightInd w:val="0"/>
                    <w:snapToGrid w:val="0"/>
                    <w:spacing w:before="0" w:beforeAutospacing="0" w:after="0" w:afterAutospacing="0" w:line="240" w:lineRule="atLeast"/>
                    <w:ind w:left="0" w:right="0" w:firstLine="210" w:firstLineChars="100"/>
                    <w:jc w:val="center"/>
                    <w:rPr>
                      <w:rFonts w:hint="eastAsia" w:ascii="宋体" w:hAnsi="宋体" w:eastAsia="宋体" w:cs="宋体"/>
                      <w:bCs/>
                      <w:sz w:val="21"/>
                      <w:szCs w:val="21"/>
                    </w:rPr>
                  </w:pPr>
                </w:p>
              </w:tc>
            </w:tr>
          </w:tbl>
          <w:p w14:paraId="1E09A376">
            <w:pPr>
              <w:pStyle w:val="10"/>
              <w:keepNext w:val="0"/>
              <w:keepLines w:val="0"/>
              <w:suppressLineNumbers w:val="0"/>
              <w:spacing w:before="0" w:beforeAutospacing="0" w:after="0" w:afterAutospacing="0"/>
              <w:ind w:left="0" w:right="0"/>
              <w:jc w:val="center"/>
              <w:rPr>
                <w:rFonts w:hint="eastAsia" w:ascii="宋体" w:hAnsi="宋体" w:eastAsia="宋体" w:cs="宋体"/>
                <w:kern w:val="0"/>
              </w:rPr>
            </w:pPr>
            <w:r>
              <w:rPr>
                <w:rFonts w:hint="eastAsia" w:ascii="宋体" w:hAnsi="宋体" w:eastAsia="宋体" w:cs="宋体"/>
                <w:b/>
                <w:bCs/>
                <w:color w:val="auto"/>
              </w:rPr>
              <w:t>表3-</w:t>
            </w:r>
            <w:r>
              <w:rPr>
                <w:rFonts w:hint="eastAsia" w:ascii="宋体" w:hAnsi="宋体" w:eastAsia="宋体" w:cs="宋体"/>
                <w:b/>
                <w:bCs/>
                <w:color w:val="auto"/>
                <w:lang w:val="en-US" w:eastAsia="zh-CN"/>
              </w:rPr>
              <w:t>11</w:t>
            </w:r>
            <w:r>
              <w:rPr>
                <w:rFonts w:hint="eastAsia" w:ascii="宋体" w:hAnsi="宋体" w:eastAsia="宋体" w:cs="宋体"/>
                <w:b/>
                <w:bCs/>
                <w:color w:val="auto"/>
              </w:rPr>
              <w:t xml:space="preserve">  </w:t>
            </w:r>
            <w:r>
              <w:rPr>
                <w:rFonts w:hint="eastAsia" w:ascii="宋体" w:hAnsi="宋体" w:eastAsia="宋体" w:cs="宋体"/>
                <w:b/>
                <w:bCs/>
                <w:kern w:val="0"/>
              </w:rPr>
              <w:t>厂区内VOCs无组织排放限值</w:t>
            </w:r>
          </w:p>
          <w:tbl>
            <w:tblPr>
              <w:tblStyle w:val="30"/>
              <w:tblW w:w="821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2578"/>
              <w:gridCol w:w="962"/>
              <w:gridCol w:w="3654"/>
            </w:tblGrid>
            <w:tr w14:paraId="312304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022" w:type="dxa"/>
                  <w:vMerge w:val="restart"/>
                  <w:noWrap w:val="0"/>
                  <w:vAlign w:val="center"/>
                </w:tcPr>
                <w:p w14:paraId="5F6C529B">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b/>
                      <w:bCs/>
                      <w:sz w:val="21"/>
                      <w:szCs w:val="21"/>
                      <w:lang w:val="zh-CN"/>
                    </w:rPr>
                  </w:pPr>
                  <w:r>
                    <w:rPr>
                      <w:rFonts w:hint="eastAsia" w:ascii="宋体" w:hAnsi="宋体" w:eastAsia="宋体" w:cs="宋体"/>
                      <w:b/>
                      <w:bCs/>
                      <w:sz w:val="21"/>
                      <w:szCs w:val="21"/>
                      <w:lang w:val="zh-CN"/>
                    </w:rPr>
                    <w:t>污染物</w:t>
                  </w:r>
                </w:p>
              </w:tc>
              <w:tc>
                <w:tcPr>
                  <w:tcW w:w="3540" w:type="dxa"/>
                  <w:gridSpan w:val="2"/>
                  <w:vMerge w:val="restart"/>
                  <w:noWrap w:val="0"/>
                  <w:vAlign w:val="center"/>
                </w:tcPr>
                <w:p w14:paraId="536BC958">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b/>
                      <w:kern w:val="0"/>
                      <w:sz w:val="21"/>
                      <w:szCs w:val="21"/>
                    </w:rPr>
                    <w:t>监控点限值(mg/m</w:t>
                  </w:r>
                  <w:r>
                    <w:rPr>
                      <w:rFonts w:hint="eastAsia" w:ascii="宋体" w:hAnsi="宋体" w:eastAsia="宋体" w:cs="宋体"/>
                      <w:b/>
                      <w:kern w:val="0"/>
                      <w:sz w:val="21"/>
                      <w:szCs w:val="21"/>
                      <w:vertAlign w:val="superscript"/>
                    </w:rPr>
                    <w:t>3</w:t>
                  </w:r>
                  <w:r>
                    <w:rPr>
                      <w:rFonts w:hint="eastAsia" w:ascii="宋体" w:hAnsi="宋体" w:eastAsia="宋体" w:cs="宋体"/>
                      <w:b/>
                      <w:kern w:val="0"/>
                      <w:sz w:val="21"/>
                      <w:szCs w:val="21"/>
                    </w:rPr>
                    <w:t>)</w:t>
                  </w:r>
                </w:p>
              </w:tc>
              <w:tc>
                <w:tcPr>
                  <w:tcW w:w="3654" w:type="dxa"/>
                  <w:vMerge w:val="restart"/>
                  <w:noWrap w:val="0"/>
                  <w:vAlign w:val="center"/>
                </w:tcPr>
                <w:p w14:paraId="6E244AFD">
                  <w:pPr>
                    <w:keepNext w:val="0"/>
                    <w:keepLines w:val="0"/>
                    <w:suppressLineNumbers w:val="0"/>
                    <w:adjustRightInd w:val="0"/>
                    <w:snapToGrid w:val="0"/>
                    <w:spacing w:before="0" w:beforeAutospacing="0" w:after="0" w:afterAutospacing="0" w:line="240" w:lineRule="atLeast"/>
                    <w:ind w:left="0" w:right="0" w:firstLine="211" w:firstLineChars="100"/>
                    <w:jc w:val="center"/>
                    <w:rPr>
                      <w:rFonts w:hint="eastAsia" w:ascii="宋体" w:hAnsi="宋体" w:eastAsia="宋体" w:cs="宋体"/>
                      <w:bCs/>
                      <w:sz w:val="21"/>
                      <w:szCs w:val="21"/>
                    </w:rPr>
                  </w:pPr>
                  <w:r>
                    <w:rPr>
                      <w:rFonts w:hint="eastAsia" w:ascii="宋体" w:hAnsi="宋体" w:eastAsia="宋体" w:cs="宋体"/>
                      <w:b/>
                      <w:kern w:val="0"/>
                      <w:sz w:val="21"/>
                      <w:szCs w:val="21"/>
                    </w:rPr>
                    <w:t>标准来源</w:t>
                  </w:r>
                </w:p>
              </w:tc>
            </w:tr>
            <w:tr w14:paraId="2DAACE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022" w:type="dxa"/>
                  <w:vMerge w:val="continue"/>
                  <w:noWrap w:val="0"/>
                  <w:vAlign w:val="center"/>
                </w:tcPr>
                <w:p w14:paraId="2A818E0F">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3540" w:type="dxa"/>
                  <w:gridSpan w:val="2"/>
                  <w:vMerge w:val="continue"/>
                  <w:noWrap w:val="0"/>
                  <w:vAlign w:val="center"/>
                </w:tcPr>
                <w:p w14:paraId="50E3DB49">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3654" w:type="dxa"/>
                  <w:vMerge w:val="continue"/>
                  <w:noWrap w:val="0"/>
                  <w:vAlign w:val="center"/>
                </w:tcPr>
                <w:p w14:paraId="024BAA6A">
                  <w:pPr>
                    <w:keepNext w:val="0"/>
                    <w:keepLines w:val="0"/>
                    <w:suppressLineNumbers w:val="0"/>
                    <w:adjustRightInd w:val="0"/>
                    <w:snapToGrid w:val="0"/>
                    <w:spacing w:before="0" w:beforeAutospacing="0" w:after="0" w:afterAutospacing="0" w:line="240" w:lineRule="atLeast"/>
                    <w:ind w:left="0" w:right="0" w:firstLine="210" w:firstLineChars="100"/>
                    <w:jc w:val="center"/>
                    <w:rPr>
                      <w:rFonts w:hint="eastAsia" w:ascii="宋体" w:hAnsi="宋体" w:eastAsia="宋体" w:cs="宋体"/>
                      <w:bCs/>
                      <w:sz w:val="21"/>
                      <w:szCs w:val="21"/>
                    </w:rPr>
                  </w:pPr>
                </w:p>
              </w:tc>
            </w:tr>
            <w:tr w14:paraId="3F6052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22" w:type="dxa"/>
                  <w:vMerge w:val="restart"/>
                  <w:noWrap w:val="0"/>
                  <w:vAlign w:val="center"/>
                </w:tcPr>
                <w:p w14:paraId="78C02447">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非甲烷总烃</w:t>
                  </w:r>
                </w:p>
              </w:tc>
              <w:tc>
                <w:tcPr>
                  <w:tcW w:w="2578" w:type="dxa"/>
                  <w:noWrap w:val="0"/>
                  <w:vAlign w:val="center"/>
                </w:tcPr>
                <w:p w14:paraId="1EB07299">
                  <w:pPr>
                    <w:keepNext w:val="0"/>
                    <w:keepLines w:val="0"/>
                    <w:widowControl/>
                    <w:suppressLineNumbers w:val="0"/>
                    <w:adjustRightInd w:val="0"/>
                    <w:snapToGrid w:val="0"/>
                    <w:spacing w:before="0" w:beforeAutospacing="0" w:after="0" w:afterAutospacing="0" w:line="240" w:lineRule="atLeas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监控点处1h平均浓度值</w:t>
                  </w:r>
                </w:p>
              </w:tc>
              <w:tc>
                <w:tcPr>
                  <w:tcW w:w="962" w:type="dxa"/>
                  <w:noWrap w:val="0"/>
                  <w:vAlign w:val="center"/>
                </w:tcPr>
                <w:p w14:paraId="36E28BF7">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6</w:t>
                  </w:r>
                </w:p>
              </w:tc>
              <w:tc>
                <w:tcPr>
                  <w:tcW w:w="3654" w:type="dxa"/>
                  <w:vMerge w:val="restart"/>
                  <w:noWrap w:val="0"/>
                  <w:vAlign w:val="center"/>
                </w:tcPr>
                <w:p w14:paraId="3696CD5A">
                  <w:pPr>
                    <w:keepNext w:val="0"/>
                    <w:keepLines w:val="0"/>
                    <w:suppressLineNumbers w:val="0"/>
                    <w:adjustRightInd w:val="0"/>
                    <w:snapToGrid w:val="0"/>
                    <w:spacing w:before="0" w:beforeAutospacing="0" w:after="0" w:afterAutospacing="0" w:line="240" w:lineRule="atLeast"/>
                    <w:ind w:left="0" w:right="0" w:firstLine="210" w:firstLineChars="100"/>
                    <w:jc w:val="center"/>
                    <w:rPr>
                      <w:rFonts w:hint="default" w:ascii="宋体" w:hAnsi="宋体" w:eastAsia="宋体" w:cs="宋体"/>
                      <w:bCs/>
                      <w:sz w:val="21"/>
                      <w:szCs w:val="21"/>
                    </w:rPr>
                  </w:pPr>
                  <w:r>
                    <w:rPr>
                      <w:rFonts w:hint="eastAsia" w:ascii="宋体" w:hAnsi="宋体" w:eastAsia="宋体" w:cs="宋体"/>
                      <w:bCs/>
                      <w:sz w:val="21"/>
                      <w:szCs w:val="21"/>
                    </w:rPr>
                    <w:t>《工业涂装工序大气污染物排放标准》（DB32/4439-2022）表3</w:t>
                  </w:r>
                </w:p>
              </w:tc>
            </w:tr>
            <w:tr w14:paraId="62B1D0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22" w:type="dxa"/>
                  <w:vMerge w:val="continue"/>
                  <w:noWrap w:val="0"/>
                  <w:vAlign w:val="center"/>
                </w:tcPr>
                <w:p w14:paraId="73C635E9">
                  <w:pPr>
                    <w:pStyle w:val="10"/>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2578" w:type="dxa"/>
                  <w:noWrap w:val="0"/>
                  <w:vAlign w:val="center"/>
                </w:tcPr>
                <w:p w14:paraId="1C88D595">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监控点处任意一次浓度值</w:t>
                  </w:r>
                </w:p>
              </w:tc>
              <w:tc>
                <w:tcPr>
                  <w:tcW w:w="962" w:type="dxa"/>
                  <w:noWrap w:val="0"/>
                  <w:vAlign w:val="center"/>
                </w:tcPr>
                <w:p w14:paraId="508FE325">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20</w:t>
                  </w:r>
                </w:p>
              </w:tc>
              <w:tc>
                <w:tcPr>
                  <w:tcW w:w="3654" w:type="dxa"/>
                  <w:vMerge w:val="continue"/>
                  <w:noWrap w:val="0"/>
                  <w:vAlign w:val="center"/>
                </w:tcPr>
                <w:p w14:paraId="3D652A9B">
                  <w:pPr>
                    <w:keepNext w:val="0"/>
                    <w:keepLines w:val="0"/>
                    <w:suppressLineNumbers w:val="0"/>
                    <w:adjustRightInd w:val="0"/>
                    <w:snapToGrid w:val="0"/>
                    <w:spacing w:before="0" w:beforeAutospacing="0" w:after="0" w:afterAutospacing="0" w:line="240" w:lineRule="atLeast"/>
                    <w:ind w:left="0" w:right="0" w:firstLine="210" w:firstLineChars="100"/>
                    <w:jc w:val="center"/>
                    <w:rPr>
                      <w:rFonts w:hint="eastAsia" w:ascii="宋体" w:hAnsi="宋体" w:eastAsia="宋体" w:cs="宋体"/>
                      <w:bCs/>
                      <w:sz w:val="21"/>
                      <w:szCs w:val="21"/>
                    </w:rPr>
                  </w:pPr>
                </w:p>
              </w:tc>
            </w:tr>
          </w:tbl>
          <w:p w14:paraId="1DB334E6">
            <w:pPr>
              <w:keepNext w:val="0"/>
              <w:keepLines w:val="0"/>
              <w:suppressLineNumbers w:val="0"/>
              <w:adjustRightInd w:val="0"/>
              <w:snapToGrid w:val="0"/>
              <w:spacing w:before="0" w:beforeAutospacing="0" w:after="0" w:afterAutospacing="0"/>
              <w:ind w:left="0" w:right="0"/>
              <w:rPr>
                <w:rFonts w:hint="eastAsia" w:ascii="宋体" w:hAnsi="宋体" w:eastAsia="宋体" w:cs="宋体"/>
              </w:rPr>
            </w:pPr>
          </w:p>
          <w:p w14:paraId="319FF5F5">
            <w:pPr>
              <w:keepNext w:val="0"/>
              <w:keepLines w:val="0"/>
              <w:suppressLineNumbers w:val="0"/>
              <w:adjustRightInd w:val="0"/>
              <w:snapToGrid w:val="0"/>
              <w:spacing w:before="0" w:beforeAutospacing="0" w:after="0" w:afterAutospacing="0"/>
              <w:ind w:left="0" w:right="0"/>
              <w:rPr>
                <w:rFonts w:hint="eastAsia" w:ascii="宋体" w:hAnsi="宋体" w:eastAsia="宋体" w:cs="宋体"/>
              </w:rPr>
            </w:pPr>
            <w:r>
              <w:rPr>
                <w:rFonts w:hint="eastAsia" w:ascii="宋体" w:hAnsi="宋体" w:eastAsia="宋体" w:cs="宋体"/>
              </w:rPr>
              <w:t>2、废水</w:t>
            </w:r>
          </w:p>
          <w:p w14:paraId="59A92539">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bCs/>
              </w:rPr>
            </w:pPr>
            <w:r>
              <w:rPr>
                <w:rFonts w:hint="default" w:ascii="宋体" w:hAnsi="宋体" w:eastAsia="宋体" w:cs="宋体"/>
                <w:sz w:val="24"/>
                <w:szCs w:val="24"/>
              </w:rPr>
              <w:t>①本项目采</w:t>
            </w:r>
            <w:r>
              <w:rPr>
                <w:rFonts w:hint="eastAsia" w:ascii="宋体" w:hAnsi="宋体" w:eastAsia="宋体" w:cs="宋体"/>
                <w:sz w:val="24"/>
                <w:szCs w:val="24"/>
                <w:lang w:val="en-US" w:eastAsia="zh-CN"/>
              </w:rPr>
              <w:t>取</w:t>
            </w:r>
            <w:r>
              <w:rPr>
                <w:rFonts w:hint="default" w:ascii="宋体" w:hAnsi="宋体" w:eastAsia="宋体" w:cs="宋体"/>
                <w:sz w:val="24"/>
                <w:szCs w:val="24"/>
              </w:rPr>
              <w:t>“雨污分流制”，雨水经雨水管网收集后排入市政雨水管网；生活污水经化粪池预处理后达《污水综合排放标准》（GB8978-1996）表 4 中三级标准（其中氨氮、总磷、总氮执行《污水排入城镇下水道水质标准》（GB/T31962-2015）表</w:t>
            </w:r>
            <w:r>
              <w:rPr>
                <w:rFonts w:hint="eastAsia" w:ascii="宋体" w:hAnsi="宋体" w:eastAsia="宋体" w:cs="宋体"/>
                <w:sz w:val="24"/>
                <w:szCs w:val="24"/>
                <w:lang w:val="en-US" w:eastAsia="zh-CN"/>
              </w:rPr>
              <w:t>1</w:t>
            </w:r>
            <w:r>
              <w:rPr>
                <w:rFonts w:hint="default" w:ascii="宋体" w:hAnsi="宋体" w:eastAsia="宋体" w:cs="宋体"/>
                <w:sz w:val="24"/>
                <w:szCs w:val="24"/>
              </w:rPr>
              <w:t>中 B 等级标准）后排入污水管网，经市政污水管网接管排入句容市边城</w:t>
            </w:r>
            <w:r>
              <w:rPr>
                <w:rFonts w:hint="eastAsia" w:ascii="宋体" w:hAnsi="宋体" w:eastAsia="宋体" w:cs="宋体"/>
                <w:sz w:val="24"/>
                <w:szCs w:val="24"/>
                <w:lang w:val="en-US" w:eastAsia="zh-CN"/>
              </w:rPr>
              <w:t>镇</w:t>
            </w:r>
            <w:r>
              <w:rPr>
                <w:rFonts w:hint="default" w:ascii="宋体" w:hAnsi="宋体" w:eastAsia="宋体" w:cs="宋体"/>
                <w:sz w:val="24"/>
                <w:szCs w:val="24"/>
              </w:rPr>
              <w:t>污水处理</w:t>
            </w:r>
            <w:r>
              <w:rPr>
                <w:rFonts w:hint="eastAsia" w:ascii="宋体" w:hAnsi="宋体" w:eastAsia="宋体" w:cs="宋体"/>
                <w:sz w:val="24"/>
                <w:szCs w:val="24"/>
                <w:lang w:val="en-US" w:eastAsia="zh-CN"/>
              </w:rPr>
              <w:t>厂</w:t>
            </w:r>
            <w:r>
              <w:rPr>
                <w:rFonts w:hint="default" w:ascii="宋体" w:hAnsi="宋体" w:eastAsia="宋体" w:cs="宋体"/>
                <w:sz w:val="24"/>
                <w:szCs w:val="24"/>
              </w:rPr>
              <w:t>集中处理，处理尾水中氨氮、总氮和总磷达到《太湖地区城镇污水处理厂及重点工业行业主要水污染物排放限值》（DB32/1072-2018）表 2 标准，其他污染物达到</w:t>
            </w:r>
            <w:r>
              <w:rPr>
                <w:rFonts w:hint="default" w:ascii="宋体" w:hAnsi="宋体" w:eastAsia="宋体" w:cs="宋体"/>
                <w:sz w:val="24"/>
                <w:szCs w:val="24"/>
                <w:lang w:eastAsia="zh-CN"/>
              </w:rPr>
              <w:t>《城镇污水处理厂污染物排放标准》（DB32/4440-2022）</w:t>
            </w:r>
            <w:r>
              <w:rPr>
                <w:rFonts w:hint="default" w:ascii="宋体" w:hAnsi="宋体" w:eastAsia="宋体" w:cs="宋体"/>
                <w:sz w:val="24"/>
                <w:szCs w:val="24"/>
                <w:lang w:val="en-US" w:eastAsia="zh-CN"/>
              </w:rPr>
              <w:t>C</w:t>
            </w:r>
            <w:r>
              <w:rPr>
                <w:rFonts w:hint="default" w:ascii="宋体" w:hAnsi="宋体" w:eastAsia="宋体" w:cs="宋体"/>
                <w:sz w:val="24"/>
                <w:szCs w:val="24"/>
                <w:lang w:eastAsia="zh-CN"/>
              </w:rPr>
              <w:t>级标准</w:t>
            </w:r>
            <w:r>
              <w:rPr>
                <w:rFonts w:hint="default" w:ascii="宋体" w:hAnsi="宋体" w:eastAsia="宋体" w:cs="宋体"/>
                <w:sz w:val="24"/>
                <w:szCs w:val="24"/>
              </w:rPr>
              <w:t>后排入黄鹂河。</w:t>
            </w:r>
            <w:r>
              <w:rPr>
                <w:rFonts w:hint="eastAsia" w:ascii="宋体" w:hAnsi="宋体" w:eastAsia="宋体" w:cs="宋体"/>
                <w:bCs/>
              </w:rPr>
              <w:t>具体标准值见下表。</w:t>
            </w:r>
          </w:p>
          <w:p w14:paraId="1E95682D">
            <w:pPr>
              <w:keepNext w:val="0"/>
              <w:keepLines w:val="0"/>
              <w:suppressLineNumbers w:val="0"/>
              <w:adjustRightInd w:val="0"/>
              <w:snapToGrid w:val="0"/>
              <w:spacing w:before="0" w:beforeAutospacing="0" w:after="0" w:afterAutospacing="0"/>
              <w:ind w:left="0" w:right="0"/>
              <w:jc w:val="both"/>
              <w:rPr>
                <w:rFonts w:hint="eastAsia" w:ascii="宋体" w:hAnsi="宋体" w:eastAsia="宋体" w:cs="宋体"/>
                <w:bCs/>
              </w:rPr>
            </w:pPr>
          </w:p>
          <w:p w14:paraId="546F8883">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rPr>
            </w:pPr>
          </w:p>
          <w:p w14:paraId="15BD7C6A">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rPr>
            </w:pPr>
            <w:r>
              <w:rPr>
                <w:rFonts w:hint="eastAsia" w:ascii="宋体" w:hAnsi="宋体" w:eastAsia="宋体" w:cs="宋体"/>
                <w:b/>
                <w:bCs w:val="0"/>
              </w:rPr>
              <w:t>表3-</w:t>
            </w:r>
            <w:r>
              <w:rPr>
                <w:rFonts w:hint="eastAsia" w:ascii="宋体" w:hAnsi="宋体" w:eastAsia="宋体" w:cs="宋体"/>
                <w:b/>
                <w:bCs w:val="0"/>
                <w:lang w:val="en-US" w:eastAsia="zh-CN"/>
              </w:rPr>
              <w:t>12</w:t>
            </w:r>
            <w:r>
              <w:rPr>
                <w:rFonts w:hint="eastAsia" w:ascii="宋体" w:hAnsi="宋体" w:eastAsia="宋体" w:cs="宋体"/>
                <w:b/>
                <w:bCs w:val="0"/>
              </w:rPr>
              <w:t xml:space="preserve">  </w:t>
            </w:r>
            <w:r>
              <w:rPr>
                <w:rFonts w:hint="eastAsia" w:ascii="宋体" w:hAnsi="宋体" w:eastAsia="宋体" w:cs="宋体"/>
                <w:b/>
                <w:bCs w:val="0"/>
                <w:lang w:eastAsia="zh-CN"/>
              </w:rPr>
              <w:t>项目污水排放</w:t>
            </w:r>
            <w:r>
              <w:rPr>
                <w:rFonts w:hint="eastAsia" w:ascii="宋体" w:hAnsi="宋体" w:eastAsia="宋体" w:cs="宋体"/>
                <w:b/>
                <w:bCs w:val="0"/>
              </w:rPr>
              <w:t>标准</w:t>
            </w:r>
          </w:p>
          <w:tbl>
            <w:tblPr>
              <w:tblStyle w:val="30"/>
              <w:tblW w:w="8305"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269"/>
              <w:gridCol w:w="1550"/>
              <w:gridCol w:w="1734"/>
              <w:gridCol w:w="3752"/>
            </w:tblGrid>
            <w:tr w14:paraId="246595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69" w:type="dxa"/>
                  <w:tcBorders>
                    <w:tl2br w:val="nil"/>
                    <w:tr2bl w:val="nil"/>
                  </w:tcBorders>
                  <w:noWrap w:val="0"/>
                  <w:vAlign w:val="center"/>
                </w:tcPr>
                <w:p w14:paraId="64890817">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b/>
                      <w:bCs/>
                      <w:color w:val="auto"/>
                      <w:kern w:val="2"/>
                      <w:sz w:val="21"/>
                      <w:szCs w:val="21"/>
                      <w:lang w:val="en-US" w:eastAsia="zh-CN"/>
                    </w:rPr>
                  </w:pPr>
                  <w:r>
                    <w:rPr>
                      <w:rFonts w:hint="eastAsia" w:ascii="宋体" w:hAnsi="宋体" w:eastAsia="宋体" w:cs="宋体"/>
                      <w:b/>
                      <w:bCs/>
                      <w:color w:val="auto"/>
                      <w:kern w:val="2"/>
                      <w:sz w:val="21"/>
                      <w:szCs w:val="21"/>
                      <w:lang w:val="en-US" w:eastAsia="zh-CN"/>
                    </w:rPr>
                    <w:t>序号</w:t>
                  </w:r>
                </w:p>
              </w:tc>
              <w:tc>
                <w:tcPr>
                  <w:tcW w:w="1550" w:type="dxa"/>
                  <w:tcBorders>
                    <w:tl2br w:val="nil"/>
                    <w:tr2bl w:val="nil"/>
                  </w:tcBorders>
                  <w:noWrap w:val="0"/>
                  <w:vAlign w:val="center"/>
                </w:tcPr>
                <w:p w14:paraId="7B249ECD">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b/>
                      <w:bCs/>
                      <w:color w:val="auto"/>
                      <w:kern w:val="2"/>
                      <w:sz w:val="21"/>
                      <w:szCs w:val="21"/>
                      <w:lang w:val="en-US" w:eastAsia="zh-CN"/>
                    </w:rPr>
                  </w:pPr>
                  <w:r>
                    <w:rPr>
                      <w:rFonts w:hint="eastAsia" w:ascii="宋体" w:hAnsi="宋体" w:eastAsia="宋体" w:cs="宋体"/>
                      <w:b/>
                      <w:bCs/>
                      <w:color w:val="auto"/>
                      <w:kern w:val="2"/>
                      <w:sz w:val="21"/>
                      <w:szCs w:val="21"/>
                      <w:lang w:val="en-US" w:eastAsia="zh-CN"/>
                    </w:rPr>
                    <w:t>污染物名称</w:t>
                  </w:r>
                </w:p>
              </w:tc>
              <w:tc>
                <w:tcPr>
                  <w:tcW w:w="1734" w:type="dxa"/>
                  <w:tcBorders>
                    <w:tl2br w:val="nil"/>
                    <w:tr2bl w:val="nil"/>
                  </w:tcBorders>
                  <w:noWrap w:val="0"/>
                  <w:vAlign w:val="center"/>
                </w:tcPr>
                <w:p w14:paraId="4E160525">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b/>
                      <w:bCs/>
                      <w:color w:val="auto"/>
                      <w:kern w:val="2"/>
                      <w:sz w:val="21"/>
                      <w:szCs w:val="21"/>
                      <w:lang w:val="en-US" w:eastAsia="zh-CN"/>
                    </w:rPr>
                  </w:pPr>
                  <w:r>
                    <w:rPr>
                      <w:rFonts w:hint="eastAsia" w:ascii="宋体" w:hAnsi="宋体" w:eastAsia="宋体" w:cs="宋体"/>
                      <w:b/>
                      <w:bCs/>
                      <w:color w:val="auto"/>
                      <w:kern w:val="2"/>
                      <w:sz w:val="21"/>
                      <w:szCs w:val="21"/>
                      <w:lang w:val="en-US" w:eastAsia="zh-CN"/>
                    </w:rPr>
                    <w:t>排放浓度限值</w:t>
                  </w:r>
                </w:p>
              </w:tc>
              <w:tc>
                <w:tcPr>
                  <w:tcW w:w="3752" w:type="dxa"/>
                  <w:tcBorders>
                    <w:tl2br w:val="nil"/>
                    <w:tr2bl w:val="nil"/>
                  </w:tcBorders>
                  <w:noWrap w:val="0"/>
                  <w:vAlign w:val="center"/>
                </w:tcPr>
                <w:p w14:paraId="0A8C2E9F">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b/>
                      <w:bCs/>
                      <w:color w:val="auto"/>
                      <w:kern w:val="2"/>
                      <w:sz w:val="21"/>
                      <w:szCs w:val="21"/>
                      <w:lang w:val="en-US" w:eastAsia="zh-CN"/>
                    </w:rPr>
                  </w:pPr>
                  <w:r>
                    <w:rPr>
                      <w:rFonts w:hint="eastAsia" w:ascii="宋体" w:hAnsi="宋体" w:eastAsia="宋体" w:cs="宋体"/>
                      <w:b/>
                      <w:bCs/>
                      <w:color w:val="auto"/>
                      <w:kern w:val="2"/>
                      <w:sz w:val="21"/>
                      <w:szCs w:val="21"/>
                      <w:lang w:val="en-US" w:eastAsia="zh-CN"/>
                    </w:rPr>
                    <w:t>标准来源</w:t>
                  </w:r>
                </w:p>
              </w:tc>
            </w:tr>
            <w:tr w14:paraId="32D6ED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69" w:type="dxa"/>
                  <w:vMerge w:val="restart"/>
                  <w:tcBorders>
                    <w:tl2br w:val="nil"/>
                    <w:tr2bl w:val="nil"/>
                  </w:tcBorders>
                  <w:noWrap w:val="0"/>
                  <w:vAlign w:val="center"/>
                </w:tcPr>
                <w:p w14:paraId="630111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snapToGrid w:val="0"/>
                      <w:color w:val="auto"/>
                      <w:sz w:val="21"/>
                      <w:szCs w:val="21"/>
                    </w:rPr>
                  </w:pPr>
                  <w:r>
                    <w:rPr>
                      <w:rFonts w:hint="eastAsia" w:ascii="宋体" w:hAnsi="宋体" w:eastAsia="宋体" w:cs="宋体"/>
                      <w:snapToGrid w:val="0"/>
                      <w:color w:val="auto"/>
                      <w:sz w:val="21"/>
                      <w:szCs w:val="21"/>
                    </w:rPr>
                    <w:t>厂区排口</w:t>
                  </w:r>
                </w:p>
              </w:tc>
              <w:tc>
                <w:tcPr>
                  <w:tcW w:w="1550" w:type="dxa"/>
                  <w:tcBorders>
                    <w:tl2br w:val="nil"/>
                    <w:tr2bl w:val="nil"/>
                  </w:tcBorders>
                  <w:noWrap w:val="0"/>
                  <w:vAlign w:val="center"/>
                </w:tcPr>
                <w:p w14:paraId="62FA98AF">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pH</w:t>
                  </w:r>
                </w:p>
              </w:tc>
              <w:tc>
                <w:tcPr>
                  <w:tcW w:w="1734" w:type="dxa"/>
                  <w:tcBorders>
                    <w:tl2br w:val="nil"/>
                    <w:tr2bl w:val="nil"/>
                  </w:tcBorders>
                  <w:noWrap w:val="0"/>
                  <w:vAlign w:val="center"/>
                </w:tcPr>
                <w:p w14:paraId="7532DBF1">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6.0～9.0</w:t>
                  </w:r>
                </w:p>
              </w:tc>
              <w:tc>
                <w:tcPr>
                  <w:tcW w:w="3752" w:type="dxa"/>
                  <w:vMerge w:val="restart"/>
                  <w:tcBorders>
                    <w:tl2br w:val="nil"/>
                    <w:tr2bl w:val="nil"/>
                  </w:tcBorders>
                  <w:noWrap w:val="0"/>
                  <w:vAlign w:val="center"/>
                </w:tcPr>
                <w:p w14:paraId="3FB31EAC">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《污水综合排放标准》（GB8978-1996）中三级排放标准</w:t>
                  </w:r>
                </w:p>
              </w:tc>
            </w:tr>
            <w:tr w14:paraId="6FA527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69" w:type="dxa"/>
                  <w:vMerge w:val="continue"/>
                  <w:tcBorders>
                    <w:tl2br w:val="nil"/>
                    <w:tr2bl w:val="nil"/>
                  </w:tcBorders>
                  <w:noWrap w:val="0"/>
                  <w:vAlign w:val="center"/>
                </w:tcPr>
                <w:p w14:paraId="237677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snapToGrid w:val="0"/>
                      <w:color w:val="auto"/>
                      <w:sz w:val="21"/>
                      <w:szCs w:val="21"/>
                    </w:rPr>
                  </w:pPr>
                </w:p>
              </w:tc>
              <w:tc>
                <w:tcPr>
                  <w:tcW w:w="1550" w:type="dxa"/>
                  <w:tcBorders>
                    <w:tl2br w:val="nil"/>
                    <w:tr2bl w:val="nil"/>
                  </w:tcBorders>
                  <w:noWrap w:val="0"/>
                  <w:vAlign w:val="center"/>
                </w:tcPr>
                <w:p w14:paraId="6A21C566">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COD</w:t>
                  </w:r>
                </w:p>
              </w:tc>
              <w:tc>
                <w:tcPr>
                  <w:tcW w:w="1734" w:type="dxa"/>
                  <w:tcBorders>
                    <w:tl2br w:val="nil"/>
                    <w:tr2bl w:val="nil"/>
                  </w:tcBorders>
                  <w:noWrap w:val="0"/>
                  <w:vAlign w:val="center"/>
                </w:tcPr>
                <w:p w14:paraId="20981445">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500</w:t>
                  </w:r>
                </w:p>
              </w:tc>
              <w:tc>
                <w:tcPr>
                  <w:tcW w:w="3752" w:type="dxa"/>
                  <w:vMerge w:val="continue"/>
                  <w:tcBorders>
                    <w:tl2br w:val="nil"/>
                    <w:tr2bl w:val="nil"/>
                  </w:tcBorders>
                  <w:noWrap w:val="0"/>
                  <w:vAlign w:val="center"/>
                </w:tcPr>
                <w:p w14:paraId="16DEC585">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kern w:val="2"/>
                      <w:sz w:val="21"/>
                      <w:szCs w:val="21"/>
                      <w:lang w:val="en-US" w:eastAsia="zh-CN"/>
                    </w:rPr>
                  </w:pPr>
                </w:p>
              </w:tc>
            </w:tr>
            <w:tr w14:paraId="2ED262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69" w:type="dxa"/>
                  <w:vMerge w:val="continue"/>
                  <w:tcBorders>
                    <w:tl2br w:val="nil"/>
                    <w:tr2bl w:val="nil"/>
                  </w:tcBorders>
                  <w:noWrap w:val="0"/>
                  <w:vAlign w:val="center"/>
                </w:tcPr>
                <w:p w14:paraId="6BBC38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snapToGrid w:val="0"/>
                      <w:color w:val="auto"/>
                      <w:sz w:val="21"/>
                      <w:szCs w:val="21"/>
                    </w:rPr>
                  </w:pPr>
                </w:p>
              </w:tc>
              <w:tc>
                <w:tcPr>
                  <w:tcW w:w="1550" w:type="dxa"/>
                  <w:tcBorders>
                    <w:tl2br w:val="nil"/>
                    <w:tr2bl w:val="nil"/>
                  </w:tcBorders>
                  <w:noWrap w:val="0"/>
                  <w:vAlign w:val="center"/>
                </w:tcPr>
                <w:p w14:paraId="0B26EE8B">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SS</w:t>
                  </w:r>
                </w:p>
              </w:tc>
              <w:tc>
                <w:tcPr>
                  <w:tcW w:w="1734" w:type="dxa"/>
                  <w:tcBorders>
                    <w:tl2br w:val="nil"/>
                    <w:tr2bl w:val="nil"/>
                  </w:tcBorders>
                  <w:noWrap w:val="0"/>
                  <w:vAlign w:val="center"/>
                </w:tcPr>
                <w:p w14:paraId="52D3F528">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400</w:t>
                  </w:r>
                </w:p>
              </w:tc>
              <w:tc>
                <w:tcPr>
                  <w:tcW w:w="3752" w:type="dxa"/>
                  <w:vMerge w:val="continue"/>
                  <w:tcBorders>
                    <w:tl2br w:val="nil"/>
                    <w:tr2bl w:val="nil"/>
                  </w:tcBorders>
                  <w:noWrap w:val="0"/>
                  <w:vAlign w:val="center"/>
                </w:tcPr>
                <w:p w14:paraId="08303747">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kern w:val="2"/>
                      <w:sz w:val="21"/>
                      <w:szCs w:val="21"/>
                      <w:lang w:val="en-US" w:eastAsia="zh-CN"/>
                    </w:rPr>
                  </w:pPr>
                </w:p>
              </w:tc>
            </w:tr>
            <w:tr w14:paraId="6BCE34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69" w:type="dxa"/>
                  <w:vMerge w:val="continue"/>
                  <w:tcBorders>
                    <w:tl2br w:val="nil"/>
                    <w:tr2bl w:val="nil"/>
                  </w:tcBorders>
                  <w:noWrap w:val="0"/>
                  <w:vAlign w:val="center"/>
                </w:tcPr>
                <w:p w14:paraId="2B9ABA02">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kern w:val="2"/>
                      <w:sz w:val="21"/>
                      <w:szCs w:val="21"/>
                      <w:lang w:val="en-US" w:eastAsia="zh-CN"/>
                    </w:rPr>
                  </w:pPr>
                </w:p>
              </w:tc>
              <w:tc>
                <w:tcPr>
                  <w:tcW w:w="1550" w:type="dxa"/>
                  <w:tcBorders>
                    <w:tl2br w:val="nil"/>
                    <w:tr2bl w:val="nil"/>
                  </w:tcBorders>
                  <w:noWrap w:val="0"/>
                  <w:vAlign w:val="center"/>
                </w:tcPr>
                <w:p w14:paraId="788956AC">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氨氮</w:t>
                  </w:r>
                </w:p>
              </w:tc>
              <w:tc>
                <w:tcPr>
                  <w:tcW w:w="1734" w:type="dxa"/>
                  <w:tcBorders>
                    <w:tl2br w:val="nil"/>
                    <w:tr2bl w:val="nil"/>
                  </w:tcBorders>
                  <w:noWrap w:val="0"/>
                  <w:vAlign w:val="center"/>
                </w:tcPr>
                <w:p w14:paraId="059D93B6">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45</w:t>
                  </w:r>
                </w:p>
              </w:tc>
              <w:tc>
                <w:tcPr>
                  <w:tcW w:w="3752" w:type="dxa"/>
                  <w:vMerge w:val="restart"/>
                  <w:tcBorders>
                    <w:tl2br w:val="nil"/>
                    <w:tr2bl w:val="nil"/>
                  </w:tcBorders>
                  <w:noWrap w:val="0"/>
                  <w:vAlign w:val="center"/>
                </w:tcPr>
                <w:p w14:paraId="19721975">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《污水排入城市下水道水质标准》（GB/T31962-2015）表1中B级标准</w:t>
                  </w:r>
                </w:p>
              </w:tc>
            </w:tr>
            <w:tr w14:paraId="470D74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69" w:type="dxa"/>
                  <w:vMerge w:val="continue"/>
                  <w:tcBorders>
                    <w:tl2br w:val="nil"/>
                    <w:tr2bl w:val="nil"/>
                  </w:tcBorders>
                  <w:noWrap w:val="0"/>
                  <w:vAlign w:val="center"/>
                </w:tcPr>
                <w:p w14:paraId="7BC3B59A">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kern w:val="2"/>
                      <w:sz w:val="21"/>
                      <w:szCs w:val="21"/>
                      <w:lang w:val="en-US" w:eastAsia="zh-CN"/>
                    </w:rPr>
                  </w:pPr>
                </w:p>
              </w:tc>
              <w:tc>
                <w:tcPr>
                  <w:tcW w:w="1550" w:type="dxa"/>
                  <w:tcBorders>
                    <w:tl2br w:val="nil"/>
                    <w:tr2bl w:val="nil"/>
                  </w:tcBorders>
                  <w:noWrap w:val="0"/>
                  <w:vAlign w:val="center"/>
                </w:tcPr>
                <w:p w14:paraId="178ECAE9">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总磷</w:t>
                  </w:r>
                </w:p>
              </w:tc>
              <w:tc>
                <w:tcPr>
                  <w:tcW w:w="1734" w:type="dxa"/>
                  <w:tcBorders>
                    <w:tl2br w:val="nil"/>
                    <w:tr2bl w:val="nil"/>
                  </w:tcBorders>
                  <w:noWrap w:val="0"/>
                  <w:vAlign w:val="center"/>
                </w:tcPr>
                <w:p w14:paraId="029661A7">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8</w:t>
                  </w:r>
                </w:p>
              </w:tc>
              <w:tc>
                <w:tcPr>
                  <w:tcW w:w="3752" w:type="dxa"/>
                  <w:vMerge w:val="continue"/>
                  <w:tcBorders>
                    <w:tl2br w:val="nil"/>
                    <w:tr2bl w:val="nil"/>
                  </w:tcBorders>
                  <w:noWrap w:val="0"/>
                  <w:vAlign w:val="center"/>
                </w:tcPr>
                <w:p w14:paraId="5B03DF1E">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kern w:val="2"/>
                      <w:sz w:val="21"/>
                      <w:szCs w:val="21"/>
                      <w:lang w:val="en-US" w:eastAsia="zh-CN"/>
                    </w:rPr>
                  </w:pPr>
                </w:p>
              </w:tc>
            </w:tr>
            <w:tr w14:paraId="0DE85B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69" w:type="dxa"/>
                  <w:vMerge w:val="continue"/>
                  <w:tcBorders>
                    <w:tl2br w:val="nil"/>
                    <w:tr2bl w:val="nil"/>
                  </w:tcBorders>
                  <w:noWrap w:val="0"/>
                  <w:vAlign w:val="center"/>
                </w:tcPr>
                <w:p w14:paraId="010CA98A">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kern w:val="2"/>
                      <w:sz w:val="21"/>
                      <w:szCs w:val="21"/>
                      <w:lang w:val="en-US" w:eastAsia="zh-CN"/>
                    </w:rPr>
                  </w:pPr>
                </w:p>
              </w:tc>
              <w:tc>
                <w:tcPr>
                  <w:tcW w:w="1550" w:type="dxa"/>
                  <w:tcBorders>
                    <w:tl2br w:val="nil"/>
                    <w:tr2bl w:val="nil"/>
                  </w:tcBorders>
                  <w:noWrap w:val="0"/>
                  <w:vAlign w:val="center"/>
                </w:tcPr>
                <w:p w14:paraId="66052E43">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总氮</w:t>
                  </w:r>
                </w:p>
              </w:tc>
              <w:tc>
                <w:tcPr>
                  <w:tcW w:w="1734" w:type="dxa"/>
                  <w:tcBorders>
                    <w:tl2br w:val="nil"/>
                    <w:tr2bl w:val="nil"/>
                  </w:tcBorders>
                  <w:noWrap w:val="0"/>
                  <w:vAlign w:val="center"/>
                </w:tcPr>
                <w:p w14:paraId="7E611F13">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70</w:t>
                  </w:r>
                </w:p>
              </w:tc>
              <w:tc>
                <w:tcPr>
                  <w:tcW w:w="3752" w:type="dxa"/>
                  <w:vMerge w:val="continue"/>
                  <w:tcBorders>
                    <w:tl2br w:val="nil"/>
                    <w:tr2bl w:val="nil"/>
                  </w:tcBorders>
                  <w:noWrap w:val="0"/>
                  <w:vAlign w:val="center"/>
                </w:tcPr>
                <w:p w14:paraId="71DC44E0">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kern w:val="2"/>
                      <w:sz w:val="21"/>
                      <w:szCs w:val="21"/>
                      <w:lang w:val="en-US" w:eastAsia="zh-CN"/>
                    </w:rPr>
                  </w:pPr>
                </w:p>
              </w:tc>
            </w:tr>
            <w:tr w14:paraId="7A625E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69" w:type="dxa"/>
                  <w:vMerge w:val="restart"/>
                  <w:tcBorders>
                    <w:tl2br w:val="nil"/>
                    <w:tr2bl w:val="nil"/>
                  </w:tcBorders>
                  <w:noWrap w:val="0"/>
                  <w:vAlign w:val="center"/>
                </w:tcPr>
                <w:p w14:paraId="3747D501">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句容市边城镇污水处理厂排口</w:t>
                  </w:r>
                </w:p>
              </w:tc>
              <w:tc>
                <w:tcPr>
                  <w:tcW w:w="1550" w:type="dxa"/>
                  <w:tcBorders>
                    <w:tl2br w:val="nil"/>
                    <w:tr2bl w:val="nil"/>
                  </w:tcBorders>
                  <w:noWrap w:val="0"/>
                  <w:vAlign w:val="center"/>
                </w:tcPr>
                <w:p w14:paraId="2AA99941">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pH</w:t>
                  </w:r>
                </w:p>
              </w:tc>
              <w:tc>
                <w:tcPr>
                  <w:tcW w:w="1734" w:type="dxa"/>
                  <w:tcBorders>
                    <w:tl2br w:val="nil"/>
                    <w:tr2bl w:val="nil"/>
                  </w:tcBorders>
                  <w:noWrap w:val="0"/>
                  <w:vAlign w:val="center"/>
                </w:tcPr>
                <w:p w14:paraId="6ADD2A8C">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6.0～9.0</w:t>
                  </w:r>
                </w:p>
              </w:tc>
              <w:tc>
                <w:tcPr>
                  <w:tcW w:w="3752" w:type="dxa"/>
                  <w:vMerge w:val="restart"/>
                  <w:tcBorders>
                    <w:tl2br w:val="nil"/>
                    <w:tr2bl w:val="nil"/>
                  </w:tcBorders>
                  <w:noWrap w:val="0"/>
                  <w:vAlign w:val="center"/>
                </w:tcPr>
                <w:p w14:paraId="45045E4D">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《城镇污水处理厂污染物排放标准》（DB32/4440-2022）C级标准、《太湖地区城镇污水处理厂及重点工业行业主要水污染物排放限值》（DB32/1072-2018）表 2 标准</w:t>
                  </w:r>
                </w:p>
              </w:tc>
            </w:tr>
            <w:tr w14:paraId="4A1841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69" w:type="dxa"/>
                  <w:vMerge w:val="continue"/>
                  <w:tcBorders>
                    <w:tl2br w:val="nil"/>
                    <w:tr2bl w:val="nil"/>
                  </w:tcBorders>
                  <w:noWrap w:val="0"/>
                  <w:vAlign w:val="center"/>
                </w:tcPr>
                <w:p w14:paraId="2076E51C">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kern w:val="2"/>
                      <w:sz w:val="21"/>
                      <w:szCs w:val="21"/>
                      <w:lang w:val="en-US" w:eastAsia="zh-CN"/>
                    </w:rPr>
                  </w:pPr>
                </w:p>
              </w:tc>
              <w:tc>
                <w:tcPr>
                  <w:tcW w:w="1550" w:type="dxa"/>
                  <w:tcBorders>
                    <w:tl2br w:val="nil"/>
                    <w:tr2bl w:val="nil"/>
                  </w:tcBorders>
                  <w:noWrap w:val="0"/>
                  <w:vAlign w:val="center"/>
                </w:tcPr>
                <w:p w14:paraId="0D3BF7DC">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COD</w:t>
                  </w:r>
                </w:p>
              </w:tc>
              <w:tc>
                <w:tcPr>
                  <w:tcW w:w="1734" w:type="dxa"/>
                  <w:tcBorders>
                    <w:tl2br w:val="nil"/>
                    <w:tr2bl w:val="nil"/>
                  </w:tcBorders>
                  <w:noWrap w:val="0"/>
                  <w:vAlign w:val="center"/>
                </w:tcPr>
                <w:p w14:paraId="456FE452">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50</w:t>
                  </w:r>
                </w:p>
              </w:tc>
              <w:tc>
                <w:tcPr>
                  <w:tcW w:w="3752" w:type="dxa"/>
                  <w:vMerge w:val="continue"/>
                  <w:tcBorders>
                    <w:tl2br w:val="nil"/>
                    <w:tr2bl w:val="nil"/>
                  </w:tcBorders>
                  <w:noWrap w:val="0"/>
                  <w:vAlign w:val="center"/>
                </w:tcPr>
                <w:p w14:paraId="6FD92355">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kern w:val="2"/>
                      <w:sz w:val="21"/>
                      <w:szCs w:val="21"/>
                      <w:lang w:val="en-US" w:eastAsia="zh-CN"/>
                    </w:rPr>
                  </w:pPr>
                </w:p>
              </w:tc>
            </w:tr>
            <w:tr w14:paraId="50EF5A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69" w:type="dxa"/>
                  <w:vMerge w:val="continue"/>
                  <w:tcBorders>
                    <w:tl2br w:val="nil"/>
                    <w:tr2bl w:val="nil"/>
                  </w:tcBorders>
                  <w:noWrap w:val="0"/>
                  <w:vAlign w:val="center"/>
                </w:tcPr>
                <w:p w14:paraId="2044F2A5">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kern w:val="2"/>
                      <w:sz w:val="21"/>
                      <w:szCs w:val="21"/>
                      <w:lang w:val="en-US" w:eastAsia="zh-CN"/>
                    </w:rPr>
                  </w:pPr>
                </w:p>
              </w:tc>
              <w:tc>
                <w:tcPr>
                  <w:tcW w:w="1550" w:type="dxa"/>
                  <w:tcBorders>
                    <w:tl2br w:val="nil"/>
                    <w:tr2bl w:val="nil"/>
                  </w:tcBorders>
                  <w:noWrap w:val="0"/>
                  <w:vAlign w:val="center"/>
                </w:tcPr>
                <w:p w14:paraId="63E787AA">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SS</w:t>
                  </w:r>
                </w:p>
              </w:tc>
              <w:tc>
                <w:tcPr>
                  <w:tcW w:w="1734" w:type="dxa"/>
                  <w:tcBorders>
                    <w:tl2br w:val="nil"/>
                    <w:tr2bl w:val="nil"/>
                  </w:tcBorders>
                  <w:noWrap w:val="0"/>
                  <w:vAlign w:val="center"/>
                </w:tcPr>
                <w:p w14:paraId="4401D872">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10</w:t>
                  </w:r>
                </w:p>
              </w:tc>
              <w:tc>
                <w:tcPr>
                  <w:tcW w:w="3752" w:type="dxa"/>
                  <w:vMerge w:val="continue"/>
                  <w:tcBorders>
                    <w:tl2br w:val="nil"/>
                    <w:tr2bl w:val="nil"/>
                  </w:tcBorders>
                  <w:noWrap w:val="0"/>
                  <w:vAlign w:val="center"/>
                </w:tcPr>
                <w:p w14:paraId="6631DEDF">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kern w:val="2"/>
                      <w:sz w:val="21"/>
                      <w:szCs w:val="21"/>
                      <w:lang w:val="en-US" w:eastAsia="zh-CN"/>
                    </w:rPr>
                  </w:pPr>
                </w:p>
              </w:tc>
            </w:tr>
            <w:tr w14:paraId="16F2DF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69" w:type="dxa"/>
                  <w:vMerge w:val="continue"/>
                  <w:tcBorders>
                    <w:tl2br w:val="nil"/>
                    <w:tr2bl w:val="nil"/>
                  </w:tcBorders>
                  <w:noWrap w:val="0"/>
                  <w:vAlign w:val="center"/>
                </w:tcPr>
                <w:p w14:paraId="55B5D343">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kern w:val="2"/>
                      <w:sz w:val="21"/>
                      <w:szCs w:val="21"/>
                      <w:lang w:val="en-US" w:eastAsia="zh-CN"/>
                    </w:rPr>
                  </w:pPr>
                </w:p>
              </w:tc>
              <w:tc>
                <w:tcPr>
                  <w:tcW w:w="1550" w:type="dxa"/>
                  <w:tcBorders>
                    <w:tl2br w:val="nil"/>
                    <w:tr2bl w:val="nil"/>
                  </w:tcBorders>
                  <w:noWrap w:val="0"/>
                  <w:vAlign w:val="center"/>
                </w:tcPr>
                <w:p w14:paraId="02FC51EE">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氨氮</w:t>
                  </w:r>
                </w:p>
              </w:tc>
              <w:tc>
                <w:tcPr>
                  <w:tcW w:w="1734" w:type="dxa"/>
                  <w:tcBorders>
                    <w:tl2br w:val="nil"/>
                    <w:tr2bl w:val="nil"/>
                  </w:tcBorders>
                  <w:noWrap w:val="0"/>
                  <w:vAlign w:val="center"/>
                </w:tcPr>
                <w:p w14:paraId="1DE8214F">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4（6）</w:t>
                  </w:r>
                </w:p>
              </w:tc>
              <w:tc>
                <w:tcPr>
                  <w:tcW w:w="3752" w:type="dxa"/>
                  <w:vMerge w:val="continue"/>
                  <w:tcBorders>
                    <w:tl2br w:val="nil"/>
                    <w:tr2bl w:val="nil"/>
                  </w:tcBorders>
                  <w:noWrap w:val="0"/>
                  <w:vAlign w:val="center"/>
                </w:tcPr>
                <w:p w14:paraId="6A26A5CB">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kern w:val="2"/>
                      <w:sz w:val="21"/>
                      <w:szCs w:val="21"/>
                      <w:lang w:val="en-US" w:eastAsia="zh-CN"/>
                    </w:rPr>
                  </w:pPr>
                </w:p>
              </w:tc>
            </w:tr>
            <w:tr w14:paraId="739BB7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69" w:type="dxa"/>
                  <w:vMerge w:val="continue"/>
                  <w:tcBorders>
                    <w:tl2br w:val="nil"/>
                    <w:tr2bl w:val="nil"/>
                  </w:tcBorders>
                  <w:noWrap w:val="0"/>
                  <w:vAlign w:val="center"/>
                </w:tcPr>
                <w:p w14:paraId="70B38468">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kern w:val="2"/>
                      <w:sz w:val="21"/>
                      <w:szCs w:val="21"/>
                      <w:lang w:val="en-US" w:eastAsia="zh-CN"/>
                    </w:rPr>
                  </w:pPr>
                </w:p>
              </w:tc>
              <w:tc>
                <w:tcPr>
                  <w:tcW w:w="1550" w:type="dxa"/>
                  <w:tcBorders>
                    <w:tl2br w:val="nil"/>
                    <w:tr2bl w:val="nil"/>
                  </w:tcBorders>
                  <w:noWrap w:val="0"/>
                  <w:vAlign w:val="center"/>
                </w:tcPr>
                <w:p w14:paraId="1D3A32E5">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总磷</w:t>
                  </w:r>
                </w:p>
              </w:tc>
              <w:tc>
                <w:tcPr>
                  <w:tcW w:w="1734" w:type="dxa"/>
                  <w:tcBorders>
                    <w:tl2br w:val="nil"/>
                    <w:tr2bl w:val="nil"/>
                  </w:tcBorders>
                  <w:noWrap w:val="0"/>
                  <w:vAlign w:val="center"/>
                </w:tcPr>
                <w:p w14:paraId="0F3B3174">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0.5</w:t>
                  </w:r>
                </w:p>
              </w:tc>
              <w:tc>
                <w:tcPr>
                  <w:tcW w:w="3752" w:type="dxa"/>
                  <w:vMerge w:val="continue"/>
                  <w:tcBorders>
                    <w:tl2br w:val="nil"/>
                    <w:tr2bl w:val="nil"/>
                  </w:tcBorders>
                  <w:noWrap w:val="0"/>
                  <w:vAlign w:val="center"/>
                </w:tcPr>
                <w:p w14:paraId="0634DAB3">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kern w:val="2"/>
                      <w:sz w:val="21"/>
                      <w:szCs w:val="21"/>
                      <w:lang w:val="en-US" w:eastAsia="zh-CN"/>
                    </w:rPr>
                  </w:pPr>
                </w:p>
              </w:tc>
            </w:tr>
            <w:tr w14:paraId="6CC491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69" w:type="dxa"/>
                  <w:vMerge w:val="continue"/>
                  <w:tcBorders>
                    <w:tl2br w:val="nil"/>
                    <w:tr2bl w:val="nil"/>
                  </w:tcBorders>
                  <w:noWrap w:val="0"/>
                  <w:vAlign w:val="center"/>
                </w:tcPr>
                <w:p w14:paraId="07E3B3A8">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kern w:val="2"/>
                      <w:sz w:val="21"/>
                      <w:szCs w:val="21"/>
                      <w:lang w:val="en-US" w:eastAsia="zh-CN"/>
                    </w:rPr>
                  </w:pPr>
                </w:p>
              </w:tc>
              <w:tc>
                <w:tcPr>
                  <w:tcW w:w="1550" w:type="dxa"/>
                  <w:tcBorders>
                    <w:tl2br w:val="nil"/>
                    <w:tr2bl w:val="nil"/>
                  </w:tcBorders>
                  <w:noWrap w:val="0"/>
                  <w:vAlign w:val="center"/>
                </w:tcPr>
                <w:p w14:paraId="7B6294B9">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总氮</w:t>
                  </w:r>
                </w:p>
              </w:tc>
              <w:tc>
                <w:tcPr>
                  <w:tcW w:w="1734" w:type="dxa"/>
                  <w:tcBorders>
                    <w:tl2br w:val="nil"/>
                    <w:tr2bl w:val="nil"/>
                  </w:tcBorders>
                  <w:noWrap w:val="0"/>
                  <w:vAlign w:val="center"/>
                </w:tcPr>
                <w:p w14:paraId="15B6B0B0">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12（15）</w:t>
                  </w:r>
                </w:p>
              </w:tc>
              <w:tc>
                <w:tcPr>
                  <w:tcW w:w="3752" w:type="dxa"/>
                  <w:vMerge w:val="continue"/>
                  <w:tcBorders>
                    <w:tl2br w:val="nil"/>
                    <w:tr2bl w:val="nil"/>
                  </w:tcBorders>
                  <w:noWrap w:val="0"/>
                  <w:vAlign w:val="center"/>
                </w:tcPr>
                <w:p w14:paraId="1551A4AF">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color w:val="auto"/>
                      <w:kern w:val="2"/>
                      <w:sz w:val="21"/>
                      <w:szCs w:val="21"/>
                      <w:lang w:val="en-US" w:eastAsia="zh-CN"/>
                    </w:rPr>
                  </w:pPr>
                </w:p>
              </w:tc>
            </w:tr>
          </w:tbl>
          <w:p w14:paraId="30886760">
            <w:pPr>
              <w:keepNext w:val="0"/>
              <w:keepLines w:val="0"/>
              <w:suppressLineNumbers w:val="0"/>
              <w:spacing w:before="0" w:beforeAutospacing="0" w:after="0" w:afterAutospacing="0"/>
              <w:ind w:left="0" w:right="0" w:firstLine="480" w:firstLineChars="200"/>
              <w:rPr>
                <w:rFonts w:hint="eastAsia" w:ascii="宋体" w:hAnsi="宋体" w:eastAsia="宋体" w:cs="宋体"/>
              </w:rPr>
            </w:pPr>
            <w:r>
              <w:rPr>
                <w:rFonts w:hint="eastAsia" w:ascii="宋体" w:hAnsi="宋体" w:eastAsia="宋体" w:cs="宋体"/>
              </w:rPr>
              <w:t>②本项目</w:t>
            </w:r>
            <w:r>
              <w:rPr>
                <w:rFonts w:hint="eastAsia" w:ascii="宋体" w:hAnsi="宋体" w:eastAsia="宋体" w:cs="宋体"/>
                <w:lang w:val="en-US" w:eastAsia="zh-CN"/>
              </w:rPr>
              <w:t>水</w:t>
            </w:r>
            <w:r>
              <w:rPr>
                <w:rFonts w:hint="eastAsia" w:ascii="宋体" w:hAnsi="宋体" w:eastAsia="宋体" w:cs="宋体"/>
              </w:rPr>
              <w:t>洗废水处理后回用于水洗工序，回用水</w:t>
            </w:r>
            <w:r>
              <w:rPr>
                <w:rFonts w:hint="eastAsia" w:ascii="宋体" w:hAnsi="宋体" w:eastAsia="宋体" w:cs="宋体"/>
                <w:lang w:val="en-US" w:eastAsia="zh-CN"/>
              </w:rPr>
              <w:t>标准</w:t>
            </w:r>
            <w:r>
              <w:rPr>
                <w:rFonts w:hint="eastAsia" w:ascii="宋体" w:hAnsi="宋体" w:eastAsia="宋体" w:cs="宋体"/>
              </w:rPr>
              <w:t>参照执行《城市污水再生利用 工业用水水质》（GBT19923-2024）表1 洗涤用水标准，</w:t>
            </w:r>
            <w:r>
              <w:rPr>
                <w:rFonts w:hint="eastAsia" w:ascii="宋体" w:hAnsi="宋体" w:eastAsia="宋体" w:cs="宋体"/>
                <w:bCs/>
              </w:rPr>
              <w:t>具体标准值见下表。</w:t>
            </w:r>
          </w:p>
          <w:p w14:paraId="2D6A4A67">
            <w:pPr>
              <w:keepNext w:val="0"/>
              <w:keepLines w:val="0"/>
              <w:suppressLineNumbers w:val="0"/>
              <w:spacing w:before="0" w:beforeAutospacing="0" w:after="0" w:afterAutospacing="0"/>
              <w:ind w:left="0" w:right="0"/>
              <w:jc w:val="center"/>
              <w:rPr>
                <w:rFonts w:hint="default" w:ascii="宋体" w:hAnsi="宋体" w:eastAsia="宋体" w:cs="宋体"/>
              </w:rPr>
            </w:pPr>
            <w:r>
              <w:rPr>
                <w:rFonts w:hint="eastAsia" w:ascii="宋体" w:hAnsi="宋体" w:eastAsia="宋体" w:cs="宋体"/>
                <w:b/>
                <w:bCs/>
              </w:rPr>
              <w:t>表3-</w:t>
            </w:r>
            <w:r>
              <w:rPr>
                <w:rFonts w:hint="eastAsia" w:ascii="宋体" w:hAnsi="宋体" w:eastAsia="宋体" w:cs="宋体"/>
                <w:b/>
                <w:bCs/>
                <w:lang w:val="en-US" w:eastAsia="zh-CN"/>
              </w:rPr>
              <w:t>13</w:t>
            </w:r>
            <w:r>
              <w:rPr>
                <w:rFonts w:hint="eastAsia" w:ascii="宋体" w:hAnsi="宋体" w:eastAsia="宋体" w:cs="宋体"/>
                <w:b/>
                <w:bCs/>
              </w:rPr>
              <w:t xml:space="preserve">  回用水质标准</w:t>
            </w:r>
          </w:p>
          <w:tbl>
            <w:tblPr>
              <w:tblStyle w:val="30"/>
              <w:tblW w:w="363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440"/>
              <w:gridCol w:w="1318"/>
              <w:gridCol w:w="1127"/>
              <w:gridCol w:w="1127"/>
            </w:tblGrid>
            <w:tr w14:paraId="781F6FB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029" w:type="pct"/>
                  <w:noWrap w:val="0"/>
                  <w:vAlign w:val="center"/>
                </w:tcPr>
                <w:p w14:paraId="174EE879">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b/>
                      <w:sz w:val="21"/>
                      <w:szCs w:val="21"/>
                    </w:rPr>
                  </w:pPr>
                  <w:r>
                    <w:rPr>
                      <w:rFonts w:hint="eastAsia" w:ascii="宋体" w:hAnsi="宋体" w:eastAsia="宋体" w:cs="宋体"/>
                      <w:b/>
                      <w:sz w:val="21"/>
                      <w:szCs w:val="21"/>
                    </w:rPr>
                    <w:t>项目</w:t>
                  </w:r>
                </w:p>
              </w:tc>
              <w:tc>
                <w:tcPr>
                  <w:tcW w:w="1096" w:type="pct"/>
                  <w:noWrap w:val="0"/>
                  <w:vAlign w:val="center"/>
                </w:tcPr>
                <w:p w14:paraId="59902336">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b/>
                      <w:sz w:val="21"/>
                      <w:szCs w:val="21"/>
                    </w:rPr>
                  </w:pPr>
                  <w:r>
                    <w:rPr>
                      <w:rFonts w:hint="eastAsia" w:ascii="宋体" w:hAnsi="宋体" w:eastAsia="宋体" w:cs="宋体"/>
                      <w:b/>
                      <w:sz w:val="21"/>
                      <w:szCs w:val="21"/>
                    </w:rPr>
                    <w:t>COD</w:t>
                  </w:r>
                </w:p>
              </w:tc>
              <w:tc>
                <w:tcPr>
                  <w:tcW w:w="937" w:type="pct"/>
                  <w:noWrap w:val="0"/>
                  <w:vAlign w:val="center"/>
                </w:tcPr>
                <w:p w14:paraId="4213E182">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b/>
                      <w:sz w:val="21"/>
                      <w:szCs w:val="21"/>
                    </w:rPr>
                  </w:pPr>
                  <w:r>
                    <w:rPr>
                      <w:rFonts w:hint="eastAsia" w:ascii="宋体" w:hAnsi="宋体" w:eastAsia="宋体" w:cs="宋体"/>
                      <w:b/>
                      <w:sz w:val="21"/>
                      <w:szCs w:val="21"/>
                    </w:rPr>
                    <w:t>SS</w:t>
                  </w:r>
                </w:p>
              </w:tc>
              <w:tc>
                <w:tcPr>
                  <w:tcW w:w="937" w:type="pct"/>
                  <w:noWrap w:val="0"/>
                  <w:vAlign w:val="center"/>
                </w:tcPr>
                <w:p w14:paraId="781B5879">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石油类</w:t>
                  </w:r>
                </w:p>
              </w:tc>
            </w:tr>
            <w:tr w14:paraId="2F7F016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029" w:type="pct"/>
                  <w:noWrap w:val="0"/>
                  <w:vAlign w:val="center"/>
                </w:tcPr>
                <w:p w14:paraId="4E1C37FB">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再生水用作工业用水水源的水质标准-洗涤用水</w:t>
                  </w:r>
                </w:p>
              </w:tc>
              <w:tc>
                <w:tcPr>
                  <w:tcW w:w="1096" w:type="pct"/>
                  <w:noWrap w:val="0"/>
                  <w:vAlign w:val="center"/>
                </w:tcPr>
                <w:p w14:paraId="02A79DA5">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rPr>
                  </w:pPr>
                  <w:r>
                    <w:rPr>
                      <w:rFonts w:hint="eastAsia" w:ascii="宋体" w:hAnsi="宋体" w:eastAsia="宋体" w:cs="宋体"/>
                      <w:sz w:val="21"/>
                      <w:szCs w:val="21"/>
                    </w:rPr>
                    <w:t>50</w:t>
                  </w:r>
                </w:p>
              </w:tc>
              <w:tc>
                <w:tcPr>
                  <w:tcW w:w="937" w:type="pct"/>
                  <w:noWrap w:val="0"/>
                  <w:vAlign w:val="center"/>
                </w:tcPr>
                <w:p w14:paraId="1EC2BF8D">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rPr>
                  </w:pPr>
                  <w:r>
                    <w:rPr>
                      <w:rFonts w:hint="eastAsia" w:ascii="宋体" w:hAnsi="宋体" w:eastAsia="宋体" w:cs="宋体"/>
                      <w:sz w:val="21"/>
                      <w:szCs w:val="21"/>
                    </w:rPr>
                    <w:t>30</w:t>
                  </w:r>
                </w:p>
              </w:tc>
              <w:tc>
                <w:tcPr>
                  <w:tcW w:w="937" w:type="pct"/>
                  <w:noWrap w:val="0"/>
                  <w:vAlign w:val="center"/>
                </w:tcPr>
                <w:p w14:paraId="26B0ED77">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1.0</w:t>
                  </w:r>
                </w:p>
              </w:tc>
            </w:tr>
          </w:tbl>
          <w:p w14:paraId="7B036B21">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ascii="Times New Roman" w:hAnsi="Times New Roman" w:cs="Times New Roman"/>
              </w:rPr>
            </w:pPr>
            <w:r>
              <w:rPr>
                <w:rFonts w:hint="eastAsia" w:ascii="宋体" w:hAnsi="宋体" w:eastAsia="宋体" w:cs="宋体"/>
                <w:sz w:val="21"/>
                <w:szCs w:val="21"/>
              </w:rPr>
              <w:t>注：SS参考执行《城市污水再生利用 工业用水水质》（GB/T19923-2005）“洗涤用水”要求。</w:t>
            </w:r>
          </w:p>
          <w:p w14:paraId="7E2E6076">
            <w:pPr>
              <w:keepNext w:val="0"/>
              <w:keepLines w:val="0"/>
              <w:suppressLineNumbers w:val="0"/>
              <w:spacing w:before="0" w:beforeAutospacing="0" w:after="0" w:afterAutospacing="0"/>
              <w:ind w:left="0" w:right="0"/>
              <w:rPr>
                <w:rFonts w:hint="eastAsia" w:ascii="宋体" w:hAnsi="宋体" w:eastAsia="宋体" w:cs="宋体"/>
              </w:rPr>
            </w:pPr>
          </w:p>
          <w:p w14:paraId="0C4E4F9A">
            <w:pPr>
              <w:keepNext w:val="0"/>
              <w:keepLines w:val="0"/>
              <w:suppressLineNumbers w:val="0"/>
              <w:spacing w:before="0" w:beforeAutospacing="0" w:after="0" w:afterAutospacing="0"/>
              <w:ind w:left="0" w:right="0"/>
              <w:rPr>
                <w:rFonts w:hint="eastAsia" w:ascii="宋体" w:hAnsi="宋体" w:eastAsia="宋体" w:cs="宋体"/>
              </w:rPr>
            </w:pPr>
            <w:r>
              <w:rPr>
                <w:rFonts w:hint="eastAsia" w:ascii="宋体" w:hAnsi="宋体" w:eastAsia="宋体" w:cs="宋体"/>
              </w:rPr>
              <w:t>3、噪声</w:t>
            </w:r>
          </w:p>
          <w:p w14:paraId="6DB7693A">
            <w:pPr>
              <w:keepNext w:val="0"/>
              <w:keepLines w:val="0"/>
              <w:suppressLineNumbers w:val="0"/>
              <w:spacing w:before="0" w:beforeAutospacing="0" w:after="0" w:afterAutospacing="0"/>
              <w:ind w:left="0" w:right="0" w:firstLine="480" w:firstLineChars="200"/>
              <w:rPr>
                <w:rFonts w:hint="eastAsia" w:ascii="宋体" w:hAnsi="宋体" w:eastAsia="宋体" w:cs="宋体"/>
              </w:rPr>
            </w:pPr>
            <w:r>
              <w:rPr>
                <w:rFonts w:hint="eastAsia" w:ascii="宋体" w:hAnsi="宋体" w:eastAsia="宋体" w:cs="宋体"/>
              </w:rPr>
              <w:t>噪声执行《工业企业厂界环境噪声排放标准》（GB12348-2008）</w:t>
            </w:r>
            <w:r>
              <w:rPr>
                <w:rFonts w:hint="eastAsia" w:ascii="宋体" w:hAnsi="宋体" w:eastAsia="宋体" w:cs="宋体"/>
                <w:lang w:val="en-US" w:eastAsia="zh-CN"/>
              </w:rPr>
              <w:t>2</w:t>
            </w:r>
            <w:r>
              <w:rPr>
                <w:rFonts w:hint="eastAsia" w:ascii="宋体" w:hAnsi="宋体" w:eastAsia="宋体" w:cs="宋体"/>
              </w:rPr>
              <w:t>类标准。具体标准值见下表。</w:t>
            </w:r>
          </w:p>
          <w:p w14:paraId="15E2603D">
            <w:pPr>
              <w:pStyle w:val="10"/>
              <w:keepNext w:val="0"/>
              <w:keepLines w:val="0"/>
              <w:suppressLineNumbers w:val="0"/>
              <w:spacing w:before="0" w:beforeAutospacing="0" w:after="0" w:afterAutospacing="0"/>
              <w:ind w:left="0" w:right="0"/>
              <w:jc w:val="center"/>
              <w:rPr>
                <w:rFonts w:hint="eastAsia" w:ascii="宋体" w:hAnsi="宋体" w:eastAsia="宋体" w:cs="宋体"/>
                <w:b/>
                <w:bCs/>
              </w:rPr>
            </w:pPr>
            <w:r>
              <w:rPr>
                <w:rFonts w:hint="eastAsia" w:ascii="宋体" w:hAnsi="宋体" w:eastAsia="宋体" w:cs="宋体"/>
                <w:b/>
                <w:bCs/>
              </w:rPr>
              <w:t>表3-1</w:t>
            </w:r>
            <w:r>
              <w:rPr>
                <w:rFonts w:hint="eastAsia" w:ascii="宋体" w:hAnsi="宋体" w:eastAsia="宋体" w:cs="宋体"/>
                <w:b/>
                <w:bCs/>
                <w:lang w:val="en-US" w:eastAsia="zh-CN"/>
              </w:rPr>
              <w:t>4</w:t>
            </w:r>
            <w:r>
              <w:rPr>
                <w:rFonts w:hint="eastAsia" w:ascii="宋体" w:hAnsi="宋体" w:eastAsia="宋体" w:cs="宋体"/>
                <w:b/>
                <w:bCs/>
              </w:rPr>
              <w:t xml:space="preserve">  工业企业厂界环境噪声排放标准</w:t>
            </w:r>
          </w:p>
          <w:tbl>
            <w:tblPr>
              <w:tblStyle w:val="3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22"/>
              <w:gridCol w:w="1142"/>
              <w:gridCol w:w="1144"/>
              <w:gridCol w:w="4121"/>
            </w:tblGrid>
            <w:tr w14:paraId="38C9B3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1222" w:type="dxa"/>
                  <w:vMerge w:val="restart"/>
                  <w:noWrap w:val="0"/>
                  <w:vAlign w:val="center"/>
                </w:tcPr>
                <w:p w14:paraId="5592DBF9">
                  <w:pPr>
                    <w:keepNext w:val="0"/>
                    <w:keepLines w:val="0"/>
                    <w:suppressLineNumbers w:val="0"/>
                    <w:spacing w:before="0" w:beforeAutospacing="0" w:after="0" w:afterAutospacing="0" w:line="240" w:lineRule="auto"/>
                    <w:ind w:left="0" w:right="0"/>
                    <w:jc w:val="center"/>
                    <w:rPr>
                      <w:rFonts w:hint="eastAsia" w:ascii="宋体" w:hAnsi="宋体" w:eastAsia="宋体" w:cs="宋体"/>
                      <w:b/>
                      <w:bCs/>
                      <w:sz w:val="21"/>
                      <w:szCs w:val="21"/>
                    </w:rPr>
                  </w:pPr>
                  <w:r>
                    <w:rPr>
                      <w:rFonts w:hint="eastAsia" w:ascii="宋体" w:hAnsi="宋体" w:eastAsia="宋体" w:cs="宋体"/>
                      <w:b/>
                      <w:bCs/>
                      <w:sz w:val="21"/>
                      <w:szCs w:val="21"/>
                    </w:rPr>
                    <w:t>类别</w:t>
                  </w:r>
                </w:p>
              </w:tc>
              <w:tc>
                <w:tcPr>
                  <w:tcW w:w="2286" w:type="dxa"/>
                  <w:gridSpan w:val="2"/>
                  <w:noWrap w:val="0"/>
                  <w:vAlign w:val="center"/>
                </w:tcPr>
                <w:p w14:paraId="38F28755">
                  <w:pPr>
                    <w:keepNext w:val="0"/>
                    <w:keepLines w:val="0"/>
                    <w:suppressLineNumbers w:val="0"/>
                    <w:spacing w:before="0" w:beforeAutospacing="0" w:after="0" w:afterAutospacing="0" w:line="240" w:lineRule="auto"/>
                    <w:ind w:left="0" w:right="0"/>
                    <w:jc w:val="center"/>
                    <w:rPr>
                      <w:rFonts w:hint="eastAsia" w:ascii="宋体" w:hAnsi="宋体" w:eastAsia="宋体" w:cs="宋体"/>
                      <w:b/>
                      <w:bCs/>
                      <w:sz w:val="21"/>
                      <w:szCs w:val="21"/>
                    </w:rPr>
                  </w:pPr>
                  <w:r>
                    <w:rPr>
                      <w:rFonts w:hint="eastAsia" w:ascii="宋体" w:hAnsi="宋体" w:eastAsia="宋体" w:cs="宋体"/>
                      <w:b/>
                      <w:bCs/>
                      <w:sz w:val="21"/>
                      <w:szCs w:val="21"/>
                    </w:rPr>
                    <w:t>等效声级LeqdB(A)</w:t>
                  </w:r>
                </w:p>
              </w:tc>
              <w:tc>
                <w:tcPr>
                  <w:tcW w:w="4121" w:type="dxa"/>
                  <w:vMerge w:val="restart"/>
                  <w:noWrap w:val="0"/>
                  <w:vAlign w:val="center"/>
                </w:tcPr>
                <w:p w14:paraId="6C8FFB74">
                  <w:pPr>
                    <w:keepNext w:val="0"/>
                    <w:keepLines w:val="0"/>
                    <w:suppressLineNumbers w:val="0"/>
                    <w:spacing w:before="0" w:beforeAutospacing="0" w:after="0" w:afterAutospacing="0" w:line="240" w:lineRule="auto"/>
                    <w:ind w:left="0" w:right="0"/>
                    <w:jc w:val="center"/>
                    <w:rPr>
                      <w:rFonts w:hint="eastAsia" w:ascii="宋体" w:hAnsi="宋体" w:eastAsia="宋体" w:cs="宋体"/>
                      <w:b/>
                      <w:bCs/>
                      <w:sz w:val="21"/>
                      <w:szCs w:val="21"/>
                    </w:rPr>
                  </w:pPr>
                  <w:r>
                    <w:rPr>
                      <w:rFonts w:hint="eastAsia" w:ascii="宋体" w:hAnsi="宋体" w:eastAsia="宋体" w:cs="宋体"/>
                      <w:b/>
                      <w:bCs/>
                      <w:sz w:val="21"/>
                      <w:szCs w:val="21"/>
                    </w:rPr>
                    <w:t>标准来源</w:t>
                  </w:r>
                </w:p>
              </w:tc>
            </w:tr>
            <w:tr w14:paraId="678AD8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222" w:type="dxa"/>
                  <w:vMerge w:val="continue"/>
                  <w:noWrap w:val="0"/>
                  <w:vAlign w:val="center"/>
                </w:tcPr>
                <w:p w14:paraId="5A82B243">
                  <w:pPr>
                    <w:keepNext w:val="0"/>
                    <w:keepLines w:val="0"/>
                    <w:suppressLineNumbers w:val="0"/>
                    <w:spacing w:before="0" w:beforeAutospacing="0" w:after="0" w:afterAutospacing="0" w:line="240" w:lineRule="auto"/>
                    <w:ind w:left="0" w:right="0"/>
                    <w:jc w:val="center"/>
                    <w:rPr>
                      <w:rFonts w:hint="eastAsia" w:ascii="宋体" w:hAnsi="宋体" w:eastAsia="宋体" w:cs="宋体"/>
                      <w:sz w:val="21"/>
                      <w:szCs w:val="21"/>
                    </w:rPr>
                  </w:pPr>
                </w:p>
              </w:tc>
              <w:tc>
                <w:tcPr>
                  <w:tcW w:w="1142" w:type="dxa"/>
                  <w:noWrap w:val="0"/>
                  <w:vAlign w:val="center"/>
                </w:tcPr>
                <w:p w14:paraId="6DF8F2DD">
                  <w:pPr>
                    <w:keepNext w:val="0"/>
                    <w:keepLines w:val="0"/>
                    <w:suppressLineNumbers w:val="0"/>
                    <w:spacing w:before="0" w:beforeAutospacing="0" w:after="0" w:afterAutospacing="0" w:line="240" w:lineRule="auto"/>
                    <w:ind w:left="0" w:right="0"/>
                    <w:jc w:val="center"/>
                    <w:rPr>
                      <w:rFonts w:hint="eastAsia" w:ascii="宋体" w:hAnsi="宋体" w:eastAsia="宋体" w:cs="宋体"/>
                      <w:b/>
                      <w:bCs/>
                      <w:sz w:val="21"/>
                      <w:szCs w:val="21"/>
                    </w:rPr>
                  </w:pPr>
                  <w:r>
                    <w:rPr>
                      <w:rFonts w:hint="eastAsia" w:ascii="宋体" w:hAnsi="宋体" w:eastAsia="宋体" w:cs="宋体"/>
                      <w:b/>
                      <w:bCs/>
                      <w:sz w:val="21"/>
                      <w:szCs w:val="21"/>
                    </w:rPr>
                    <w:t>昼间</w:t>
                  </w:r>
                </w:p>
              </w:tc>
              <w:tc>
                <w:tcPr>
                  <w:tcW w:w="1144" w:type="dxa"/>
                  <w:noWrap w:val="0"/>
                  <w:vAlign w:val="center"/>
                </w:tcPr>
                <w:p w14:paraId="11ED9347">
                  <w:pPr>
                    <w:keepNext w:val="0"/>
                    <w:keepLines w:val="0"/>
                    <w:suppressLineNumbers w:val="0"/>
                    <w:spacing w:before="0" w:beforeAutospacing="0" w:after="0" w:afterAutospacing="0" w:line="240" w:lineRule="auto"/>
                    <w:ind w:left="0" w:right="0"/>
                    <w:jc w:val="center"/>
                    <w:rPr>
                      <w:rFonts w:hint="eastAsia" w:ascii="宋体" w:hAnsi="宋体" w:eastAsia="宋体" w:cs="宋体"/>
                      <w:b/>
                      <w:bCs/>
                      <w:sz w:val="21"/>
                      <w:szCs w:val="21"/>
                    </w:rPr>
                  </w:pPr>
                  <w:r>
                    <w:rPr>
                      <w:rFonts w:hint="eastAsia" w:ascii="宋体" w:hAnsi="宋体" w:eastAsia="宋体" w:cs="宋体"/>
                      <w:b/>
                      <w:bCs/>
                      <w:sz w:val="21"/>
                      <w:szCs w:val="21"/>
                    </w:rPr>
                    <w:t>夜间</w:t>
                  </w:r>
                </w:p>
              </w:tc>
              <w:tc>
                <w:tcPr>
                  <w:tcW w:w="4121" w:type="dxa"/>
                  <w:vMerge w:val="continue"/>
                  <w:noWrap w:val="0"/>
                  <w:vAlign w:val="center"/>
                </w:tcPr>
                <w:p w14:paraId="00A47431">
                  <w:pPr>
                    <w:keepNext w:val="0"/>
                    <w:keepLines w:val="0"/>
                    <w:suppressLineNumbers w:val="0"/>
                    <w:spacing w:before="0" w:beforeAutospacing="0" w:after="0" w:afterAutospacing="0" w:line="240" w:lineRule="auto"/>
                    <w:ind w:left="0" w:right="0"/>
                    <w:jc w:val="center"/>
                    <w:rPr>
                      <w:rFonts w:hint="eastAsia" w:ascii="宋体" w:hAnsi="宋体" w:eastAsia="宋体" w:cs="宋体"/>
                      <w:sz w:val="21"/>
                      <w:szCs w:val="21"/>
                    </w:rPr>
                  </w:pPr>
                </w:p>
              </w:tc>
            </w:tr>
            <w:tr w14:paraId="1DFF78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1222" w:type="dxa"/>
                  <w:noWrap w:val="0"/>
                  <w:vAlign w:val="center"/>
                </w:tcPr>
                <w:p w14:paraId="71EF9955">
                  <w:pPr>
                    <w:keepNext w:val="0"/>
                    <w:keepLines w:val="0"/>
                    <w:suppressLineNumbers w:val="0"/>
                    <w:spacing w:before="0" w:beforeAutospacing="0" w:after="0" w:afterAutospacing="0" w:line="240" w:lineRule="auto"/>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类</w:t>
                  </w:r>
                </w:p>
              </w:tc>
              <w:tc>
                <w:tcPr>
                  <w:tcW w:w="1142" w:type="dxa"/>
                  <w:noWrap w:val="0"/>
                  <w:vAlign w:val="center"/>
                </w:tcPr>
                <w:p w14:paraId="42F0F955">
                  <w:pPr>
                    <w:keepNext w:val="0"/>
                    <w:keepLines w:val="0"/>
                    <w:suppressLineNumbers w:val="0"/>
                    <w:spacing w:before="0" w:beforeAutospacing="0" w:after="0" w:afterAutospacing="0" w:line="240" w:lineRule="auto"/>
                    <w:ind w:left="0" w:right="0"/>
                    <w:jc w:val="center"/>
                    <w:rPr>
                      <w:rFonts w:hint="eastAsia" w:ascii="宋体" w:hAnsi="宋体" w:eastAsia="宋体" w:cs="宋体"/>
                      <w:sz w:val="21"/>
                      <w:szCs w:val="21"/>
                      <w:lang w:eastAsia="zh-CN"/>
                    </w:rPr>
                  </w:pPr>
                  <w:r>
                    <w:rPr>
                      <w:rFonts w:hint="eastAsia" w:ascii="宋体" w:hAnsi="宋体" w:eastAsia="宋体" w:cs="宋体"/>
                      <w:sz w:val="21"/>
                      <w:szCs w:val="21"/>
                    </w:rPr>
                    <w:t>6</w:t>
                  </w:r>
                  <w:r>
                    <w:rPr>
                      <w:rFonts w:hint="eastAsia" w:ascii="宋体" w:hAnsi="宋体" w:eastAsia="宋体" w:cs="宋体"/>
                      <w:sz w:val="21"/>
                      <w:szCs w:val="21"/>
                      <w:lang w:val="en-US" w:eastAsia="zh-CN"/>
                    </w:rPr>
                    <w:t>0</w:t>
                  </w:r>
                </w:p>
              </w:tc>
              <w:tc>
                <w:tcPr>
                  <w:tcW w:w="1144" w:type="dxa"/>
                  <w:noWrap w:val="0"/>
                  <w:vAlign w:val="center"/>
                </w:tcPr>
                <w:p w14:paraId="5946E973">
                  <w:pPr>
                    <w:keepNext w:val="0"/>
                    <w:keepLines w:val="0"/>
                    <w:suppressLineNumbers w:val="0"/>
                    <w:spacing w:before="0" w:beforeAutospacing="0" w:after="0" w:afterAutospacing="0" w:line="240" w:lineRule="auto"/>
                    <w:ind w:left="0" w:right="0"/>
                    <w:jc w:val="center"/>
                    <w:rPr>
                      <w:rFonts w:hint="eastAsia" w:ascii="宋体" w:hAnsi="宋体" w:eastAsia="宋体" w:cs="宋体"/>
                      <w:sz w:val="21"/>
                      <w:szCs w:val="21"/>
                      <w:lang w:eastAsia="zh-CN"/>
                    </w:rPr>
                  </w:pPr>
                  <w:r>
                    <w:rPr>
                      <w:rFonts w:hint="eastAsia" w:ascii="宋体" w:hAnsi="宋体" w:eastAsia="宋体" w:cs="宋体"/>
                      <w:sz w:val="21"/>
                      <w:szCs w:val="21"/>
                    </w:rPr>
                    <w:t>5</w:t>
                  </w:r>
                  <w:r>
                    <w:rPr>
                      <w:rFonts w:hint="eastAsia" w:ascii="宋体" w:hAnsi="宋体" w:eastAsia="宋体" w:cs="宋体"/>
                      <w:sz w:val="21"/>
                      <w:szCs w:val="21"/>
                      <w:lang w:val="en-US" w:eastAsia="zh-CN"/>
                    </w:rPr>
                    <w:t>0</w:t>
                  </w:r>
                </w:p>
              </w:tc>
              <w:tc>
                <w:tcPr>
                  <w:tcW w:w="4121" w:type="dxa"/>
                  <w:noWrap w:val="0"/>
                  <w:vAlign w:val="center"/>
                </w:tcPr>
                <w:p w14:paraId="682FC85D">
                  <w:pPr>
                    <w:keepNext w:val="0"/>
                    <w:keepLines w:val="0"/>
                    <w:suppressLineNumbers w:val="0"/>
                    <w:spacing w:before="0" w:beforeAutospacing="0" w:after="0" w:afterAutospacing="0"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《工业企业厂界环境噪声排放标准》（GB12348-2008）</w:t>
                  </w:r>
                </w:p>
              </w:tc>
            </w:tr>
          </w:tbl>
          <w:p w14:paraId="52C4A64C">
            <w:pPr>
              <w:keepNext w:val="0"/>
              <w:keepLines w:val="0"/>
              <w:suppressLineNumbers w:val="0"/>
              <w:spacing w:before="0" w:beforeAutospacing="0" w:after="0" w:afterAutospacing="0"/>
              <w:ind w:left="0" w:right="0"/>
              <w:rPr>
                <w:rFonts w:hint="eastAsia" w:ascii="宋体" w:hAnsi="宋体" w:eastAsia="宋体" w:cs="宋体"/>
              </w:rPr>
            </w:pPr>
          </w:p>
          <w:p w14:paraId="487AE4B9">
            <w:pPr>
              <w:keepNext w:val="0"/>
              <w:keepLines w:val="0"/>
              <w:suppressLineNumbers w:val="0"/>
              <w:spacing w:before="0" w:beforeAutospacing="0" w:after="0" w:afterAutospacing="0"/>
              <w:ind w:left="0" w:right="0"/>
              <w:rPr>
                <w:rFonts w:hint="eastAsia" w:ascii="宋体" w:hAnsi="宋体" w:eastAsia="宋体" w:cs="宋体"/>
              </w:rPr>
            </w:pPr>
          </w:p>
          <w:p w14:paraId="58278A24">
            <w:pPr>
              <w:keepNext w:val="0"/>
              <w:keepLines w:val="0"/>
              <w:suppressLineNumbers w:val="0"/>
              <w:spacing w:before="0" w:beforeAutospacing="0" w:after="0" w:afterAutospacing="0"/>
              <w:ind w:left="0" w:right="0"/>
              <w:rPr>
                <w:rFonts w:hint="eastAsia" w:ascii="宋体" w:hAnsi="宋体" w:eastAsia="宋体" w:cs="宋体"/>
              </w:rPr>
            </w:pPr>
          </w:p>
          <w:p w14:paraId="2C638395">
            <w:pPr>
              <w:keepNext w:val="0"/>
              <w:keepLines w:val="0"/>
              <w:suppressLineNumbers w:val="0"/>
              <w:spacing w:before="0" w:beforeAutospacing="0" w:after="0" w:afterAutospacing="0"/>
              <w:ind w:left="0" w:right="0"/>
              <w:rPr>
                <w:rFonts w:hint="eastAsia" w:ascii="宋体" w:hAnsi="宋体" w:eastAsia="宋体" w:cs="宋体"/>
              </w:rPr>
            </w:pPr>
            <w:r>
              <w:rPr>
                <w:rFonts w:hint="eastAsia" w:ascii="宋体" w:hAnsi="宋体" w:eastAsia="宋体" w:cs="宋体"/>
              </w:rPr>
              <w:t>4、固废</w:t>
            </w:r>
          </w:p>
          <w:p w14:paraId="27679814">
            <w:pPr>
              <w:pStyle w:val="61"/>
              <w:keepNext w:val="0"/>
              <w:keepLines w:val="0"/>
              <w:suppressLineNumbers w:val="0"/>
              <w:spacing w:before="0" w:beforeAutospacing="0" w:after="0" w:afterAutospacing="0"/>
              <w:ind w:left="0" w:right="0"/>
              <w:rPr>
                <w:rFonts w:hint="eastAsia" w:ascii="宋体" w:hAnsi="宋体" w:eastAsia="宋体" w:cs="宋体"/>
              </w:rPr>
            </w:pPr>
            <w:r>
              <w:rPr>
                <w:rFonts w:hint="eastAsia" w:ascii="宋体" w:hAnsi="宋体" w:eastAsia="宋体" w:cs="宋体"/>
              </w:rPr>
              <w:t>一般工业固废贮存和处置按照《一般工业固体废物贮存和填埋污染控制标准》（GB18599-2020）要求执行；危险废物处置参照执行《危险废物贮存污染控制标准》（GB18597-2023）要求、《江苏省固体废物全过程环境监管工作意见》（苏环办</w:t>
            </w:r>
            <w:r>
              <w:rPr>
                <w:rFonts w:hint="eastAsia" w:ascii="宋体" w:hAnsi="宋体" w:eastAsia="宋体" w:cs="宋体"/>
                <w:lang w:eastAsia="zh-CN"/>
              </w:rPr>
              <w:t>〔</w:t>
            </w:r>
            <w:r>
              <w:rPr>
                <w:rFonts w:hint="eastAsia" w:ascii="宋体" w:hAnsi="宋体" w:eastAsia="宋体" w:cs="宋体"/>
              </w:rPr>
              <w:t>2024</w:t>
            </w:r>
            <w:r>
              <w:rPr>
                <w:rFonts w:hint="eastAsia" w:ascii="宋体" w:hAnsi="宋体" w:eastAsia="宋体" w:cs="宋体"/>
                <w:lang w:eastAsia="zh-CN"/>
              </w:rPr>
              <w:t>〕</w:t>
            </w:r>
            <w:r>
              <w:rPr>
                <w:rFonts w:hint="eastAsia" w:ascii="宋体" w:hAnsi="宋体" w:eastAsia="宋体" w:cs="宋体"/>
              </w:rPr>
              <w:t>16号</w:t>
            </w:r>
            <w:r>
              <w:rPr>
                <w:rFonts w:hint="eastAsia" w:ascii="宋体" w:hAnsi="宋体" w:eastAsia="宋体" w:cs="宋体"/>
                <w:lang w:eastAsia="zh-CN"/>
              </w:rPr>
              <w:t>）</w:t>
            </w:r>
            <w:r>
              <w:rPr>
                <w:rFonts w:hint="eastAsia" w:ascii="宋体" w:hAnsi="宋体" w:eastAsia="宋体" w:cs="宋体"/>
              </w:rPr>
              <w:t>等文件要求。</w:t>
            </w:r>
          </w:p>
          <w:p w14:paraId="7FE1E2F0">
            <w:pPr>
              <w:pStyle w:val="61"/>
              <w:keepNext w:val="0"/>
              <w:keepLines w:val="0"/>
              <w:suppressLineNumbers w:val="0"/>
              <w:spacing w:before="0" w:beforeAutospacing="0" w:after="0" w:afterAutospacing="0"/>
              <w:ind w:left="0" w:right="0" w:firstLine="0" w:firstLineChars="0"/>
              <w:rPr>
                <w:rFonts w:hint="eastAsia" w:ascii="宋体" w:hAnsi="宋体" w:eastAsia="宋体" w:cs="宋体"/>
              </w:rPr>
            </w:pPr>
          </w:p>
        </w:tc>
      </w:tr>
      <w:tr w14:paraId="5FEBC5B1">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0432" w:hRule="atLeast"/>
          <w:jc w:val="center"/>
        </w:trPr>
        <w:tc>
          <w:tcPr>
            <w:tcW w:w="531" w:type="dxa"/>
            <w:noWrap w:val="0"/>
            <w:vAlign w:val="center"/>
          </w:tcPr>
          <w:p w14:paraId="1D7CAB0E">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rPr>
            </w:pPr>
            <w:r>
              <w:rPr>
                <w:rFonts w:hint="eastAsia" w:ascii="宋体" w:hAnsi="宋体" w:eastAsia="宋体" w:cs="宋体"/>
              </w:rPr>
              <w:t>总量</w:t>
            </w:r>
          </w:p>
          <w:p w14:paraId="5ECAF2CE">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rPr>
            </w:pPr>
            <w:r>
              <w:rPr>
                <w:rFonts w:hint="eastAsia" w:ascii="宋体" w:hAnsi="宋体" w:eastAsia="宋体" w:cs="宋体"/>
              </w:rPr>
              <w:t>控制</w:t>
            </w:r>
          </w:p>
          <w:p w14:paraId="20B6D233">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FF0000"/>
              </w:rPr>
            </w:pPr>
            <w:r>
              <w:rPr>
                <w:rFonts w:hint="eastAsia" w:ascii="宋体" w:hAnsi="宋体" w:eastAsia="宋体" w:cs="宋体"/>
              </w:rPr>
              <w:t>指标</w:t>
            </w:r>
          </w:p>
        </w:tc>
        <w:tc>
          <w:tcPr>
            <w:tcW w:w="8495" w:type="dxa"/>
            <w:noWrap w:val="0"/>
            <w:vAlign w:val="center"/>
          </w:tcPr>
          <w:p w14:paraId="69A7237D">
            <w:pPr>
              <w:keepNext w:val="0"/>
              <w:keepLines w:val="0"/>
              <w:suppressLineNumbers w:val="0"/>
              <w:adjustRightInd w:val="0"/>
              <w:snapToGrid w:val="0"/>
              <w:spacing w:before="0" w:beforeAutospacing="0" w:after="0" w:afterAutospacing="0"/>
              <w:ind w:left="0" w:right="0"/>
              <w:jc w:val="right"/>
              <w:rPr>
                <w:rFonts w:hint="eastAsia" w:ascii="宋体" w:hAnsi="宋体" w:eastAsia="宋体" w:cs="宋体"/>
                <w:b/>
                <w:bCs/>
              </w:rPr>
            </w:pPr>
            <w:r>
              <w:rPr>
                <w:rFonts w:hint="eastAsia" w:ascii="宋体" w:hAnsi="宋体" w:eastAsia="宋体" w:cs="宋体"/>
                <w:b/>
                <w:bCs/>
              </w:rPr>
              <w:t>表3-1</w:t>
            </w:r>
            <w:r>
              <w:rPr>
                <w:rFonts w:hint="eastAsia" w:ascii="宋体" w:hAnsi="宋体" w:eastAsia="宋体" w:cs="宋体"/>
                <w:b/>
                <w:bCs/>
                <w:lang w:val="en-US" w:eastAsia="zh-CN"/>
              </w:rPr>
              <w:t>5</w:t>
            </w:r>
            <w:r>
              <w:rPr>
                <w:rFonts w:hint="eastAsia" w:ascii="宋体" w:hAnsi="宋体" w:eastAsia="宋体" w:cs="宋体"/>
                <w:b/>
                <w:bCs/>
              </w:rPr>
              <w:t xml:space="preserve">  本项目污染物产排情况</w:t>
            </w:r>
            <w:r>
              <w:rPr>
                <w:rFonts w:hint="eastAsia" w:ascii="宋体" w:hAnsi="宋体" w:eastAsia="宋体" w:cs="宋体"/>
              </w:rPr>
              <w:t xml:space="preserve">            单位:t/a</w:t>
            </w:r>
          </w:p>
          <w:tbl>
            <w:tblPr>
              <w:tblStyle w:val="30"/>
              <w:tblW w:w="819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3"/>
              <w:gridCol w:w="705"/>
              <w:gridCol w:w="1374"/>
              <w:gridCol w:w="1506"/>
              <w:gridCol w:w="1292"/>
              <w:gridCol w:w="1131"/>
              <w:gridCol w:w="1416"/>
            </w:tblGrid>
            <w:tr w14:paraId="67AB2C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773" w:type="dxa"/>
                  <w:noWrap w:val="0"/>
                  <w:vAlign w:val="center"/>
                </w:tcPr>
                <w:p w14:paraId="5AF5F9DE">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b/>
                      <w:bCs/>
                      <w:sz w:val="21"/>
                      <w:szCs w:val="21"/>
                    </w:rPr>
                  </w:pPr>
                  <w:r>
                    <w:rPr>
                      <w:rFonts w:hint="eastAsia" w:ascii="宋体" w:hAnsi="宋体" w:eastAsia="宋体" w:cs="宋体"/>
                      <w:b/>
                      <w:bCs/>
                      <w:sz w:val="21"/>
                      <w:szCs w:val="21"/>
                    </w:rPr>
                    <w:t>种类</w:t>
                  </w:r>
                </w:p>
              </w:tc>
              <w:tc>
                <w:tcPr>
                  <w:tcW w:w="2079" w:type="dxa"/>
                  <w:gridSpan w:val="2"/>
                  <w:noWrap w:val="0"/>
                  <w:vAlign w:val="center"/>
                </w:tcPr>
                <w:p w14:paraId="6A69022F">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b/>
                      <w:bCs/>
                      <w:sz w:val="21"/>
                      <w:szCs w:val="21"/>
                    </w:rPr>
                  </w:pPr>
                  <w:r>
                    <w:rPr>
                      <w:rFonts w:hint="eastAsia" w:ascii="宋体" w:hAnsi="宋体" w:eastAsia="宋体" w:cs="宋体"/>
                      <w:b/>
                      <w:bCs/>
                      <w:sz w:val="21"/>
                      <w:szCs w:val="21"/>
                    </w:rPr>
                    <w:t>污染物名称</w:t>
                  </w:r>
                </w:p>
              </w:tc>
              <w:tc>
                <w:tcPr>
                  <w:tcW w:w="1506" w:type="dxa"/>
                  <w:noWrap w:val="0"/>
                  <w:vAlign w:val="center"/>
                </w:tcPr>
                <w:p w14:paraId="77648AA9">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b/>
                      <w:bCs/>
                      <w:sz w:val="21"/>
                      <w:szCs w:val="21"/>
                    </w:rPr>
                  </w:pPr>
                  <w:r>
                    <w:rPr>
                      <w:rFonts w:hint="eastAsia" w:ascii="宋体" w:hAnsi="宋体" w:eastAsia="宋体" w:cs="宋体"/>
                      <w:b/>
                      <w:bCs/>
                      <w:sz w:val="21"/>
                      <w:szCs w:val="21"/>
                    </w:rPr>
                    <w:t>本项目产生量</w:t>
                  </w:r>
                </w:p>
              </w:tc>
              <w:tc>
                <w:tcPr>
                  <w:tcW w:w="1292" w:type="dxa"/>
                  <w:noWrap w:val="0"/>
                  <w:vAlign w:val="center"/>
                </w:tcPr>
                <w:p w14:paraId="41DF6B02">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b/>
                      <w:bCs/>
                      <w:sz w:val="21"/>
                      <w:szCs w:val="21"/>
                    </w:rPr>
                  </w:pPr>
                  <w:r>
                    <w:rPr>
                      <w:rFonts w:hint="eastAsia" w:ascii="宋体" w:hAnsi="宋体" w:eastAsia="宋体" w:cs="宋体"/>
                      <w:b/>
                      <w:bCs/>
                      <w:sz w:val="21"/>
                      <w:szCs w:val="21"/>
                    </w:rPr>
                    <w:t>削减量</w:t>
                  </w:r>
                </w:p>
              </w:tc>
              <w:tc>
                <w:tcPr>
                  <w:tcW w:w="1131" w:type="dxa"/>
                  <w:noWrap w:val="0"/>
                  <w:vAlign w:val="center"/>
                </w:tcPr>
                <w:p w14:paraId="36876872">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b/>
                      <w:bCs/>
                      <w:sz w:val="21"/>
                      <w:szCs w:val="21"/>
                    </w:rPr>
                  </w:pPr>
                  <w:r>
                    <w:rPr>
                      <w:rFonts w:hint="eastAsia" w:ascii="宋体" w:hAnsi="宋体" w:eastAsia="宋体" w:cs="宋体"/>
                      <w:b/>
                      <w:bCs/>
                      <w:sz w:val="21"/>
                      <w:szCs w:val="21"/>
                    </w:rPr>
                    <w:t>接管量</w:t>
                  </w:r>
                </w:p>
              </w:tc>
              <w:tc>
                <w:tcPr>
                  <w:tcW w:w="1416" w:type="dxa"/>
                  <w:noWrap w:val="0"/>
                  <w:vAlign w:val="center"/>
                </w:tcPr>
                <w:p w14:paraId="3A0DE287">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b/>
                      <w:bCs/>
                      <w:sz w:val="21"/>
                      <w:szCs w:val="21"/>
                    </w:rPr>
                  </w:pPr>
                  <w:r>
                    <w:rPr>
                      <w:rFonts w:hint="eastAsia" w:ascii="宋体" w:hAnsi="宋体" w:eastAsia="宋体" w:cs="宋体"/>
                      <w:b/>
                      <w:bCs/>
                      <w:sz w:val="21"/>
                      <w:szCs w:val="21"/>
                    </w:rPr>
                    <w:t>排入环境量</w:t>
                  </w:r>
                </w:p>
              </w:tc>
            </w:tr>
            <w:tr w14:paraId="0E6956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3" w:type="dxa"/>
                  <w:vMerge w:val="restart"/>
                  <w:noWrap w:val="0"/>
                  <w:vAlign w:val="center"/>
                </w:tcPr>
                <w:p w14:paraId="03BC7076">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废水</w:t>
                  </w:r>
                </w:p>
              </w:tc>
              <w:tc>
                <w:tcPr>
                  <w:tcW w:w="705" w:type="dxa"/>
                  <w:vMerge w:val="restart"/>
                  <w:noWrap w:val="0"/>
                  <w:vAlign w:val="center"/>
                </w:tcPr>
                <w:p w14:paraId="5A33220E">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生活污水</w:t>
                  </w:r>
                </w:p>
              </w:tc>
              <w:tc>
                <w:tcPr>
                  <w:tcW w:w="1374" w:type="dxa"/>
                  <w:noWrap w:val="0"/>
                  <w:vAlign w:val="center"/>
                </w:tcPr>
                <w:p w14:paraId="0DDA36A2">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水量</w:t>
                  </w:r>
                </w:p>
              </w:tc>
              <w:tc>
                <w:tcPr>
                  <w:tcW w:w="1506" w:type="dxa"/>
                  <w:noWrap w:val="0"/>
                  <w:vAlign w:val="center"/>
                </w:tcPr>
                <w:p w14:paraId="70376B3F">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1207</w:t>
                  </w:r>
                </w:p>
              </w:tc>
              <w:tc>
                <w:tcPr>
                  <w:tcW w:w="1292" w:type="dxa"/>
                  <w:noWrap w:val="0"/>
                  <w:vAlign w:val="center"/>
                </w:tcPr>
                <w:p w14:paraId="74DBD4D4">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0</w:t>
                  </w:r>
                </w:p>
              </w:tc>
              <w:tc>
                <w:tcPr>
                  <w:tcW w:w="1131" w:type="dxa"/>
                  <w:noWrap w:val="0"/>
                  <w:vAlign w:val="center"/>
                </w:tcPr>
                <w:p w14:paraId="29EEF230">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1207</w:t>
                  </w:r>
                </w:p>
              </w:tc>
              <w:tc>
                <w:tcPr>
                  <w:tcW w:w="1416" w:type="dxa"/>
                  <w:noWrap w:val="0"/>
                  <w:vAlign w:val="center"/>
                </w:tcPr>
                <w:p w14:paraId="793DFA61">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1207</w:t>
                  </w:r>
                </w:p>
              </w:tc>
            </w:tr>
            <w:tr w14:paraId="797A51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3" w:type="dxa"/>
                  <w:vMerge w:val="continue"/>
                  <w:noWrap w:val="0"/>
                  <w:vAlign w:val="center"/>
                </w:tcPr>
                <w:p w14:paraId="40AA0E19">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705" w:type="dxa"/>
                  <w:vMerge w:val="continue"/>
                  <w:noWrap w:val="0"/>
                  <w:vAlign w:val="center"/>
                </w:tcPr>
                <w:p w14:paraId="3E53789A">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1374" w:type="dxa"/>
                  <w:noWrap w:val="0"/>
                  <w:vAlign w:val="center"/>
                </w:tcPr>
                <w:p w14:paraId="12FB00F8">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COD</w:t>
                  </w:r>
                </w:p>
              </w:tc>
              <w:tc>
                <w:tcPr>
                  <w:tcW w:w="1506" w:type="dxa"/>
                  <w:noWrap w:val="0"/>
                  <w:vAlign w:val="center"/>
                </w:tcPr>
                <w:p w14:paraId="4BDFF332">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0.663</w:t>
                  </w:r>
                </w:p>
              </w:tc>
              <w:tc>
                <w:tcPr>
                  <w:tcW w:w="1292" w:type="dxa"/>
                  <w:noWrap w:val="0"/>
                  <w:vAlign w:val="center"/>
                </w:tcPr>
                <w:p w14:paraId="7A750CB2">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0.063</w:t>
                  </w:r>
                </w:p>
              </w:tc>
              <w:tc>
                <w:tcPr>
                  <w:tcW w:w="1131" w:type="dxa"/>
                  <w:noWrap w:val="0"/>
                  <w:vAlign w:val="center"/>
                </w:tcPr>
                <w:p w14:paraId="706A3535">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0.6</w:t>
                  </w:r>
                </w:p>
              </w:tc>
              <w:tc>
                <w:tcPr>
                  <w:tcW w:w="1416" w:type="dxa"/>
                  <w:noWrap w:val="0"/>
                  <w:vAlign w:val="center"/>
                </w:tcPr>
                <w:p w14:paraId="75CD7A33">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0.06</w:t>
                  </w:r>
                </w:p>
              </w:tc>
            </w:tr>
            <w:tr w14:paraId="4E2F3F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3" w:type="dxa"/>
                  <w:vMerge w:val="continue"/>
                  <w:noWrap w:val="0"/>
                  <w:vAlign w:val="center"/>
                </w:tcPr>
                <w:p w14:paraId="7DD20EAF">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705" w:type="dxa"/>
                  <w:vMerge w:val="continue"/>
                  <w:noWrap w:val="0"/>
                  <w:vAlign w:val="center"/>
                </w:tcPr>
                <w:p w14:paraId="3EC53A57">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1374" w:type="dxa"/>
                  <w:noWrap w:val="0"/>
                  <w:vAlign w:val="center"/>
                </w:tcPr>
                <w:p w14:paraId="331D3871">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SS</w:t>
                  </w:r>
                </w:p>
              </w:tc>
              <w:tc>
                <w:tcPr>
                  <w:tcW w:w="1506" w:type="dxa"/>
                  <w:noWrap w:val="0"/>
                  <w:vAlign w:val="center"/>
                </w:tcPr>
                <w:p w14:paraId="44D9D04C">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0.543</w:t>
                  </w:r>
                </w:p>
              </w:tc>
              <w:tc>
                <w:tcPr>
                  <w:tcW w:w="1292" w:type="dxa"/>
                  <w:noWrap w:val="0"/>
                  <w:vAlign w:val="center"/>
                </w:tcPr>
                <w:p w14:paraId="3CF5A6AC">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0.061</w:t>
                  </w:r>
                </w:p>
              </w:tc>
              <w:tc>
                <w:tcPr>
                  <w:tcW w:w="1131" w:type="dxa"/>
                  <w:noWrap w:val="0"/>
                  <w:vAlign w:val="center"/>
                </w:tcPr>
                <w:p w14:paraId="55D75FE2">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0.482</w:t>
                  </w:r>
                </w:p>
              </w:tc>
              <w:tc>
                <w:tcPr>
                  <w:tcW w:w="1416" w:type="dxa"/>
                  <w:noWrap w:val="0"/>
                  <w:vAlign w:val="center"/>
                </w:tcPr>
                <w:p w14:paraId="663CDAE7">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0.012</w:t>
                  </w:r>
                </w:p>
              </w:tc>
            </w:tr>
            <w:tr w14:paraId="6B7C8F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3" w:type="dxa"/>
                  <w:vMerge w:val="continue"/>
                  <w:noWrap w:val="0"/>
                  <w:vAlign w:val="center"/>
                </w:tcPr>
                <w:p w14:paraId="40E248D8">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705" w:type="dxa"/>
                  <w:vMerge w:val="continue"/>
                  <w:noWrap w:val="0"/>
                  <w:vAlign w:val="center"/>
                </w:tcPr>
                <w:p w14:paraId="5E6A844C">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1374" w:type="dxa"/>
                  <w:noWrap w:val="0"/>
                  <w:vAlign w:val="center"/>
                </w:tcPr>
                <w:p w14:paraId="750078FB">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氨氮</w:t>
                  </w:r>
                </w:p>
              </w:tc>
              <w:tc>
                <w:tcPr>
                  <w:tcW w:w="1506" w:type="dxa"/>
                  <w:noWrap w:val="0"/>
                  <w:vAlign w:val="center"/>
                </w:tcPr>
                <w:p w14:paraId="48C614DF">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0.06</w:t>
                  </w:r>
                </w:p>
              </w:tc>
              <w:tc>
                <w:tcPr>
                  <w:tcW w:w="1292" w:type="dxa"/>
                  <w:noWrap w:val="0"/>
                  <w:vAlign w:val="center"/>
                </w:tcPr>
                <w:p w14:paraId="240C4760">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0.006</w:t>
                  </w:r>
                </w:p>
              </w:tc>
              <w:tc>
                <w:tcPr>
                  <w:tcW w:w="1131" w:type="dxa"/>
                  <w:noWrap w:val="0"/>
                  <w:vAlign w:val="center"/>
                </w:tcPr>
                <w:p w14:paraId="4AE7BF10">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0.054</w:t>
                  </w:r>
                </w:p>
              </w:tc>
              <w:tc>
                <w:tcPr>
                  <w:tcW w:w="1416" w:type="dxa"/>
                  <w:noWrap w:val="0"/>
                  <w:vAlign w:val="center"/>
                </w:tcPr>
                <w:p w14:paraId="343BC004">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0.005</w:t>
                  </w:r>
                </w:p>
              </w:tc>
            </w:tr>
            <w:tr w14:paraId="5A23D1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3" w:type="dxa"/>
                  <w:vMerge w:val="continue"/>
                  <w:noWrap w:val="0"/>
                  <w:vAlign w:val="center"/>
                </w:tcPr>
                <w:p w14:paraId="7B3F4BB4">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705" w:type="dxa"/>
                  <w:vMerge w:val="continue"/>
                  <w:noWrap w:val="0"/>
                  <w:vAlign w:val="center"/>
                </w:tcPr>
                <w:p w14:paraId="239B612C">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1374" w:type="dxa"/>
                  <w:noWrap w:val="0"/>
                  <w:vAlign w:val="center"/>
                </w:tcPr>
                <w:p w14:paraId="7951EA26">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总磷</w:t>
                  </w:r>
                </w:p>
              </w:tc>
              <w:tc>
                <w:tcPr>
                  <w:tcW w:w="1506" w:type="dxa"/>
                  <w:noWrap w:val="0"/>
                  <w:vAlign w:val="center"/>
                </w:tcPr>
                <w:p w14:paraId="63232706">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0.012</w:t>
                  </w:r>
                </w:p>
              </w:tc>
              <w:tc>
                <w:tcPr>
                  <w:tcW w:w="1292" w:type="dxa"/>
                  <w:noWrap w:val="0"/>
                  <w:vAlign w:val="center"/>
                </w:tcPr>
                <w:p w14:paraId="778E25A8">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0.003</w:t>
                  </w:r>
                </w:p>
              </w:tc>
              <w:tc>
                <w:tcPr>
                  <w:tcW w:w="1131" w:type="dxa"/>
                  <w:noWrap w:val="0"/>
                  <w:vAlign w:val="center"/>
                </w:tcPr>
                <w:p w14:paraId="3A0B2FB8">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0.009</w:t>
                  </w:r>
                </w:p>
              </w:tc>
              <w:tc>
                <w:tcPr>
                  <w:tcW w:w="1416" w:type="dxa"/>
                  <w:noWrap w:val="0"/>
                  <w:vAlign w:val="center"/>
                </w:tcPr>
                <w:p w14:paraId="78E4798D">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0.0006</w:t>
                  </w:r>
                </w:p>
              </w:tc>
            </w:tr>
            <w:tr w14:paraId="04FC50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3" w:type="dxa"/>
                  <w:vMerge w:val="continue"/>
                  <w:noWrap w:val="0"/>
                  <w:vAlign w:val="center"/>
                </w:tcPr>
                <w:p w14:paraId="4D7BFC08">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705" w:type="dxa"/>
                  <w:vMerge w:val="continue"/>
                  <w:noWrap w:val="0"/>
                  <w:vAlign w:val="center"/>
                </w:tcPr>
                <w:p w14:paraId="5A93C662">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1374" w:type="dxa"/>
                  <w:noWrap w:val="0"/>
                  <w:vAlign w:val="center"/>
                </w:tcPr>
                <w:p w14:paraId="23ACAF9D">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总氮</w:t>
                  </w:r>
                </w:p>
              </w:tc>
              <w:tc>
                <w:tcPr>
                  <w:tcW w:w="1506" w:type="dxa"/>
                  <w:noWrap w:val="0"/>
                  <w:vAlign w:val="center"/>
                </w:tcPr>
                <w:p w14:paraId="63BA2FF5">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0.096</w:t>
                  </w:r>
                </w:p>
              </w:tc>
              <w:tc>
                <w:tcPr>
                  <w:tcW w:w="1292" w:type="dxa"/>
                  <w:noWrap w:val="0"/>
                  <w:vAlign w:val="center"/>
                </w:tcPr>
                <w:p w14:paraId="47E43DA8">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0.012</w:t>
                  </w:r>
                </w:p>
              </w:tc>
              <w:tc>
                <w:tcPr>
                  <w:tcW w:w="1131" w:type="dxa"/>
                  <w:noWrap w:val="0"/>
                  <w:vAlign w:val="center"/>
                </w:tcPr>
                <w:p w14:paraId="12B936C9">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0.084</w:t>
                  </w:r>
                </w:p>
              </w:tc>
              <w:tc>
                <w:tcPr>
                  <w:tcW w:w="1416" w:type="dxa"/>
                  <w:noWrap w:val="0"/>
                  <w:vAlign w:val="center"/>
                </w:tcPr>
                <w:p w14:paraId="66A47E9A">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0.014</w:t>
                  </w:r>
                </w:p>
              </w:tc>
            </w:tr>
            <w:tr w14:paraId="605735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73" w:type="dxa"/>
                  <w:vMerge w:val="restart"/>
                  <w:noWrap w:val="0"/>
                  <w:vAlign w:val="center"/>
                </w:tcPr>
                <w:p w14:paraId="08926A6D">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废气</w:t>
                  </w:r>
                </w:p>
              </w:tc>
              <w:tc>
                <w:tcPr>
                  <w:tcW w:w="705" w:type="dxa"/>
                  <w:vMerge w:val="restart"/>
                  <w:noWrap w:val="0"/>
                  <w:vAlign w:val="center"/>
                </w:tcPr>
                <w:p w14:paraId="49C1A4E3">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有组织</w:t>
                  </w:r>
                </w:p>
              </w:tc>
              <w:tc>
                <w:tcPr>
                  <w:tcW w:w="1374" w:type="dxa"/>
                  <w:noWrap w:val="0"/>
                  <w:vAlign w:val="center"/>
                </w:tcPr>
                <w:p w14:paraId="5CB0F64B">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颗粒物</w:t>
                  </w:r>
                </w:p>
              </w:tc>
              <w:tc>
                <w:tcPr>
                  <w:tcW w:w="1506" w:type="dxa"/>
                  <w:noWrap w:val="0"/>
                  <w:vAlign w:val="center"/>
                </w:tcPr>
                <w:p w14:paraId="62FEFE79">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9.999</w:t>
                  </w:r>
                </w:p>
              </w:tc>
              <w:tc>
                <w:tcPr>
                  <w:tcW w:w="1292" w:type="dxa"/>
                  <w:noWrap w:val="0"/>
                  <w:vAlign w:val="center"/>
                </w:tcPr>
                <w:p w14:paraId="1536E937">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9.473</w:t>
                  </w:r>
                </w:p>
              </w:tc>
              <w:tc>
                <w:tcPr>
                  <w:tcW w:w="1131" w:type="dxa"/>
                  <w:noWrap w:val="0"/>
                  <w:vAlign w:val="center"/>
                </w:tcPr>
                <w:p w14:paraId="4819CFC8">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1416" w:type="dxa"/>
                  <w:noWrap w:val="0"/>
                  <w:vAlign w:val="center"/>
                </w:tcPr>
                <w:p w14:paraId="636FBD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0.526</w:t>
                  </w:r>
                </w:p>
              </w:tc>
            </w:tr>
            <w:tr w14:paraId="4BE6A3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73" w:type="dxa"/>
                  <w:vMerge w:val="continue"/>
                  <w:noWrap w:val="0"/>
                  <w:vAlign w:val="center"/>
                </w:tcPr>
                <w:p w14:paraId="0829D32A">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cs="Times New Roman"/>
                    </w:rPr>
                  </w:pPr>
                </w:p>
              </w:tc>
              <w:tc>
                <w:tcPr>
                  <w:tcW w:w="705" w:type="dxa"/>
                  <w:vMerge w:val="continue"/>
                  <w:noWrap w:val="0"/>
                  <w:vAlign w:val="center"/>
                </w:tcPr>
                <w:p w14:paraId="0E4B8E2A">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cs="Times New Roman"/>
                    </w:rPr>
                  </w:pPr>
                </w:p>
              </w:tc>
              <w:tc>
                <w:tcPr>
                  <w:tcW w:w="1374" w:type="dxa"/>
                  <w:noWrap w:val="0"/>
                  <w:vAlign w:val="center"/>
                </w:tcPr>
                <w:p w14:paraId="4762AE92">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非甲烷总烃</w:t>
                  </w:r>
                </w:p>
              </w:tc>
              <w:tc>
                <w:tcPr>
                  <w:tcW w:w="1506" w:type="dxa"/>
                  <w:noWrap w:val="0"/>
                  <w:vAlign w:val="center"/>
                </w:tcPr>
                <w:p w14:paraId="03FE9494">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0.022</w:t>
                  </w:r>
                </w:p>
              </w:tc>
              <w:tc>
                <w:tcPr>
                  <w:tcW w:w="1292" w:type="dxa"/>
                  <w:noWrap w:val="0"/>
                  <w:vAlign w:val="center"/>
                </w:tcPr>
                <w:p w14:paraId="64C575F8">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0.02</w:t>
                  </w:r>
                </w:p>
              </w:tc>
              <w:tc>
                <w:tcPr>
                  <w:tcW w:w="1131" w:type="dxa"/>
                  <w:noWrap w:val="0"/>
                  <w:vAlign w:val="center"/>
                </w:tcPr>
                <w:p w14:paraId="3FE4CAEC">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1416" w:type="dxa"/>
                  <w:noWrap w:val="0"/>
                  <w:vAlign w:val="center"/>
                </w:tcPr>
                <w:p w14:paraId="1500BE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0.002</w:t>
                  </w:r>
                </w:p>
              </w:tc>
            </w:tr>
            <w:tr w14:paraId="50E238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73" w:type="dxa"/>
                  <w:vMerge w:val="continue"/>
                  <w:noWrap w:val="0"/>
                  <w:vAlign w:val="center"/>
                </w:tcPr>
                <w:p w14:paraId="20A7DE74">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705" w:type="dxa"/>
                  <w:vMerge w:val="continue"/>
                  <w:noWrap w:val="0"/>
                  <w:vAlign w:val="center"/>
                </w:tcPr>
                <w:p w14:paraId="45BEE4D3">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1374" w:type="dxa"/>
                  <w:noWrap w:val="0"/>
                  <w:vAlign w:val="center"/>
                </w:tcPr>
                <w:p w14:paraId="733C29D2">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二氧化硫</w:t>
                  </w:r>
                </w:p>
              </w:tc>
              <w:tc>
                <w:tcPr>
                  <w:tcW w:w="1506" w:type="dxa"/>
                  <w:noWrap w:val="0"/>
                  <w:vAlign w:val="center"/>
                </w:tcPr>
                <w:p w14:paraId="576F49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0.02</w:t>
                  </w:r>
                </w:p>
              </w:tc>
              <w:tc>
                <w:tcPr>
                  <w:tcW w:w="1292" w:type="dxa"/>
                  <w:noWrap w:val="0"/>
                  <w:vAlign w:val="center"/>
                </w:tcPr>
                <w:p w14:paraId="39530D45">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w:t>
                  </w:r>
                </w:p>
              </w:tc>
              <w:tc>
                <w:tcPr>
                  <w:tcW w:w="1131" w:type="dxa"/>
                  <w:noWrap w:val="0"/>
                  <w:vAlign w:val="center"/>
                </w:tcPr>
                <w:p w14:paraId="4C16C959">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1416" w:type="dxa"/>
                  <w:noWrap w:val="0"/>
                  <w:vAlign w:val="center"/>
                </w:tcPr>
                <w:p w14:paraId="044830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0.02</w:t>
                  </w:r>
                </w:p>
              </w:tc>
            </w:tr>
            <w:tr w14:paraId="055490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73" w:type="dxa"/>
                  <w:vMerge w:val="continue"/>
                  <w:noWrap w:val="0"/>
                  <w:vAlign w:val="center"/>
                </w:tcPr>
                <w:p w14:paraId="0141F6A8">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705" w:type="dxa"/>
                  <w:vMerge w:val="continue"/>
                  <w:noWrap w:val="0"/>
                  <w:vAlign w:val="center"/>
                </w:tcPr>
                <w:p w14:paraId="18E274F8">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1374" w:type="dxa"/>
                  <w:noWrap w:val="0"/>
                  <w:vAlign w:val="center"/>
                </w:tcPr>
                <w:p w14:paraId="3E5D9DDD">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eastAsia="zh-CN"/>
                    </w:rPr>
                  </w:pPr>
                  <w:r>
                    <w:rPr>
                      <w:rFonts w:hint="eastAsia" w:ascii="宋体" w:hAnsi="宋体" w:eastAsia="宋体" w:cs="宋体"/>
                      <w:sz w:val="21"/>
                      <w:szCs w:val="21"/>
                    </w:rPr>
                    <w:t>氮氧化物</w:t>
                  </w:r>
                </w:p>
              </w:tc>
              <w:tc>
                <w:tcPr>
                  <w:tcW w:w="1506" w:type="dxa"/>
                  <w:noWrap w:val="0"/>
                  <w:vAlign w:val="center"/>
                </w:tcPr>
                <w:p w14:paraId="0786B2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0.187</w:t>
                  </w:r>
                </w:p>
              </w:tc>
              <w:tc>
                <w:tcPr>
                  <w:tcW w:w="1292" w:type="dxa"/>
                  <w:noWrap w:val="0"/>
                  <w:vAlign w:val="center"/>
                </w:tcPr>
                <w:p w14:paraId="60F1F808">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w:t>
                  </w:r>
                </w:p>
              </w:tc>
              <w:tc>
                <w:tcPr>
                  <w:tcW w:w="1131" w:type="dxa"/>
                  <w:noWrap w:val="0"/>
                  <w:vAlign w:val="center"/>
                </w:tcPr>
                <w:p w14:paraId="365994C4">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1416" w:type="dxa"/>
                  <w:noWrap w:val="0"/>
                  <w:vAlign w:val="center"/>
                </w:tcPr>
                <w:p w14:paraId="57D040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0.187</w:t>
                  </w:r>
                </w:p>
              </w:tc>
            </w:tr>
            <w:tr w14:paraId="09AACC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73" w:type="dxa"/>
                  <w:vMerge w:val="continue"/>
                  <w:noWrap w:val="0"/>
                  <w:vAlign w:val="center"/>
                </w:tcPr>
                <w:p w14:paraId="58FB3DF1">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705" w:type="dxa"/>
                  <w:vMerge w:val="restart"/>
                  <w:noWrap w:val="0"/>
                  <w:vAlign w:val="center"/>
                </w:tcPr>
                <w:p w14:paraId="1EA0459E">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无组织</w:t>
                  </w:r>
                </w:p>
              </w:tc>
              <w:tc>
                <w:tcPr>
                  <w:tcW w:w="1374" w:type="dxa"/>
                  <w:noWrap w:val="0"/>
                  <w:vAlign w:val="center"/>
                </w:tcPr>
                <w:p w14:paraId="605B8732">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颗粒物</w:t>
                  </w:r>
                </w:p>
              </w:tc>
              <w:tc>
                <w:tcPr>
                  <w:tcW w:w="1506" w:type="dxa"/>
                  <w:noWrap w:val="0"/>
                  <w:vAlign w:val="center"/>
                </w:tcPr>
                <w:p w14:paraId="4A29B9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0.524</w:t>
                  </w:r>
                </w:p>
              </w:tc>
              <w:tc>
                <w:tcPr>
                  <w:tcW w:w="1292" w:type="dxa"/>
                  <w:noWrap w:val="0"/>
                  <w:vAlign w:val="center"/>
                </w:tcPr>
                <w:p w14:paraId="4F0BAFF8">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w:t>
                  </w:r>
                </w:p>
              </w:tc>
              <w:tc>
                <w:tcPr>
                  <w:tcW w:w="1131" w:type="dxa"/>
                  <w:noWrap w:val="0"/>
                  <w:vAlign w:val="center"/>
                </w:tcPr>
                <w:p w14:paraId="5B8BBDDD">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1416" w:type="dxa"/>
                  <w:noWrap w:val="0"/>
                  <w:vAlign w:val="center"/>
                </w:tcPr>
                <w:p w14:paraId="4797D8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0.524</w:t>
                  </w:r>
                </w:p>
              </w:tc>
            </w:tr>
            <w:tr w14:paraId="1C88F6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73" w:type="dxa"/>
                  <w:vMerge w:val="continue"/>
                  <w:noWrap w:val="0"/>
                  <w:vAlign w:val="center"/>
                </w:tcPr>
                <w:p w14:paraId="3CC00CC0">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705" w:type="dxa"/>
                  <w:vMerge w:val="continue"/>
                  <w:noWrap w:val="0"/>
                  <w:vAlign w:val="center"/>
                </w:tcPr>
                <w:p w14:paraId="545CCDB3">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1374" w:type="dxa"/>
                  <w:noWrap w:val="0"/>
                  <w:vAlign w:val="center"/>
                </w:tcPr>
                <w:p w14:paraId="2000E112">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非甲烷总烃</w:t>
                  </w:r>
                </w:p>
              </w:tc>
              <w:tc>
                <w:tcPr>
                  <w:tcW w:w="1506" w:type="dxa"/>
                  <w:noWrap w:val="0"/>
                  <w:vAlign w:val="center"/>
                </w:tcPr>
                <w:p w14:paraId="54F1AA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0.002</w:t>
                  </w:r>
                </w:p>
              </w:tc>
              <w:tc>
                <w:tcPr>
                  <w:tcW w:w="1292" w:type="dxa"/>
                  <w:noWrap w:val="0"/>
                  <w:vAlign w:val="center"/>
                </w:tcPr>
                <w:p w14:paraId="77EF31CA">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w:t>
                  </w:r>
                </w:p>
              </w:tc>
              <w:tc>
                <w:tcPr>
                  <w:tcW w:w="1131" w:type="dxa"/>
                  <w:noWrap w:val="0"/>
                  <w:vAlign w:val="center"/>
                </w:tcPr>
                <w:p w14:paraId="7DCBD11D">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1416" w:type="dxa"/>
                  <w:noWrap w:val="0"/>
                  <w:vAlign w:val="center"/>
                </w:tcPr>
                <w:p w14:paraId="4C28C8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0.002</w:t>
                  </w:r>
                </w:p>
              </w:tc>
            </w:tr>
            <w:tr w14:paraId="7CABF3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3" w:type="dxa"/>
                  <w:vMerge w:val="restart"/>
                  <w:noWrap w:val="0"/>
                  <w:vAlign w:val="center"/>
                </w:tcPr>
                <w:p w14:paraId="53325445">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固废</w:t>
                  </w:r>
                </w:p>
              </w:tc>
              <w:tc>
                <w:tcPr>
                  <w:tcW w:w="2079" w:type="dxa"/>
                  <w:gridSpan w:val="2"/>
                  <w:noWrap w:val="0"/>
                  <w:vAlign w:val="center"/>
                </w:tcPr>
                <w:p w14:paraId="7A1B8E94">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一般固废</w:t>
                  </w:r>
                </w:p>
              </w:tc>
              <w:tc>
                <w:tcPr>
                  <w:tcW w:w="1506" w:type="dxa"/>
                  <w:noWrap w:val="0"/>
                  <w:vAlign w:val="center"/>
                </w:tcPr>
                <w:p w14:paraId="560C0ECC">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2.3</w:t>
                  </w:r>
                </w:p>
              </w:tc>
              <w:tc>
                <w:tcPr>
                  <w:tcW w:w="1292" w:type="dxa"/>
                  <w:noWrap w:val="0"/>
                  <w:vAlign w:val="center"/>
                </w:tcPr>
                <w:p w14:paraId="53F0D674">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2.3</w:t>
                  </w:r>
                </w:p>
              </w:tc>
              <w:tc>
                <w:tcPr>
                  <w:tcW w:w="1131" w:type="dxa"/>
                  <w:noWrap w:val="0"/>
                  <w:vAlign w:val="center"/>
                </w:tcPr>
                <w:p w14:paraId="298F1BC0">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1416" w:type="dxa"/>
                  <w:noWrap w:val="0"/>
                  <w:vAlign w:val="center"/>
                </w:tcPr>
                <w:p w14:paraId="116D6FA4">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0</w:t>
                  </w:r>
                </w:p>
              </w:tc>
            </w:tr>
            <w:tr w14:paraId="0A7FBD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3" w:type="dxa"/>
                  <w:vMerge w:val="continue"/>
                  <w:noWrap w:val="0"/>
                  <w:vAlign w:val="center"/>
                </w:tcPr>
                <w:p w14:paraId="7FDA01FC">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2079" w:type="dxa"/>
                  <w:gridSpan w:val="2"/>
                  <w:noWrap w:val="0"/>
                  <w:vAlign w:val="center"/>
                </w:tcPr>
                <w:p w14:paraId="5B9B5F5A">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危险固废</w:t>
                  </w:r>
                </w:p>
              </w:tc>
              <w:tc>
                <w:tcPr>
                  <w:tcW w:w="1506" w:type="dxa"/>
                  <w:noWrap w:val="0"/>
                  <w:vAlign w:val="center"/>
                </w:tcPr>
                <w:p w14:paraId="6FEC1620">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26.536</w:t>
                  </w:r>
                </w:p>
              </w:tc>
              <w:tc>
                <w:tcPr>
                  <w:tcW w:w="1292" w:type="dxa"/>
                  <w:noWrap w:val="0"/>
                  <w:vAlign w:val="center"/>
                </w:tcPr>
                <w:p w14:paraId="5DA486A7">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26.536</w:t>
                  </w:r>
                </w:p>
              </w:tc>
              <w:tc>
                <w:tcPr>
                  <w:tcW w:w="1131" w:type="dxa"/>
                  <w:noWrap w:val="0"/>
                  <w:vAlign w:val="center"/>
                </w:tcPr>
                <w:p w14:paraId="624BB238">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1416" w:type="dxa"/>
                  <w:noWrap w:val="0"/>
                  <w:vAlign w:val="center"/>
                </w:tcPr>
                <w:p w14:paraId="07EDD0D5">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0</w:t>
                  </w:r>
                </w:p>
              </w:tc>
            </w:tr>
            <w:tr w14:paraId="4158B1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3" w:type="dxa"/>
                  <w:vMerge w:val="continue"/>
                  <w:noWrap w:val="0"/>
                  <w:vAlign w:val="center"/>
                </w:tcPr>
                <w:p w14:paraId="2CF392A6">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2079" w:type="dxa"/>
                  <w:gridSpan w:val="2"/>
                  <w:noWrap w:val="0"/>
                  <w:vAlign w:val="center"/>
                </w:tcPr>
                <w:p w14:paraId="04DC826B">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生活垃圾</w:t>
                  </w:r>
                </w:p>
              </w:tc>
              <w:tc>
                <w:tcPr>
                  <w:tcW w:w="1506" w:type="dxa"/>
                  <w:noWrap w:val="0"/>
                  <w:vAlign w:val="center"/>
                </w:tcPr>
                <w:p w14:paraId="1CA527A0">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3.5</w:t>
                  </w:r>
                </w:p>
              </w:tc>
              <w:tc>
                <w:tcPr>
                  <w:tcW w:w="1292" w:type="dxa"/>
                  <w:noWrap w:val="0"/>
                  <w:vAlign w:val="center"/>
                </w:tcPr>
                <w:p w14:paraId="3421750D">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3.5</w:t>
                  </w:r>
                </w:p>
              </w:tc>
              <w:tc>
                <w:tcPr>
                  <w:tcW w:w="1131" w:type="dxa"/>
                  <w:noWrap w:val="0"/>
                  <w:vAlign w:val="center"/>
                </w:tcPr>
                <w:p w14:paraId="6714A005">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1416" w:type="dxa"/>
                  <w:noWrap w:val="0"/>
                  <w:vAlign w:val="center"/>
                </w:tcPr>
                <w:p w14:paraId="3591AD1D">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0</w:t>
                  </w:r>
                </w:p>
              </w:tc>
            </w:tr>
          </w:tbl>
          <w:p w14:paraId="2D7672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本项目污染物年排放总量：</w:t>
            </w:r>
          </w:p>
          <w:p w14:paraId="210CE5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⑴水污染物（接管量/外排环境量）：生活污水量≤</w:t>
            </w:r>
            <w:r>
              <w:rPr>
                <w:rFonts w:hint="eastAsia" w:ascii="宋体" w:hAnsi="宋体" w:eastAsia="宋体" w:cs="宋体"/>
                <w:kern w:val="0"/>
                <w:sz w:val="24"/>
                <w:szCs w:val="24"/>
                <w:lang w:val="en-US" w:eastAsia="zh-CN"/>
              </w:rPr>
              <w:t>1207</w:t>
            </w:r>
            <w:r>
              <w:rPr>
                <w:rFonts w:hint="eastAsia" w:ascii="宋体" w:hAnsi="宋体" w:eastAsia="宋体" w:cs="宋体"/>
                <w:kern w:val="0"/>
                <w:sz w:val="24"/>
                <w:szCs w:val="24"/>
              </w:rPr>
              <w:t>/</w:t>
            </w:r>
            <w:r>
              <w:rPr>
                <w:rFonts w:hint="eastAsia" w:ascii="宋体" w:hAnsi="宋体" w:eastAsia="宋体" w:cs="宋体"/>
                <w:kern w:val="0"/>
                <w:sz w:val="24"/>
                <w:szCs w:val="24"/>
                <w:lang w:val="en-US" w:eastAsia="zh-CN"/>
              </w:rPr>
              <w:t>1207</w:t>
            </w:r>
            <w:r>
              <w:rPr>
                <w:rFonts w:hint="eastAsia" w:ascii="宋体" w:hAnsi="宋体" w:eastAsia="宋体" w:cs="宋体"/>
                <w:kern w:val="0"/>
                <w:sz w:val="24"/>
                <w:szCs w:val="24"/>
              </w:rPr>
              <w:t>t，化学需氧量≤0.</w:t>
            </w:r>
            <w:r>
              <w:rPr>
                <w:rFonts w:hint="eastAsia" w:ascii="宋体" w:hAnsi="宋体" w:eastAsia="宋体" w:cs="宋体"/>
                <w:kern w:val="0"/>
                <w:sz w:val="24"/>
                <w:szCs w:val="24"/>
                <w:lang w:val="en-US" w:eastAsia="zh-CN"/>
              </w:rPr>
              <w:t>6</w:t>
            </w:r>
            <w:r>
              <w:rPr>
                <w:rFonts w:hint="eastAsia" w:ascii="宋体" w:hAnsi="宋体" w:eastAsia="宋体" w:cs="宋体"/>
                <w:kern w:val="0"/>
                <w:sz w:val="24"/>
                <w:szCs w:val="24"/>
              </w:rPr>
              <w:t>/0.</w:t>
            </w:r>
            <w:r>
              <w:rPr>
                <w:rFonts w:hint="eastAsia" w:ascii="宋体" w:hAnsi="宋体" w:eastAsia="宋体" w:cs="宋体"/>
                <w:kern w:val="0"/>
                <w:sz w:val="24"/>
                <w:szCs w:val="24"/>
                <w:lang w:val="en-US" w:eastAsia="zh-CN"/>
              </w:rPr>
              <w:t>06</w:t>
            </w:r>
            <w:r>
              <w:rPr>
                <w:rFonts w:hint="eastAsia" w:ascii="宋体" w:hAnsi="宋体" w:eastAsia="宋体" w:cs="宋体"/>
                <w:kern w:val="0"/>
                <w:sz w:val="24"/>
                <w:szCs w:val="24"/>
              </w:rPr>
              <w:t>t/a，悬浮物≤0.</w:t>
            </w:r>
            <w:r>
              <w:rPr>
                <w:rFonts w:hint="eastAsia" w:ascii="宋体" w:hAnsi="宋体" w:eastAsia="宋体" w:cs="宋体"/>
                <w:kern w:val="0"/>
                <w:sz w:val="24"/>
                <w:szCs w:val="24"/>
                <w:lang w:val="en-US" w:eastAsia="zh-CN"/>
              </w:rPr>
              <w:t>482</w:t>
            </w:r>
            <w:r>
              <w:rPr>
                <w:rFonts w:hint="eastAsia" w:ascii="宋体" w:hAnsi="宋体" w:eastAsia="宋体" w:cs="宋体"/>
                <w:kern w:val="0"/>
                <w:sz w:val="24"/>
                <w:szCs w:val="24"/>
              </w:rPr>
              <w:t>/0.0</w:t>
            </w:r>
            <w:r>
              <w:rPr>
                <w:rFonts w:hint="eastAsia" w:ascii="宋体" w:hAnsi="宋体" w:eastAsia="宋体" w:cs="宋体"/>
                <w:kern w:val="0"/>
                <w:sz w:val="24"/>
                <w:szCs w:val="24"/>
                <w:lang w:val="en-US" w:eastAsia="zh-CN"/>
              </w:rPr>
              <w:t>12</w:t>
            </w:r>
            <w:r>
              <w:rPr>
                <w:rFonts w:hint="eastAsia" w:ascii="宋体" w:hAnsi="宋体" w:eastAsia="宋体" w:cs="宋体"/>
                <w:kern w:val="0"/>
                <w:sz w:val="24"/>
                <w:szCs w:val="24"/>
              </w:rPr>
              <w:t>t/a，氨氮≤0.0</w:t>
            </w:r>
            <w:r>
              <w:rPr>
                <w:rFonts w:hint="eastAsia" w:ascii="宋体" w:hAnsi="宋体" w:eastAsia="宋体" w:cs="宋体"/>
                <w:kern w:val="0"/>
                <w:sz w:val="24"/>
                <w:szCs w:val="24"/>
                <w:lang w:val="en-US" w:eastAsia="zh-CN"/>
              </w:rPr>
              <w:t>54</w:t>
            </w:r>
            <w:r>
              <w:rPr>
                <w:rFonts w:hint="eastAsia" w:ascii="宋体" w:hAnsi="宋体" w:eastAsia="宋体" w:cs="宋体"/>
                <w:kern w:val="0"/>
                <w:sz w:val="24"/>
                <w:szCs w:val="24"/>
              </w:rPr>
              <w:t>/0.0</w:t>
            </w:r>
            <w:r>
              <w:rPr>
                <w:rFonts w:hint="eastAsia" w:ascii="宋体" w:hAnsi="宋体" w:eastAsia="宋体" w:cs="宋体"/>
                <w:kern w:val="0"/>
                <w:sz w:val="24"/>
                <w:szCs w:val="24"/>
                <w:lang w:val="en-US" w:eastAsia="zh-CN"/>
              </w:rPr>
              <w:t>05</w:t>
            </w:r>
            <w:r>
              <w:rPr>
                <w:rFonts w:hint="eastAsia" w:ascii="宋体" w:hAnsi="宋体" w:eastAsia="宋体" w:cs="宋体"/>
                <w:kern w:val="0"/>
                <w:sz w:val="24"/>
                <w:szCs w:val="24"/>
              </w:rPr>
              <w:t>t/a，总磷≤0.0</w:t>
            </w:r>
            <w:r>
              <w:rPr>
                <w:rFonts w:hint="eastAsia" w:ascii="宋体" w:hAnsi="宋体" w:eastAsia="宋体" w:cs="宋体"/>
                <w:kern w:val="0"/>
                <w:sz w:val="24"/>
                <w:szCs w:val="24"/>
                <w:lang w:val="en-US" w:eastAsia="zh-CN"/>
              </w:rPr>
              <w:t>09</w:t>
            </w:r>
            <w:r>
              <w:rPr>
                <w:rFonts w:hint="eastAsia" w:ascii="宋体" w:hAnsi="宋体" w:eastAsia="宋体" w:cs="宋体"/>
                <w:kern w:val="0"/>
                <w:sz w:val="24"/>
                <w:szCs w:val="24"/>
              </w:rPr>
              <w:t>/0.00</w:t>
            </w:r>
            <w:r>
              <w:rPr>
                <w:rFonts w:hint="eastAsia" w:ascii="宋体" w:hAnsi="宋体" w:eastAsia="宋体" w:cs="宋体"/>
                <w:kern w:val="0"/>
                <w:sz w:val="24"/>
                <w:szCs w:val="24"/>
                <w:lang w:val="en-US" w:eastAsia="zh-CN"/>
              </w:rPr>
              <w:t>06</w:t>
            </w:r>
            <w:r>
              <w:rPr>
                <w:rFonts w:hint="eastAsia" w:ascii="宋体" w:hAnsi="宋体" w:eastAsia="宋体" w:cs="宋体"/>
                <w:kern w:val="0"/>
                <w:sz w:val="24"/>
                <w:szCs w:val="24"/>
              </w:rPr>
              <w:t>t/a，总氮≤0.</w:t>
            </w:r>
            <w:r>
              <w:rPr>
                <w:rFonts w:hint="eastAsia" w:ascii="宋体" w:hAnsi="宋体" w:eastAsia="宋体" w:cs="宋体"/>
                <w:kern w:val="0"/>
                <w:sz w:val="24"/>
                <w:szCs w:val="24"/>
                <w:lang w:val="en-US" w:eastAsia="zh-CN"/>
              </w:rPr>
              <w:t>084</w:t>
            </w:r>
            <w:r>
              <w:rPr>
                <w:rFonts w:hint="eastAsia" w:ascii="宋体" w:hAnsi="宋体" w:eastAsia="宋体" w:cs="宋体"/>
                <w:kern w:val="0"/>
                <w:sz w:val="24"/>
                <w:szCs w:val="24"/>
              </w:rPr>
              <w:t>/0.0</w:t>
            </w:r>
            <w:r>
              <w:rPr>
                <w:rFonts w:hint="eastAsia" w:ascii="宋体" w:hAnsi="宋体" w:eastAsia="宋体" w:cs="宋体"/>
                <w:kern w:val="0"/>
                <w:sz w:val="24"/>
                <w:szCs w:val="24"/>
                <w:lang w:val="en-US" w:eastAsia="zh-CN"/>
              </w:rPr>
              <w:t>14</w:t>
            </w:r>
            <w:r>
              <w:rPr>
                <w:rFonts w:hint="eastAsia" w:ascii="宋体" w:hAnsi="宋体" w:eastAsia="宋体" w:cs="宋体"/>
                <w:kern w:val="0"/>
                <w:sz w:val="24"/>
                <w:szCs w:val="24"/>
              </w:rPr>
              <w:t>t/a。</w:t>
            </w:r>
          </w:p>
          <w:p w14:paraId="6B1E22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eastAsia" w:ascii="宋体" w:hAnsi="宋体" w:eastAsia="宋体" w:cs="宋体"/>
                <w:color w:val="auto"/>
                <w:kern w:val="0"/>
                <w:sz w:val="24"/>
                <w:szCs w:val="24"/>
              </w:rPr>
            </w:pPr>
            <w:r>
              <w:rPr>
                <w:rFonts w:hint="eastAsia" w:ascii="宋体" w:hAnsi="宋体" w:eastAsia="宋体" w:cs="宋体"/>
                <w:kern w:val="0"/>
                <w:sz w:val="24"/>
                <w:szCs w:val="24"/>
              </w:rPr>
              <w:t>⑵大气污染物：</w:t>
            </w:r>
            <w:r>
              <w:rPr>
                <w:rFonts w:hint="eastAsia" w:ascii="宋体" w:hAnsi="宋体" w:eastAsia="宋体" w:cs="宋体"/>
                <w:kern w:val="0"/>
                <w:sz w:val="24"/>
                <w:szCs w:val="24"/>
                <w:lang w:eastAsia="zh-CN"/>
              </w:rPr>
              <w:t>有</w:t>
            </w:r>
            <w:r>
              <w:rPr>
                <w:rFonts w:hint="eastAsia" w:ascii="宋体" w:hAnsi="宋体" w:eastAsia="宋体" w:cs="宋体"/>
                <w:kern w:val="0"/>
                <w:sz w:val="24"/>
                <w:szCs w:val="24"/>
              </w:rPr>
              <w:t>组织颗粒物≤</w:t>
            </w:r>
            <w:r>
              <w:rPr>
                <w:rFonts w:hint="eastAsia" w:ascii="宋体" w:hAnsi="宋体" w:eastAsia="宋体" w:cs="宋体"/>
                <w:kern w:val="0"/>
                <w:sz w:val="24"/>
                <w:szCs w:val="24"/>
                <w:lang w:val="en-US" w:eastAsia="zh-CN"/>
              </w:rPr>
              <w:t>0.526</w:t>
            </w:r>
            <w:r>
              <w:rPr>
                <w:rFonts w:hint="eastAsia" w:ascii="宋体" w:hAnsi="宋体" w:eastAsia="宋体" w:cs="宋体"/>
                <w:kern w:val="0"/>
                <w:sz w:val="24"/>
                <w:szCs w:val="24"/>
              </w:rPr>
              <w:t>t/a，</w:t>
            </w:r>
            <w:r>
              <w:rPr>
                <w:rFonts w:hint="eastAsia" w:ascii="宋体" w:hAnsi="宋体" w:eastAsia="宋体" w:cs="宋体"/>
                <w:kern w:val="0"/>
                <w:sz w:val="24"/>
                <w:szCs w:val="24"/>
                <w:lang w:eastAsia="zh-CN"/>
              </w:rPr>
              <w:t>非甲烷总烃</w:t>
            </w:r>
            <w:r>
              <w:rPr>
                <w:rFonts w:hint="eastAsia" w:ascii="宋体" w:hAnsi="宋体" w:eastAsia="宋体" w:cs="宋体"/>
                <w:kern w:val="0"/>
                <w:sz w:val="24"/>
                <w:szCs w:val="24"/>
              </w:rPr>
              <w:t>≤</w:t>
            </w:r>
            <w:r>
              <w:rPr>
                <w:rFonts w:hint="eastAsia" w:ascii="宋体" w:hAnsi="宋体" w:eastAsia="宋体" w:cs="宋体"/>
                <w:kern w:val="0"/>
                <w:sz w:val="24"/>
                <w:szCs w:val="24"/>
                <w:lang w:eastAsia="zh-CN"/>
              </w:rPr>
              <w:t>0.</w:t>
            </w:r>
            <w:r>
              <w:rPr>
                <w:rFonts w:hint="eastAsia" w:ascii="宋体" w:hAnsi="宋体" w:eastAsia="宋体" w:cs="宋体"/>
                <w:kern w:val="0"/>
                <w:sz w:val="24"/>
                <w:szCs w:val="24"/>
                <w:lang w:val="en-US" w:eastAsia="zh-CN"/>
              </w:rPr>
              <w:t>002</w:t>
            </w:r>
            <w:r>
              <w:rPr>
                <w:rFonts w:hint="eastAsia" w:ascii="宋体" w:hAnsi="宋体" w:eastAsia="宋体" w:cs="宋体"/>
                <w:kern w:val="0"/>
                <w:sz w:val="24"/>
                <w:szCs w:val="24"/>
              </w:rPr>
              <w:t>t/a，</w:t>
            </w:r>
            <w:r>
              <w:rPr>
                <w:rFonts w:hint="eastAsia" w:ascii="宋体" w:hAnsi="宋体" w:eastAsia="宋体" w:cs="宋体"/>
                <w:color w:val="auto"/>
                <w:kern w:val="0"/>
                <w:sz w:val="24"/>
                <w:szCs w:val="24"/>
                <w:lang w:eastAsia="zh-CN"/>
              </w:rPr>
              <w:t>二氧化硫</w:t>
            </w:r>
            <w:r>
              <w:rPr>
                <w:rFonts w:hint="eastAsia" w:ascii="宋体" w:hAnsi="宋体" w:eastAsia="宋体" w:cs="宋体"/>
                <w:color w:val="auto"/>
                <w:kern w:val="0"/>
                <w:sz w:val="24"/>
                <w:szCs w:val="24"/>
              </w:rPr>
              <w:t>≤</w:t>
            </w:r>
            <w:r>
              <w:rPr>
                <w:rFonts w:hint="eastAsia" w:ascii="宋体" w:hAnsi="宋体" w:eastAsia="宋体" w:cs="宋体"/>
                <w:color w:val="auto"/>
                <w:kern w:val="0"/>
                <w:sz w:val="24"/>
                <w:szCs w:val="24"/>
                <w:lang w:val="en-US" w:eastAsia="zh-CN"/>
              </w:rPr>
              <w:t>0.02</w:t>
            </w:r>
            <w:r>
              <w:rPr>
                <w:rFonts w:hint="eastAsia" w:ascii="宋体" w:hAnsi="宋体" w:eastAsia="宋体" w:cs="宋体"/>
                <w:color w:val="auto"/>
                <w:kern w:val="0"/>
                <w:sz w:val="24"/>
                <w:szCs w:val="24"/>
              </w:rPr>
              <w:t>t/a，</w:t>
            </w:r>
            <w:r>
              <w:rPr>
                <w:rFonts w:hint="eastAsia" w:ascii="宋体" w:hAnsi="宋体" w:eastAsia="宋体" w:cs="宋体"/>
                <w:color w:val="auto"/>
                <w:kern w:val="0"/>
                <w:sz w:val="24"/>
                <w:szCs w:val="24"/>
                <w:lang w:eastAsia="zh-CN"/>
              </w:rPr>
              <w:t>氮氧化物</w:t>
            </w:r>
            <w:r>
              <w:rPr>
                <w:rFonts w:hint="eastAsia" w:ascii="宋体" w:hAnsi="宋体" w:eastAsia="宋体" w:cs="宋体"/>
                <w:color w:val="auto"/>
                <w:kern w:val="0"/>
                <w:sz w:val="24"/>
                <w:szCs w:val="24"/>
              </w:rPr>
              <w:t>≤</w:t>
            </w:r>
            <w:r>
              <w:rPr>
                <w:rFonts w:hint="eastAsia" w:ascii="宋体" w:hAnsi="宋体" w:eastAsia="宋体" w:cs="宋体"/>
                <w:color w:val="auto"/>
                <w:kern w:val="0"/>
                <w:sz w:val="24"/>
                <w:szCs w:val="24"/>
                <w:lang w:val="en-US" w:eastAsia="zh-CN"/>
              </w:rPr>
              <w:t>0.187</w:t>
            </w:r>
            <w:r>
              <w:rPr>
                <w:rFonts w:hint="eastAsia" w:ascii="宋体" w:hAnsi="宋体" w:eastAsia="宋体" w:cs="宋体"/>
                <w:color w:val="auto"/>
                <w:kern w:val="0"/>
                <w:sz w:val="24"/>
                <w:szCs w:val="24"/>
              </w:rPr>
              <w:t>t/a。</w:t>
            </w:r>
          </w:p>
          <w:p w14:paraId="71C534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lang w:eastAsia="zh-CN"/>
              </w:rPr>
              <w:t>无组织</w:t>
            </w:r>
            <w:r>
              <w:rPr>
                <w:rFonts w:hint="eastAsia" w:ascii="宋体" w:hAnsi="宋体" w:eastAsia="宋体" w:cs="宋体"/>
                <w:color w:val="auto"/>
                <w:kern w:val="0"/>
                <w:sz w:val="24"/>
                <w:szCs w:val="24"/>
              </w:rPr>
              <w:t>颗粒物≤</w:t>
            </w:r>
            <w:r>
              <w:rPr>
                <w:rFonts w:hint="eastAsia" w:ascii="宋体" w:hAnsi="宋体" w:eastAsia="宋体" w:cs="宋体"/>
                <w:color w:val="auto"/>
                <w:kern w:val="0"/>
                <w:sz w:val="24"/>
                <w:szCs w:val="24"/>
                <w:lang w:val="en-US" w:eastAsia="zh-CN"/>
              </w:rPr>
              <w:t>0.524</w:t>
            </w:r>
            <w:r>
              <w:rPr>
                <w:rFonts w:hint="eastAsia" w:ascii="宋体" w:hAnsi="宋体" w:eastAsia="宋体" w:cs="宋体"/>
                <w:color w:val="auto"/>
                <w:kern w:val="0"/>
                <w:sz w:val="24"/>
                <w:szCs w:val="24"/>
              </w:rPr>
              <w:t>t/a，</w:t>
            </w:r>
            <w:r>
              <w:rPr>
                <w:rFonts w:hint="eastAsia" w:ascii="宋体" w:hAnsi="宋体" w:eastAsia="宋体" w:cs="宋体"/>
                <w:color w:val="auto"/>
                <w:kern w:val="0"/>
                <w:sz w:val="24"/>
                <w:szCs w:val="24"/>
                <w:lang w:eastAsia="zh-CN"/>
              </w:rPr>
              <w:t>非甲烷总烃</w:t>
            </w:r>
            <w:r>
              <w:rPr>
                <w:rFonts w:hint="eastAsia" w:ascii="宋体" w:hAnsi="宋体" w:eastAsia="宋体" w:cs="宋体"/>
                <w:color w:val="auto"/>
                <w:kern w:val="0"/>
                <w:sz w:val="24"/>
                <w:szCs w:val="24"/>
              </w:rPr>
              <w:t>≤</w:t>
            </w:r>
            <w:r>
              <w:rPr>
                <w:rFonts w:hint="eastAsia" w:ascii="宋体" w:hAnsi="宋体" w:eastAsia="宋体" w:cs="宋体"/>
                <w:color w:val="auto"/>
                <w:kern w:val="0"/>
                <w:sz w:val="24"/>
                <w:szCs w:val="24"/>
                <w:lang w:eastAsia="zh-CN"/>
              </w:rPr>
              <w:t>0.</w:t>
            </w:r>
            <w:r>
              <w:rPr>
                <w:rFonts w:hint="eastAsia" w:ascii="宋体" w:hAnsi="宋体" w:eastAsia="宋体" w:cs="宋体"/>
                <w:color w:val="auto"/>
                <w:kern w:val="0"/>
                <w:sz w:val="24"/>
                <w:szCs w:val="24"/>
                <w:lang w:val="en-US" w:eastAsia="zh-CN"/>
              </w:rPr>
              <w:t>002</w:t>
            </w:r>
            <w:r>
              <w:rPr>
                <w:rFonts w:hint="eastAsia" w:ascii="宋体" w:hAnsi="宋体" w:eastAsia="宋体" w:cs="宋体"/>
                <w:color w:val="auto"/>
                <w:kern w:val="0"/>
                <w:sz w:val="24"/>
                <w:szCs w:val="24"/>
              </w:rPr>
              <w:t>t/a</w:t>
            </w:r>
            <w:r>
              <w:rPr>
                <w:rFonts w:hint="eastAsia" w:ascii="宋体" w:hAnsi="宋体" w:eastAsia="宋体" w:cs="宋体"/>
                <w:color w:val="auto"/>
                <w:kern w:val="0"/>
                <w:sz w:val="24"/>
                <w:szCs w:val="24"/>
                <w:lang w:eastAsia="zh-CN"/>
              </w:rPr>
              <w:t>。</w:t>
            </w:r>
          </w:p>
          <w:p w14:paraId="0F98C1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eastAsia" w:ascii="宋体" w:hAnsi="宋体" w:eastAsia="宋体" w:cs="宋体"/>
                <w:kern w:val="0"/>
                <w:sz w:val="24"/>
                <w:szCs w:val="24"/>
              </w:rPr>
            </w:pPr>
            <w:r>
              <w:rPr>
                <w:rFonts w:hint="eastAsia" w:ascii="宋体" w:hAnsi="宋体" w:eastAsia="宋体" w:cs="宋体"/>
                <w:color w:val="auto"/>
                <w:kern w:val="0"/>
                <w:sz w:val="24"/>
                <w:szCs w:val="24"/>
              </w:rPr>
              <w:t>⑶固体废物：全部综合利</w:t>
            </w:r>
            <w:r>
              <w:rPr>
                <w:rFonts w:hint="eastAsia" w:ascii="宋体" w:hAnsi="宋体" w:eastAsia="宋体" w:cs="宋体"/>
                <w:kern w:val="0"/>
                <w:sz w:val="24"/>
                <w:szCs w:val="24"/>
              </w:rPr>
              <w:t>用或安全处置。</w:t>
            </w:r>
          </w:p>
          <w:p w14:paraId="1E0B1BDA">
            <w:pPr>
              <w:pStyle w:val="29"/>
              <w:keepNext w:val="0"/>
              <w:keepLines w:val="0"/>
              <w:suppressLineNumbers w:val="0"/>
              <w:spacing w:before="0" w:beforeAutospacing="0" w:afterAutospacing="0"/>
              <w:ind w:right="0"/>
              <w:rPr>
                <w:rFonts w:hint="eastAsia" w:ascii="宋体" w:hAnsi="宋体" w:eastAsia="宋体" w:cs="宋体"/>
                <w:kern w:val="0"/>
                <w:sz w:val="24"/>
                <w:szCs w:val="24"/>
              </w:rPr>
            </w:pPr>
          </w:p>
          <w:p w14:paraId="6AFF848C">
            <w:pPr>
              <w:keepNext w:val="0"/>
              <w:keepLines w:val="0"/>
              <w:suppressLineNumbers w:val="0"/>
              <w:spacing w:before="0" w:beforeAutospacing="0" w:after="0" w:afterAutospacing="0"/>
              <w:ind w:left="0" w:right="0"/>
              <w:rPr>
                <w:rFonts w:hint="eastAsia" w:ascii="宋体" w:hAnsi="宋体" w:eastAsia="宋体" w:cs="宋体"/>
                <w:kern w:val="0"/>
                <w:sz w:val="24"/>
                <w:szCs w:val="24"/>
              </w:rPr>
            </w:pPr>
          </w:p>
          <w:p w14:paraId="70016A48">
            <w:pPr>
              <w:pStyle w:val="29"/>
              <w:keepNext w:val="0"/>
              <w:keepLines w:val="0"/>
              <w:suppressLineNumbers w:val="0"/>
              <w:spacing w:before="0" w:beforeAutospacing="0" w:afterAutospacing="0"/>
              <w:ind w:right="0"/>
              <w:rPr>
                <w:rFonts w:hint="eastAsia" w:ascii="宋体" w:hAnsi="宋体" w:eastAsia="宋体" w:cs="宋体"/>
                <w:kern w:val="0"/>
                <w:sz w:val="24"/>
                <w:szCs w:val="24"/>
              </w:rPr>
            </w:pPr>
          </w:p>
          <w:p w14:paraId="0A04AF18">
            <w:pPr>
              <w:pStyle w:val="29"/>
              <w:keepNext w:val="0"/>
              <w:keepLines w:val="0"/>
              <w:suppressLineNumbers w:val="0"/>
              <w:spacing w:before="0" w:beforeAutospacing="0" w:afterAutospacing="0"/>
              <w:ind w:left="0" w:leftChars="0" w:right="0" w:firstLine="0" w:firstLineChars="0"/>
              <w:rPr>
                <w:rFonts w:hint="eastAsia"/>
              </w:rPr>
            </w:pPr>
          </w:p>
        </w:tc>
      </w:tr>
    </w:tbl>
    <w:p w14:paraId="4AFE3301">
      <w:pPr>
        <w:adjustRightInd w:val="0"/>
        <w:snapToGrid w:val="0"/>
        <w:jc w:val="center"/>
        <w:rPr>
          <w:rFonts w:hint="eastAsia" w:ascii="宋体" w:hAnsi="宋体" w:eastAsia="宋体" w:cs="宋体"/>
          <w:color w:val="FF0000"/>
        </w:rPr>
        <w:sectPr>
          <w:pgSz w:w="11907" w:h="16840"/>
          <w:pgMar w:top="1440" w:right="1800" w:bottom="1440" w:left="1800" w:header="851" w:footer="850" w:gutter="0"/>
          <w:pgBorders>
            <w:top w:val="none" w:sz="0" w:space="0"/>
            <w:left w:val="none" w:sz="0" w:space="0"/>
            <w:bottom w:val="none" w:sz="0" w:space="0"/>
            <w:right w:val="none" w:sz="0" w:space="0"/>
          </w:pgBorders>
          <w:cols w:space="720" w:num="1"/>
          <w:docGrid w:type="lines" w:linePitch="312" w:charSpace="0"/>
        </w:sectPr>
      </w:pPr>
    </w:p>
    <w:p w14:paraId="53F12A42">
      <w:pPr>
        <w:pStyle w:val="2"/>
        <w:jc w:val="left"/>
        <w:rPr>
          <w:rStyle w:val="36"/>
          <w:rFonts w:hint="eastAsia" w:ascii="宋体" w:hAnsi="宋体" w:cs="宋体"/>
          <w:b/>
          <w:bCs/>
          <w:color w:val="auto"/>
        </w:rPr>
      </w:pPr>
      <w:bookmarkStart w:id="80" w:name="_Toc24474"/>
      <w:r>
        <w:rPr>
          <w:rFonts w:hint="eastAsia"/>
        </w:rPr>
        <w:t>四、主要环境影响和保护措施</w:t>
      </w:r>
      <w:bookmarkEnd w:id="80"/>
    </w:p>
    <w:tbl>
      <w:tblPr>
        <w:tblStyle w:val="30"/>
        <w:tblW w:w="9061"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479"/>
        <w:gridCol w:w="8582"/>
      </w:tblGrid>
      <w:tr w14:paraId="5182765F">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573" w:hRule="atLeast"/>
          <w:jc w:val="center"/>
        </w:trPr>
        <w:tc>
          <w:tcPr>
            <w:tcW w:w="479" w:type="dxa"/>
            <w:noWrap w:val="0"/>
            <w:tcMar>
              <w:left w:w="28" w:type="dxa"/>
              <w:right w:w="28" w:type="dxa"/>
            </w:tcMar>
            <w:vAlign w:val="center"/>
          </w:tcPr>
          <w:p w14:paraId="15E3C8FF">
            <w:pPr>
              <w:pStyle w:val="53"/>
              <w:keepNext w:val="0"/>
              <w:keepLines w:val="0"/>
              <w:suppressLineNumbers w:val="0"/>
              <w:spacing w:before="0" w:beforeAutospacing="0" w:after="0" w:afterAutospacing="0" w:line="360" w:lineRule="auto"/>
              <w:ind w:left="0" w:right="0"/>
              <w:rPr>
                <w:rFonts w:hint="eastAsia" w:ascii="宋体" w:hAnsi="宋体" w:eastAsia="宋体" w:cs="宋体"/>
              </w:rPr>
            </w:pPr>
            <w:r>
              <w:rPr>
                <w:rFonts w:hint="eastAsia" w:ascii="宋体" w:hAnsi="宋体" w:eastAsia="宋体" w:cs="宋体"/>
              </w:rPr>
              <w:t>施工</w:t>
            </w:r>
          </w:p>
          <w:p w14:paraId="6C72774D">
            <w:pPr>
              <w:pStyle w:val="53"/>
              <w:keepNext w:val="0"/>
              <w:keepLines w:val="0"/>
              <w:suppressLineNumbers w:val="0"/>
              <w:spacing w:before="0" w:beforeAutospacing="0" w:after="0" w:afterAutospacing="0" w:line="360" w:lineRule="auto"/>
              <w:ind w:left="0" w:right="0"/>
              <w:rPr>
                <w:rFonts w:hint="eastAsia" w:ascii="宋体" w:hAnsi="宋体" w:eastAsia="宋体" w:cs="宋体"/>
              </w:rPr>
            </w:pPr>
            <w:r>
              <w:rPr>
                <w:rFonts w:hint="eastAsia" w:ascii="宋体" w:hAnsi="宋体" w:eastAsia="宋体" w:cs="宋体"/>
              </w:rPr>
              <w:t>期环</w:t>
            </w:r>
          </w:p>
          <w:p w14:paraId="29409995">
            <w:pPr>
              <w:pStyle w:val="53"/>
              <w:keepNext w:val="0"/>
              <w:keepLines w:val="0"/>
              <w:suppressLineNumbers w:val="0"/>
              <w:spacing w:before="0" w:beforeAutospacing="0" w:after="0" w:afterAutospacing="0" w:line="360" w:lineRule="auto"/>
              <w:ind w:left="0" w:right="0"/>
              <w:rPr>
                <w:rFonts w:hint="eastAsia" w:ascii="宋体" w:hAnsi="宋体" w:eastAsia="宋体" w:cs="宋体"/>
              </w:rPr>
            </w:pPr>
            <w:r>
              <w:rPr>
                <w:rFonts w:hint="eastAsia" w:ascii="宋体" w:hAnsi="宋体" w:eastAsia="宋体" w:cs="宋体"/>
              </w:rPr>
              <w:t>境保</w:t>
            </w:r>
          </w:p>
          <w:p w14:paraId="275AA943">
            <w:pPr>
              <w:pStyle w:val="53"/>
              <w:keepNext w:val="0"/>
              <w:keepLines w:val="0"/>
              <w:suppressLineNumbers w:val="0"/>
              <w:spacing w:before="0" w:beforeAutospacing="0" w:after="0" w:afterAutospacing="0" w:line="360" w:lineRule="auto"/>
              <w:ind w:left="0" w:right="0"/>
              <w:rPr>
                <w:rFonts w:hint="eastAsia" w:ascii="宋体" w:hAnsi="宋体" w:eastAsia="宋体" w:cs="宋体"/>
              </w:rPr>
            </w:pPr>
            <w:r>
              <w:rPr>
                <w:rFonts w:hint="eastAsia" w:ascii="宋体" w:hAnsi="宋体" w:eastAsia="宋体" w:cs="宋体"/>
              </w:rPr>
              <w:t>护措</w:t>
            </w:r>
          </w:p>
          <w:p w14:paraId="562935B1">
            <w:pPr>
              <w:pStyle w:val="53"/>
              <w:keepNext w:val="0"/>
              <w:keepLines w:val="0"/>
              <w:suppressLineNumbers w:val="0"/>
              <w:spacing w:before="0" w:beforeAutospacing="0" w:after="0" w:afterAutospacing="0" w:line="360" w:lineRule="auto"/>
              <w:ind w:left="0" w:right="0"/>
              <w:rPr>
                <w:rFonts w:hint="eastAsia" w:ascii="宋体" w:hAnsi="宋体" w:eastAsia="宋体" w:cs="宋体"/>
              </w:rPr>
            </w:pPr>
            <w:r>
              <w:rPr>
                <w:rFonts w:hint="eastAsia" w:ascii="宋体" w:hAnsi="宋体" w:eastAsia="宋体" w:cs="宋体"/>
              </w:rPr>
              <w:t>施</w:t>
            </w:r>
          </w:p>
        </w:tc>
        <w:tc>
          <w:tcPr>
            <w:tcW w:w="8582" w:type="dxa"/>
            <w:noWrap w:val="0"/>
            <w:vAlign w:val="center"/>
          </w:tcPr>
          <w:p w14:paraId="02D1E867">
            <w:pPr>
              <w:pStyle w:val="5"/>
              <w:keepLines w:val="0"/>
              <w:pageBreakBefore w:val="0"/>
              <w:widowControl w:val="0"/>
              <w:suppressLineNumbers w:val="0"/>
              <w:tabs>
                <w:tab w:val="left" w:pos="1080"/>
              </w:tabs>
              <w:kinsoku/>
              <w:wordWrap w:val="0"/>
              <w:overflowPunct/>
              <w:topLinePunct w:val="0"/>
              <w:autoSpaceDE/>
              <w:autoSpaceDN/>
              <w:bidi w:val="0"/>
              <w:adjustRightInd w:val="0"/>
              <w:snapToGrid w:val="0"/>
              <w:spacing w:before="0" w:after="0" w:line="360" w:lineRule="auto"/>
              <w:ind w:left="0" w:right="0" w:firstLine="480" w:firstLineChars="200"/>
              <w:textAlignment w:val="auto"/>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施工期大气污染源主要来自于土地平整、建筑垃圾搬运及露天堆场的风力扬尘、土方石和建筑材料运输所产生的道路扬尘（包括施工区内工地道路和施工区外道路）以及排放的机械设备尾气。</w:t>
            </w:r>
          </w:p>
          <w:p w14:paraId="6CF0AF1B">
            <w:pPr>
              <w:keepNext w:val="0"/>
              <w:keepLines w:val="0"/>
              <w:suppressLineNumbers w:val="0"/>
              <w:spacing w:before="0" w:beforeAutospacing="0" w:after="0" w:afterAutospacing="0"/>
              <w:ind w:left="0" w:right="0"/>
              <w:rPr>
                <w:rFonts w:hint="eastAsia" w:ascii="宋体" w:hAnsi="宋体" w:eastAsia="宋体" w:cs="宋体"/>
                <w:lang w:val="en-US" w:eastAsia="zh-CN"/>
              </w:rPr>
            </w:pPr>
            <w:r>
              <w:rPr>
                <w:rFonts w:hint="eastAsia" w:ascii="宋体" w:hAnsi="宋体" w:eastAsia="宋体" w:cs="宋体"/>
                <w:b w:val="0"/>
                <w:color w:val="000000"/>
                <w:sz w:val="24"/>
                <w:szCs w:val="24"/>
                <w:lang w:val="en-US" w:eastAsia="zh-CN"/>
              </w:rPr>
              <w:t>1、</w:t>
            </w:r>
            <w:r>
              <w:rPr>
                <w:rFonts w:hint="eastAsia" w:ascii="宋体" w:hAnsi="宋体" w:eastAsia="宋体" w:cs="宋体"/>
                <w:color w:val="000000"/>
                <w:sz w:val="24"/>
                <w:lang w:val="en-US" w:eastAsia="zh-CN"/>
              </w:rPr>
              <w:t>环境空气</w:t>
            </w:r>
            <w:r>
              <w:rPr>
                <w:rFonts w:hint="eastAsia" w:ascii="宋体" w:hAnsi="宋体" w:eastAsia="宋体" w:cs="宋体"/>
                <w:color w:val="000000"/>
                <w:sz w:val="24"/>
              </w:rPr>
              <w:t>环境影响分析和保护措施</w:t>
            </w:r>
          </w:p>
          <w:p w14:paraId="21A6DCB3">
            <w:pPr>
              <w:pStyle w:val="5"/>
              <w:keepLines w:val="0"/>
              <w:pageBreakBefore w:val="0"/>
              <w:widowControl w:val="0"/>
              <w:suppressLineNumbers w:val="0"/>
              <w:tabs>
                <w:tab w:val="left" w:pos="1080"/>
              </w:tabs>
              <w:kinsoku/>
              <w:wordWrap w:val="0"/>
              <w:overflowPunct/>
              <w:topLinePunct w:val="0"/>
              <w:autoSpaceDE/>
              <w:autoSpaceDN/>
              <w:bidi w:val="0"/>
              <w:adjustRightInd w:val="0"/>
              <w:snapToGrid w:val="0"/>
              <w:spacing w:before="0" w:after="0" w:line="360" w:lineRule="auto"/>
              <w:ind w:left="0" w:right="0" w:firstLine="480" w:firstLineChars="200"/>
              <w:textAlignment w:val="auto"/>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⑴施工作业扬尘</w:t>
            </w:r>
          </w:p>
          <w:p w14:paraId="38B7748C">
            <w:pPr>
              <w:pStyle w:val="5"/>
              <w:keepLines w:val="0"/>
              <w:pageBreakBefore w:val="0"/>
              <w:widowControl w:val="0"/>
              <w:suppressLineNumbers w:val="0"/>
              <w:tabs>
                <w:tab w:val="left" w:pos="1080"/>
              </w:tabs>
              <w:kinsoku/>
              <w:wordWrap w:val="0"/>
              <w:overflowPunct/>
              <w:topLinePunct w:val="0"/>
              <w:autoSpaceDE/>
              <w:autoSpaceDN/>
              <w:bidi w:val="0"/>
              <w:adjustRightInd w:val="0"/>
              <w:snapToGrid w:val="0"/>
              <w:spacing w:before="0" w:after="0" w:line="360" w:lineRule="auto"/>
              <w:ind w:left="0" w:right="0" w:firstLine="480" w:firstLineChars="200"/>
              <w:textAlignment w:val="auto"/>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施工期扬尘的起尘量与许多因素有关，如挖土机挖坑深度、风速、土壤的颗粒度、土壤含水量等。根据类比调查，在不采取任何防治措施的情况下，不同的风速和稳定度时，施工场地在自然风作用下产生的扬尘所影响的范围在200m以内，物料露天堆放主要受风速影响，影响范围在50-200m之间，而在采取一定的防护措施后（如洒水降尘），在不同的风速和稳定度下，施工扬尘的浓度会大幅下降，施工扬尘影响区域一般在施工现场100m以内，在施工现场100m以外基本上满足</w:t>
            </w:r>
            <w:r>
              <w:rPr>
                <w:rFonts w:hint="eastAsia" w:ascii="宋体" w:hAnsi="宋体" w:eastAsia="宋体" w:cs="宋体"/>
                <w:b w:val="0"/>
                <w:bCs/>
                <w:color w:val="000000"/>
                <w:sz w:val="24"/>
                <w:szCs w:val="24"/>
                <w:lang w:val="en-US" w:eastAsia="zh-CN"/>
              </w:rPr>
              <w:t>《施工场地扬尘排放标准》（DB32/4437-2022）</w:t>
            </w:r>
            <w:r>
              <w:rPr>
                <w:rFonts w:hint="eastAsia" w:ascii="宋体" w:hAnsi="宋体" w:eastAsia="宋体" w:cs="宋体"/>
                <w:b w:val="0"/>
                <w:bCs/>
                <w:color w:val="000000"/>
                <w:sz w:val="24"/>
                <w:szCs w:val="24"/>
              </w:rPr>
              <w:t>中无组织排放监控浓度限值。</w:t>
            </w:r>
          </w:p>
          <w:p w14:paraId="2548ED53">
            <w:pPr>
              <w:pStyle w:val="5"/>
              <w:keepLines w:val="0"/>
              <w:pageBreakBefore w:val="0"/>
              <w:widowControl w:val="0"/>
              <w:suppressLineNumbers w:val="0"/>
              <w:tabs>
                <w:tab w:val="left" w:pos="1080"/>
              </w:tabs>
              <w:kinsoku/>
              <w:wordWrap w:val="0"/>
              <w:overflowPunct/>
              <w:topLinePunct w:val="0"/>
              <w:autoSpaceDE/>
              <w:autoSpaceDN/>
              <w:bidi w:val="0"/>
              <w:adjustRightInd w:val="0"/>
              <w:snapToGrid w:val="0"/>
              <w:spacing w:before="0" w:after="0" w:line="360" w:lineRule="auto"/>
              <w:ind w:left="0" w:right="0" w:firstLine="480" w:firstLineChars="200"/>
              <w:textAlignment w:val="auto"/>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⑵机械设备废气</w:t>
            </w:r>
          </w:p>
          <w:p w14:paraId="1AA8130E">
            <w:pPr>
              <w:pStyle w:val="5"/>
              <w:keepLines w:val="0"/>
              <w:pageBreakBefore w:val="0"/>
              <w:widowControl w:val="0"/>
              <w:suppressLineNumbers w:val="0"/>
              <w:tabs>
                <w:tab w:val="left" w:pos="1080"/>
              </w:tabs>
              <w:kinsoku/>
              <w:wordWrap w:val="0"/>
              <w:overflowPunct/>
              <w:topLinePunct w:val="0"/>
              <w:autoSpaceDE/>
              <w:autoSpaceDN/>
              <w:bidi w:val="0"/>
              <w:adjustRightInd w:val="0"/>
              <w:snapToGrid w:val="0"/>
              <w:spacing w:before="0" w:after="0" w:line="360" w:lineRule="auto"/>
              <w:ind w:left="0" w:right="0" w:firstLine="480" w:firstLineChars="200"/>
              <w:textAlignment w:val="auto"/>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项目在建设施工过程中施工车辆、挖掘机等因燃油产生的二氧化硫、氮氧化物、一氧化碳、烃类、TSP等空气污染物对项目区域环境空气也会产生一定影响，但由于施工中燃油设备的使用率不高，此类污染物排放量不大，且表现为间续特征，可以预见，燃油废气对区域大气环境的影响较小。</w:t>
            </w:r>
          </w:p>
          <w:p w14:paraId="621E6773">
            <w:pPr>
              <w:pStyle w:val="5"/>
              <w:keepLines w:val="0"/>
              <w:pageBreakBefore w:val="0"/>
              <w:widowControl w:val="0"/>
              <w:suppressLineNumbers w:val="0"/>
              <w:tabs>
                <w:tab w:val="left" w:pos="1080"/>
              </w:tabs>
              <w:kinsoku/>
              <w:wordWrap w:val="0"/>
              <w:overflowPunct/>
              <w:topLinePunct w:val="0"/>
              <w:autoSpaceDE/>
              <w:autoSpaceDN/>
              <w:bidi w:val="0"/>
              <w:adjustRightInd w:val="0"/>
              <w:snapToGrid w:val="0"/>
              <w:spacing w:before="0" w:after="0" w:line="360" w:lineRule="auto"/>
              <w:ind w:left="0" w:right="0" w:firstLine="480" w:firstLineChars="200"/>
              <w:textAlignment w:val="auto"/>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⑶道路运输扬尘</w:t>
            </w:r>
          </w:p>
          <w:p w14:paraId="42D6567A">
            <w:pPr>
              <w:pStyle w:val="5"/>
              <w:keepLines w:val="0"/>
              <w:pageBreakBefore w:val="0"/>
              <w:widowControl w:val="0"/>
              <w:suppressLineNumbers w:val="0"/>
              <w:tabs>
                <w:tab w:val="left" w:pos="1080"/>
              </w:tabs>
              <w:kinsoku/>
              <w:wordWrap w:val="0"/>
              <w:overflowPunct/>
              <w:topLinePunct w:val="0"/>
              <w:autoSpaceDE/>
              <w:autoSpaceDN/>
              <w:bidi w:val="0"/>
              <w:adjustRightInd w:val="0"/>
              <w:snapToGrid w:val="0"/>
              <w:spacing w:before="0" w:beforeLines="0" w:after="0" w:afterLines="0" w:line="360" w:lineRule="auto"/>
              <w:ind w:left="0" w:right="0" w:firstLine="480" w:firstLineChars="200"/>
              <w:textAlignment w:val="auto"/>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施工期车辆运输施工物料及建筑垃圾，在施工区内以及施工区外道路上行驶必然会产生动力扬尘，若不采取一定防护措施，施工区内施工活动以及车辆运输共同产生的扬尘会对区域大气环境及施工人员产生不利影响，而施工车辆运输至施工区外道路时产生的扬尘也会对道路沿线企业厂区人员造成一定影响。</w:t>
            </w:r>
          </w:p>
          <w:p w14:paraId="757D645B">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综上所述，在不采取大气防治措施的情况下，施工期大气污染对区域大气环境、施工人员以及周边企业人员均会产生一定影响。为此，建设单位应当采取一定的扬尘防治措施，尽量将扬尘污染降低到最低水平，减轻对人员和大气环境的不利影响。</w:t>
            </w:r>
          </w:p>
          <w:p w14:paraId="7765E887">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snapToGrid w:val="0"/>
                <w:color w:val="000000"/>
                <w:kern w:val="0"/>
                <w:sz w:val="24"/>
              </w:rPr>
            </w:pPr>
            <w:r>
              <w:rPr>
                <w:rFonts w:hint="eastAsia" w:ascii="宋体" w:hAnsi="宋体" w:eastAsia="宋体" w:cs="宋体"/>
                <w:snapToGrid w:val="0"/>
                <w:color w:val="000000"/>
                <w:kern w:val="0"/>
                <w:sz w:val="24"/>
              </w:rPr>
              <w:t>⑷对敏感点影响分析</w:t>
            </w:r>
          </w:p>
          <w:p w14:paraId="411DFFBD">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
                <w:snapToGrid w:val="0"/>
                <w:color w:val="000000"/>
                <w:kern w:val="0"/>
                <w:sz w:val="24"/>
              </w:rPr>
            </w:pPr>
            <w:r>
              <w:rPr>
                <w:rFonts w:hint="eastAsia" w:ascii="宋体" w:hAnsi="宋体" w:eastAsia="宋体" w:cs="宋体"/>
                <w:snapToGrid w:val="0"/>
                <w:color w:val="000000"/>
                <w:kern w:val="0"/>
                <w:sz w:val="24"/>
              </w:rPr>
              <w:t>本项目对周边环境敏感点的影响主要突出在施工阶段，根据周边现场勘查，地块周边存在</w:t>
            </w:r>
            <w:r>
              <w:rPr>
                <w:rFonts w:hint="eastAsia" w:ascii="宋体" w:hAnsi="宋体" w:eastAsia="宋体" w:cs="宋体"/>
                <w:snapToGrid w:val="0"/>
                <w:color w:val="000000"/>
                <w:kern w:val="0"/>
                <w:sz w:val="24"/>
                <w:lang w:val="en-US" w:eastAsia="zh-CN"/>
              </w:rPr>
              <w:t>村庄</w:t>
            </w:r>
            <w:r>
              <w:rPr>
                <w:rFonts w:hint="eastAsia" w:ascii="宋体" w:hAnsi="宋体" w:eastAsia="宋体" w:cs="宋体"/>
                <w:snapToGrid w:val="0"/>
                <w:color w:val="000000"/>
                <w:kern w:val="0"/>
                <w:sz w:val="24"/>
              </w:rPr>
              <w:t>，施工过程中将对周边敏感区造成一定的环境影响，主要表现在扬尘污染。为尽可能减少本项目施工建设对敏感目标的影响，施工单位和建设单位应做到：</w:t>
            </w:r>
          </w:p>
          <w:p w14:paraId="64B7CAD1">
            <w:pPr>
              <w:pStyle w:val="10"/>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Cs/>
                <w:snapToGrid w:val="0"/>
                <w:color w:val="000000"/>
                <w:sz w:val="24"/>
              </w:rPr>
            </w:pPr>
            <w:r>
              <w:rPr>
                <w:rFonts w:hint="eastAsia" w:ascii="宋体" w:hAnsi="宋体" w:eastAsia="宋体" w:cs="宋体"/>
                <w:snapToGrid w:val="0"/>
                <w:color w:val="000000"/>
                <w:sz w:val="24"/>
              </w:rPr>
              <w:t>①</w:t>
            </w:r>
            <w:r>
              <w:rPr>
                <w:rFonts w:hint="eastAsia" w:ascii="宋体" w:hAnsi="宋体" w:eastAsia="宋体" w:cs="宋体"/>
                <w:bCs/>
                <w:snapToGrid w:val="0"/>
                <w:color w:val="000000"/>
                <w:sz w:val="24"/>
              </w:rPr>
              <w:t>合理规划工程渣土、建筑垃圾及建筑材料的运输路线，尽可能远离境敏感区域</w:t>
            </w:r>
            <w:r>
              <w:rPr>
                <w:rFonts w:hint="eastAsia" w:ascii="宋体" w:hAnsi="宋体" w:eastAsia="宋体" w:cs="宋体"/>
                <w:bCs/>
                <w:snapToGrid w:val="0"/>
                <w:color w:val="000000"/>
                <w:sz w:val="24"/>
                <w:szCs w:val="24"/>
              </w:rPr>
              <w:t>。</w:t>
            </w:r>
          </w:p>
          <w:p w14:paraId="58FFFBE0">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Cs/>
                <w:snapToGrid w:val="0"/>
                <w:color w:val="000000"/>
                <w:kern w:val="0"/>
                <w:sz w:val="24"/>
              </w:rPr>
            </w:pPr>
            <w:r>
              <w:rPr>
                <w:rFonts w:hint="eastAsia" w:ascii="宋体" w:hAnsi="宋体" w:eastAsia="宋体" w:cs="宋体"/>
                <w:snapToGrid w:val="0"/>
                <w:color w:val="000000"/>
                <w:kern w:val="0"/>
                <w:sz w:val="24"/>
              </w:rPr>
              <w:t>②施工过程中使用水泥、石灰、砂石、涂料、铺装材料等易产生扬尘的建筑材料，避免集中分布在靠近敏感点的地方，应覆盖或设置专用房间密闭存储，不得裸露散放。</w:t>
            </w:r>
          </w:p>
          <w:p w14:paraId="0D9F48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bCs/>
                <w:snapToGrid w:val="0"/>
                <w:color w:val="000000"/>
                <w:kern w:val="0"/>
                <w:sz w:val="24"/>
              </w:rPr>
            </w:pPr>
            <w:r>
              <w:rPr>
                <w:rFonts w:hint="eastAsia" w:ascii="宋体" w:hAnsi="宋体" w:eastAsia="宋体" w:cs="宋体"/>
                <w:bCs/>
                <w:snapToGrid w:val="0"/>
                <w:color w:val="000000"/>
                <w:kern w:val="0"/>
                <w:sz w:val="24"/>
              </w:rPr>
              <w:t>③</w:t>
            </w:r>
            <w:r>
              <w:rPr>
                <w:rFonts w:hint="eastAsia" w:ascii="宋体" w:hAnsi="宋体" w:eastAsia="宋体" w:cs="宋体"/>
                <w:snapToGrid w:val="0"/>
                <w:color w:val="000000"/>
                <w:sz w:val="24"/>
                <w:szCs w:val="24"/>
              </w:rPr>
              <w:t>工地内道路应当采用洒水吸尘或水冲洗的方法清洁道路积尘，不得进行直接清扫，尤其对于靠近敏感点的道路</w:t>
            </w:r>
            <w:r>
              <w:rPr>
                <w:rFonts w:hint="eastAsia" w:ascii="宋体" w:hAnsi="宋体" w:eastAsia="宋体" w:cs="宋体"/>
                <w:snapToGrid w:val="0"/>
                <w:color w:val="000000"/>
                <w:kern w:val="0"/>
                <w:sz w:val="24"/>
              </w:rPr>
              <w:t>。</w:t>
            </w:r>
          </w:p>
          <w:p w14:paraId="65BBD90B">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snapToGrid w:val="0"/>
                <w:color w:val="000000"/>
                <w:sz w:val="24"/>
                <w:lang w:val="zh-CN"/>
              </w:rPr>
            </w:pPr>
            <w:r>
              <w:rPr>
                <w:rFonts w:hint="eastAsia" w:ascii="宋体" w:hAnsi="宋体" w:eastAsia="宋体" w:cs="宋体"/>
                <w:snapToGrid w:val="0"/>
                <w:color w:val="000000"/>
                <w:sz w:val="24"/>
                <w:lang w:val="zh-CN"/>
              </w:rPr>
              <w:t>④</w:t>
            </w:r>
            <w:r>
              <w:rPr>
                <w:rFonts w:hint="eastAsia" w:ascii="宋体" w:hAnsi="宋体" w:eastAsia="宋体" w:cs="宋体"/>
                <w:snapToGrid w:val="0"/>
                <w:color w:val="000000"/>
                <w:sz w:val="24"/>
                <w:szCs w:val="24"/>
              </w:rPr>
              <w:t>土方工程作业时要在作业区设置固定式喷雾设备，作业期间全时段喷雾抑尘，喷洒区域应涵盖所有作业区，作业临时停工时应立即覆盖防尘网，减少对敏感点的影响。</w:t>
            </w:r>
          </w:p>
          <w:p w14:paraId="5349F82B">
            <w:pPr>
              <w:pStyle w:val="10"/>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snapToGrid w:val="0"/>
                <w:color w:val="000000"/>
                <w:sz w:val="24"/>
                <w:szCs w:val="24"/>
              </w:rPr>
            </w:pPr>
            <w:r>
              <w:rPr>
                <w:rFonts w:hint="eastAsia" w:ascii="宋体" w:hAnsi="宋体" w:eastAsia="宋体" w:cs="宋体"/>
                <w:snapToGrid w:val="0"/>
                <w:color w:val="000000"/>
                <w:sz w:val="24"/>
              </w:rPr>
              <w:t>⑤</w:t>
            </w:r>
            <w:r>
              <w:rPr>
                <w:rFonts w:hint="eastAsia" w:ascii="宋体" w:hAnsi="宋体" w:eastAsia="宋体" w:cs="宋体"/>
                <w:snapToGrid w:val="0"/>
                <w:color w:val="000000"/>
                <w:kern w:val="0"/>
                <w:sz w:val="24"/>
              </w:rPr>
              <w:t>施工期间，裸露地面，应采取覆盖防尘布（网）植被绿化、不间断洒水抑尘等措施</w:t>
            </w:r>
            <w:r>
              <w:rPr>
                <w:rFonts w:hint="eastAsia" w:ascii="宋体" w:hAnsi="宋体" w:eastAsia="宋体" w:cs="宋体"/>
                <w:snapToGrid w:val="0"/>
                <w:color w:val="000000"/>
                <w:sz w:val="24"/>
                <w:szCs w:val="24"/>
              </w:rPr>
              <w:t>。</w:t>
            </w:r>
          </w:p>
          <w:p w14:paraId="64F3B2EE">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
                <w:bCs/>
                <w:color w:val="000000"/>
                <w:sz w:val="24"/>
              </w:rPr>
            </w:pPr>
            <w:r>
              <w:rPr>
                <w:rFonts w:hint="eastAsia" w:ascii="宋体" w:hAnsi="宋体" w:eastAsia="宋体" w:cs="宋体"/>
                <w:snapToGrid w:val="0"/>
                <w:color w:val="000000"/>
                <w:kern w:val="0"/>
                <w:sz w:val="24"/>
              </w:rPr>
              <w:t>在严格落实以上措施后，施工期产生的大气污染将得到有效控制，对施工人员以及周边居民的影响基本在人们可接受范围之内，对区域大气环境影响不大。此外，施工期大气环境影响是暂时的、局部的，随着工程的建成完工而消失。</w:t>
            </w:r>
          </w:p>
          <w:p w14:paraId="3E3B4D05">
            <w:pPr>
              <w:keepNext w:val="0"/>
              <w:keepLines w:val="0"/>
              <w:suppressLineNumbers w:val="0"/>
              <w:spacing w:before="0" w:beforeAutospacing="0" w:after="0" w:afterAutospacing="0" w:line="360" w:lineRule="auto"/>
              <w:ind w:left="0" w:right="0"/>
              <w:rPr>
                <w:rFonts w:hint="eastAsia" w:ascii="宋体" w:hAnsi="宋体" w:eastAsia="宋体" w:cs="宋体"/>
                <w:b/>
                <w:bCs/>
                <w:color w:val="000000"/>
                <w:sz w:val="24"/>
              </w:rPr>
            </w:pPr>
            <w:r>
              <w:rPr>
                <w:rFonts w:hint="eastAsia" w:ascii="宋体" w:hAnsi="宋体" w:eastAsia="宋体" w:cs="宋体"/>
                <w:color w:val="000000"/>
                <w:sz w:val="24"/>
              </w:rPr>
              <w:t>2、地表水环境影响分析和保护措施</w:t>
            </w:r>
          </w:p>
          <w:p w14:paraId="575D4DEC">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000000"/>
                <w:sz w:val="24"/>
              </w:rPr>
            </w:pPr>
            <w:r>
              <w:rPr>
                <w:rFonts w:hint="eastAsia" w:ascii="宋体" w:hAnsi="宋体" w:eastAsia="宋体" w:cs="宋体"/>
                <w:color w:val="000000"/>
                <w:sz w:val="24"/>
              </w:rPr>
              <w:t>本项目建设期的废水主要产生于建筑工人的生活污水、地基挖掘时的地下水和浇注砼后的冲洗水等。</w:t>
            </w:r>
          </w:p>
          <w:p w14:paraId="1EF89F82">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000000"/>
                <w:sz w:val="24"/>
              </w:rPr>
            </w:pPr>
            <w:r>
              <w:rPr>
                <w:rFonts w:hint="eastAsia" w:ascii="宋体" w:hAnsi="宋体" w:eastAsia="宋体" w:cs="宋体"/>
                <w:color w:val="000000"/>
                <w:sz w:val="24"/>
              </w:rPr>
              <w:t>现场施工人员产生的生活污水是建设期的主要污染水源。建设期不同阶段施工人数不尽相同，生活污水产生量也不同。生活污水中主要污染物为COD、SS、氨氮</w:t>
            </w:r>
            <w:r>
              <w:rPr>
                <w:rFonts w:hint="eastAsia" w:ascii="宋体" w:hAnsi="宋体" w:eastAsia="宋体" w:cs="宋体"/>
                <w:color w:val="000000"/>
                <w:sz w:val="24"/>
                <w:lang w:eastAsia="zh-CN"/>
              </w:rPr>
              <w:t>、</w:t>
            </w:r>
            <w:r>
              <w:rPr>
                <w:rFonts w:hint="eastAsia" w:ascii="宋体" w:hAnsi="宋体" w:eastAsia="宋体" w:cs="宋体"/>
                <w:color w:val="000000"/>
                <w:sz w:val="24"/>
                <w:lang w:val="en-US" w:eastAsia="zh-CN"/>
              </w:rPr>
              <w:t>总磷、总氮</w:t>
            </w:r>
            <w:r>
              <w:rPr>
                <w:rFonts w:hint="eastAsia" w:ascii="宋体" w:hAnsi="宋体" w:eastAsia="宋体" w:cs="宋体"/>
                <w:color w:val="000000"/>
                <w:sz w:val="24"/>
              </w:rPr>
              <w:t>。</w:t>
            </w:r>
          </w:p>
          <w:p w14:paraId="0D6B3E6A">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000000"/>
                <w:sz w:val="24"/>
              </w:rPr>
            </w:pPr>
            <w:r>
              <w:rPr>
                <w:rFonts w:hint="eastAsia" w:ascii="宋体" w:hAnsi="宋体" w:eastAsia="宋体" w:cs="宋体"/>
                <w:color w:val="000000"/>
                <w:sz w:val="24"/>
              </w:rPr>
              <w:t>施工人员产生的生活污水和建筑施工废水不得以渗坑、渗井或漫流方式排放，应有组织地收集、处理后再排放。要求在施工现场设置临时厕所和临时废水沉淀池等，施工废水经沉淀池沉淀后可重复使用；生活污水经临时化粪池处理后通过污水管网排入</w:t>
            </w:r>
            <w:r>
              <w:rPr>
                <w:rFonts w:hint="eastAsia" w:ascii="宋体" w:hAnsi="宋体" w:eastAsia="宋体" w:cs="宋体"/>
                <w:color w:val="000000"/>
                <w:sz w:val="24"/>
                <w:lang w:val="en-US" w:eastAsia="zh-CN"/>
              </w:rPr>
              <w:t>句容市边城镇污水处理厂处理</w:t>
            </w:r>
            <w:r>
              <w:rPr>
                <w:rFonts w:hint="eastAsia" w:ascii="宋体" w:hAnsi="宋体" w:eastAsia="宋体" w:cs="宋体"/>
                <w:color w:val="000000"/>
                <w:sz w:val="24"/>
              </w:rPr>
              <w:t>。</w:t>
            </w:r>
          </w:p>
          <w:p w14:paraId="4EB2F5FD">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color w:val="000000"/>
                <w:sz w:val="24"/>
              </w:rPr>
            </w:pPr>
            <w:r>
              <w:rPr>
                <w:rFonts w:hint="eastAsia" w:ascii="宋体" w:hAnsi="宋体" w:eastAsia="宋体" w:cs="宋体"/>
                <w:color w:val="000000"/>
                <w:sz w:val="24"/>
              </w:rPr>
              <w:t>综上所述，项目建设期废水经处置后对周围环境影响不大。</w:t>
            </w:r>
          </w:p>
          <w:p w14:paraId="640F996F">
            <w:pPr>
              <w:keepNext w:val="0"/>
              <w:keepLines w:val="0"/>
              <w:suppressLineNumbers w:val="0"/>
              <w:adjustRightInd w:val="0"/>
              <w:snapToGrid w:val="0"/>
              <w:spacing w:before="0" w:beforeAutospacing="0" w:after="0" w:afterAutospacing="0" w:line="360" w:lineRule="auto"/>
              <w:ind w:left="0" w:right="0"/>
              <w:rPr>
                <w:rFonts w:hint="eastAsia" w:ascii="宋体" w:hAnsi="宋体" w:eastAsia="宋体" w:cs="宋体"/>
                <w:snapToGrid w:val="0"/>
                <w:color w:val="000000"/>
                <w:spacing w:val="0"/>
                <w:kern w:val="0"/>
                <w:sz w:val="24"/>
              </w:rPr>
            </w:pPr>
            <w:r>
              <w:rPr>
                <w:rFonts w:hint="eastAsia" w:ascii="宋体" w:hAnsi="宋体" w:eastAsia="宋体" w:cs="宋体"/>
                <w:color w:val="000000"/>
                <w:sz w:val="24"/>
              </w:rPr>
              <w:t>3、</w:t>
            </w:r>
            <w:r>
              <w:rPr>
                <w:rFonts w:hint="eastAsia" w:ascii="宋体" w:hAnsi="宋体" w:eastAsia="宋体" w:cs="宋体"/>
                <w:snapToGrid w:val="0"/>
                <w:color w:val="000000"/>
                <w:spacing w:val="0"/>
                <w:kern w:val="0"/>
                <w:sz w:val="24"/>
              </w:rPr>
              <w:t>声环境影响分析和保护措施</w:t>
            </w:r>
          </w:p>
          <w:p w14:paraId="242BB843">
            <w:pPr>
              <w:pStyle w:val="29"/>
              <w:keepNext w:val="0"/>
              <w:keepLines w:val="0"/>
              <w:suppressLineNumbers w:val="0"/>
              <w:adjustRightInd w:val="0"/>
              <w:snapToGrid w:val="0"/>
              <w:spacing w:before="0" w:beforeAutospacing="0" w:after="0" w:afterAutospacing="0" w:line="360" w:lineRule="auto"/>
              <w:ind w:left="0" w:leftChars="0" w:right="0" w:firstLine="480"/>
              <w:rPr>
                <w:rFonts w:hint="eastAsia" w:ascii="宋体" w:hAnsi="宋体" w:eastAsia="宋体" w:cs="宋体"/>
                <w:snapToGrid w:val="0"/>
                <w:color w:val="000000"/>
                <w:spacing w:val="0"/>
                <w:kern w:val="0"/>
                <w:sz w:val="24"/>
              </w:rPr>
            </w:pPr>
            <w:r>
              <w:rPr>
                <w:rFonts w:hint="eastAsia" w:ascii="宋体" w:hAnsi="宋体" w:eastAsia="宋体" w:cs="宋体"/>
                <w:snapToGrid w:val="0"/>
                <w:color w:val="000000"/>
                <w:spacing w:val="0"/>
                <w:kern w:val="0"/>
                <w:sz w:val="24"/>
              </w:rPr>
              <w:t>⑴施工噪声源强</w:t>
            </w:r>
          </w:p>
          <w:p w14:paraId="53B565C2">
            <w:pPr>
              <w:pStyle w:val="83"/>
              <w:keepNext w:val="0"/>
              <w:keepLines w:val="0"/>
              <w:widowControl/>
              <w:suppressLineNumbers w:val="0"/>
              <w:adjustRightInd w:val="0"/>
              <w:snapToGrid w:val="0"/>
              <w:spacing w:before="0" w:beforeAutospacing="0" w:after="0" w:afterAutospacing="0" w:line="360" w:lineRule="auto"/>
              <w:ind w:left="0" w:right="0" w:firstLine="480"/>
              <w:rPr>
                <w:rFonts w:hint="eastAsia" w:ascii="宋体" w:hAnsi="宋体" w:eastAsia="宋体" w:cs="宋体"/>
                <w:color w:val="000000"/>
              </w:rPr>
            </w:pPr>
            <w:r>
              <w:rPr>
                <w:rFonts w:hint="eastAsia" w:ascii="宋体" w:hAnsi="宋体" w:eastAsia="宋体" w:cs="宋体"/>
                <w:snapToGrid w:val="0"/>
                <w:color w:val="000000"/>
                <w:spacing w:val="0"/>
                <w:kern w:val="0"/>
                <w:sz w:val="24"/>
              </w:rPr>
              <w:t>施工噪声主要可分为机械噪声、施工作业噪声和施工车辆噪声。机械噪声主要由施工机械所造成</w:t>
            </w:r>
            <w:r>
              <w:rPr>
                <w:rFonts w:hint="eastAsia" w:ascii="宋体" w:hAnsi="宋体" w:eastAsia="宋体" w:cs="宋体"/>
                <w:color w:val="000000"/>
              </w:rPr>
              <w:t>，如挖土机械、打桩机械、升降机等，多为点声源；施工作业噪声主要指一些零星的敲打声、装卸车辆的撞击声、拆卸模板的撞击声等，多为瞬时噪声；施工车辆的噪声属于交通噪声。在这些施工噪声中，对声环境影响最大的是机械噪声。</w:t>
            </w:r>
          </w:p>
          <w:p w14:paraId="20F05CBE">
            <w:pPr>
              <w:pStyle w:val="83"/>
              <w:keepNext w:val="0"/>
              <w:keepLines w:val="0"/>
              <w:widowControl/>
              <w:suppressLineNumbers w:val="0"/>
              <w:adjustRightInd w:val="0"/>
              <w:snapToGrid w:val="0"/>
              <w:spacing w:before="0" w:beforeAutospacing="0" w:after="0" w:afterAutospacing="0" w:line="360" w:lineRule="auto"/>
              <w:ind w:left="0" w:right="0" w:firstLine="480"/>
              <w:rPr>
                <w:rFonts w:hint="eastAsia" w:ascii="宋体" w:hAnsi="宋体" w:eastAsia="宋体" w:cs="宋体"/>
                <w:color w:val="000000"/>
              </w:rPr>
            </w:pPr>
            <w:r>
              <w:rPr>
                <w:rFonts w:hint="eastAsia" w:ascii="宋体" w:hAnsi="宋体" w:eastAsia="宋体" w:cs="宋体"/>
                <w:color w:val="000000"/>
              </w:rPr>
              <w:t>根据《环境噪声与振动控制工程技术导则》（HJ2034-2013），本工程施工期的产噪设备噪声级见表4-</w:t>
            </w:r>
            <w:r>
              <w:rPr>
                <w:rFonts w:hint="eastAsia" w:ascii="宋体" w:hAnsi="宋体" w:eastAsia="宋体" w:cs="宋体"/>
                <w:color w:val="000000"/>
                <w:lang w:val="en-US" w:eastAsia="zh-CN"/>
              </w:rPr>
              <w:t>1</w:t>
            </w:r>
            <w:r>
              <w:rPr>
                <w:rFonts w:hint="eastAsia" w:ascii="宋体" w:hAnsi="宋体" w:eastAsia="宋体" w:cs="宋体"/>
                <w:color w:val="000000"/>
              </w:rPr>
              <w:t>。</w:t>
            </w:r>
          </w:p>
          <w:p w14:paraId="2D71B341">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eastAsia" w:ascii="宋体" w:hAnsi="宋体" w:eastAsia="宋体" w:cs="宋体"/>
                <w:color w:val="000000"/>
                <w:sz w:val="24"/>
                <w:szCs w:val="22"/>
              </w:rPr>
            </w:pPr>
            <w:r>
              <w:rPr>
                <w:rFonts w:hint="eastAsia" w:ascii="宋体" w:hAnsi="宋体" w:eastAsia="宋体" w:cs="宋体"/>
                <w:b/>
                <w:bCs/>
                <w:color w:val="000000"/>
                <w:sz w:val="24"/>
                <w:szCs w:val="22"/>
              </w:rPr>
              <w:t>表4-</w:t>
            </w:r>
            <w:r>
              <w:rPr>
                <w:rFonts w:hint="eastAsia" w:ascii="宋体" w:hAnsi="宋体" w:eastAsia="宋体" w:cs="宋体"/>
                <w:b/>
                <w:bCs/>
                <w:color w:val="000000"/>
                <w:sz w:val="24"/>
                <w:szCs w:val="22"/>
                <w:lang w:val="en-US" w:eastAsia="zh-CN"/>
              </w:rPr>
              <w:t>1</w:t>
            </w:r>
            <w:r>
              <w:rPr>
                <w:rFonts w:hint="eastAsia" w:ascii="宋体" w:hAnsi="宋体" w:eastAsia="宋体" w:cs="宋体"/>
                <w:b/>
                <w:bCs/>
                <w:color w:val="000000"/>
                <w:sz w:val="24"/>
                <w:szCs w:val="22"/>
              </w:rPr>
              <w:t xml:space="preserve"> 各施工段的噪声源强及其特点单位:dB(A)</w:t>
            </w:r>
          </w:p>
          <w:tbl>
            <w:tblPr>
              <w:tblStyle w:val="30"/>
              <w:tblW w:w="812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31"/>
              <w:gridCol w:w="2947"/>
              <w:gridCol w:w="2946"/>
            </w:tblGrid>
            <w:tr w14:paraId="4F4B19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2231" w:type="dxa"/>
                  <w:noWrap w:val="0"/>
                  <w:vAlign w:val="center"/>
                </w:tcPr>
                <w:p w14:paraId="7AE84D05">
                  <w:pPr>
                    <w:pStyle w:val="62"/>
                    <w:keepNext w:val="0"/>
                    <w:keepLines w:val="0"/>
                    <w:suppressLineNumbers w:val="0"/>
                    <w:spacing w:before="0" w:beforeLines="0" w:beforeAutospacing="0" w:after="0" w:afterLines="0" w:afterAutospacing="0" w:line="240" w:lineRule="auto"/>
                    <w:ind w:left="0" w:right="0" w:firstLine="0"/>
                    <w:rPr>
                      <w:rFonts w:hint="eastAsia" w:ascii="宋体" w:hAnsi="宋体" w:eastAsia="宋体" w:cs="宋体"/>
                      <w:b/>
                      <w:bCs/>
                      <w:color w:val="000000"/>
                      <w:sz w:val="21"/>
                      <w:szCs w:val="21"/>
                    </w:rPr>
                  </w:pPr>
                  <w:bookmarkStart w:id="81" w:name="_Toc17839"/>
                  <w:r>
                    <w:rPr>
                      <w:rFonts w:hint="eastAsia" w:ascii="宋体" w:hAnsi="宋体" w:eastAsia="宋体" w:cs="宋体"/>
                      <w:b/>
                      <w:bCs/>
                      <w:color w:val="000000"/>
                      <w:sz w:val="21"/>
                      <w:szCs w:val="21"/>
                    </w:rPr>
                    <w:t>设备名称</w:t>
                  </w:r>
                  <w:bookmarkEnd w:id="81"/>
                </w:p>
              </w:tc>
              <w:tc>
                <w:tcPr>
                  <w:tcW w:w="2947" w:type="dxa"/>
                  <w:noWrap w:val="0"/>
                  <w:vAlign w:val="center"/>
                </w:tcPr>
                <w:p w14:paraId="0F62E0DE">
                  <w:pPr>
                    <w:pStyle w:val="62"/>
                    <w:keepNext w:val="0"/>
                    <w:keepLines w:val="0"/>
                    <w:suppressLineNumbers w:val="0"/>
                    <w:spacing w:before="0" w:beforeLines="0" w:beforeAutospacing="0" w:after="0" w:afterLines="0" w:afterAutospacing="0" w:line="240" w:lineRule="auto"/>
                    <w:ind w:left="0" w:right="0" w:firstLine="0"/>
                    <w:rPr>
                      <w:rFonts w:hint="eastAsia" w:ascii="宋体" w:hAnsi="宋体" w:eastAsia="宋体" w:cs="宋体"/>
                      <w:b/>
                      <w:bCs/>
                      <w:color w:val="000000"/>
                      <w:sz w:val="21"/>
                      <w:szCs w:val="21"/>
                    </w:rPr>
                  </w:pPr>
                  <w:bookmarkStart w:id="82" w:name="_Toc22892"/>
                  <w:r>
                    <w:rPr>
                      <w:rFonts w:hint="eastAsia" w:ascii="宋体" w:hAnsi="宋体" w:eastAsia="宋体" w:cs="宋体"/>
                      <w:b/>
                      <w:bCs/>
                      <w:color w:val="000000"/>
                      <w:sz w:val="21"/>
                      <w:szCs w:val="21"/>
                    </w:rPr>
                    <w:t>距声源5m</w:t>
                  </w:r>
                  <w:bookmarkEnd w:id="82"/>
                </w:p>
              </w:tc>
              <w:tc>
                <w:tcPr>
                  <w:tcW w:w="2946" w:type="dxa"/>
                  <w:noWrap w:val="0"/>
                  <w:vAlign w:val="center"/>
                </w:tcPr>
                <w:p w14:paraId="7E418571">
                  <w:pPr>
                    <w:pStyle w:val="62"/>
                    <w:keepNext w:val="0"/>
                    <w:keepLines w:val="0"/>
                    <w:suppressLineNumbers w:val="0"/>
                    <w:spacing w:before="0" w:beforeLines="0" w:beforeAutospacing="0" w:after="0" w:afterLines="0" w:afterAutospacing="0" w:line="240" w:lineRule="auto"/>
                    <w:ind w:left="0" w:right="0" w:firstLine="0"/>
                    <w:rPr>
                      <w:rFonts w:hint="eastAsia" w:ascii="宋体" w:hAnsi="宋体" w:eastAsia="宋体" w:cs="宋体"/>
                      <w:b/>
                      <w:bCs/>
                      <w:color w:val="000000"/>
                      <w:sz w:val="21"/>
                      <w:szCs w:val="21"/>
                    </w:rPr>
                  </w:pPr>
                  <w:bookmarkStart w:id="83" w:name="_Toc7397"/>
                  <w:r>
                    <w:rPr>
                      <w:rFonts w:hint="eastAsia" w:ascii="宋体" w:hAnsi="宋体" w:eastAsia="宋体" w:cs="宋体"/>
                      <w:b/>
                      <w:bCs/>
                      <w:color w:val="000000"/>
                      <w:sz w:val="21"/>
                      <w:szCs w:val="21"/>
                    </w:rPr>
                    <w:t>距声源10m</w:t>
                  </w:r>
                  <w:bookmarkEnd w:id="83"/>
                </w:p>
              </w:tc>
            </w:tr>
            <w:tr w14:paraId="3C3FA0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2231" w:type="dxa"/>
                  <w:noWrap w:val="0"/>
                  <w:vAlign w:val="center"/>
                </w:tcPr>
                <w:p w14:paraId="33853E4F">
                  <w:pPr>
                    <w:pStyle w:val="62"/>
                    <w:keepNext w:val="0"/>
                    <w:keepLines w:val="0"/>
                    <w:suppressLineNumbers w:val="0"/>
                    <w:spacing w:before="0" w:beforeLines="0" w:beforeAutospacing="0" w:after="0" w:afterLines="0" w:afterAutospacing="0" w:line="240" w:lineRule="auto"/>
                    <w:ind w:left="0" w:right="0" w:firstLine="0"/>
                    <w:rPr>
                      <w:rFonts w:hint="eastAsia" w:ascii="宋体" w:hAnsi="宋体" w:eastAsia="宋体" w:cs="宋体"/>
                      <w:color w:val="000000"/>
                      <w:sz w:val="21"/>
                      <w:szCs w:val="21"/>
                    </w:rPr>
                  </w:pPr>
                  <w:bookmarkStart w:id="84" w:name="_Toc23130"/>
                  <w:r>
                    <w:rPr>
                      <w:rFonts w:hint="eastAsia" w:ascii="宋体" w:hAnsi="宋体" w:eastAsia="宋体" w:cs="宋体"/>
                      <w:color w:val="000000"/>
                      <w:sz w:val="21"/>
                      <w:szCs w:val="21"/>
                    </w:rPr>
                    <w:t>推土机</w:t>
                  </w:r>
                  <w:bookmarkEnd w:id="84"/>
                </w:p>
              </w:tc>
              <w:tc>
                <w:tcPr>
                  <w:tcW w:w="2947" w:type="dxa"/>
                  <w:noWrap w:val="0"/>
                  <w:vAlign w:val="center"/>
                </w:tcPr>
                <w:p w14:paraId="22BB96BB">
                  <w:pPr>
                    <w:pStyle w:val="62"/>
                    <w:keepNext w:val="0"/>
                    <w:keepLines w:val="0"/>
                    <w:suppressLineNumbers w:val="0"/>
                    <w:spacing w:before="0" w:beforeLines="0" w:beforeAutospacing="0" w:after="0" w:afterLines="0" w:afterAutospacing="0" w:line="240" w:lineRule="auto"/>
                    <w:ind w:left="0" w:right="0" w:firstLine="0"/>
                    <w:rPr>
                      <w:rFonts w:hint="eastAsia" w:ascii="宋体" w:hAnsi="宋体" w:eastAsia="宋体" w:cs="宋体"/>
                      <w:color w:val="000000"/>
                      <w:sz w:val="21"/>
                      <w:szCs w:val="21"/>
                    </w:rPr>
                  </w:pPr>
                  <w:bookmarkStart w:id="85" w:name="_Toc16015"/>
                  <w:r>
                    <w:rPr>
                      <w:rFonts w:hint="eastAsia" w:ascii="宋体" w:hAnsi="宋体" w:eastAsia="宋体" w:cs="宋体"/>
                      <w:color w:val="000000"/>
                      <w:sz w:val="21"/>
                      <w:szCs w:val="21"/>
                    </w:rPr>
                    <w:t>83～88</w:t>
                  </w:r>
                  <w:bookmarkEnd w:id="85"/>
                </w:p>
              </w:tc>
              <w:tc>
                <w:tcPr>
                  <w:tcW w:w="2946" w:type="dxa"/>
                  <w:noWrap w:val="0"/>
                  <w:vAlign w:val="center"/>
                </w:tcPr>
                <w:p w14:paraId="7772B3F4">
                  <w:pPr>
                    <w:pStyle w:val="62"/>
                    <w:keepNext w:val="0"/>
                    <w:keepLines w:val="0"/>
                    <w:suppressLineNumbers w:val="0"/>
                    <w:spacing w:before="0" w:beforeLines="0" w:beforeAutospacing="0" w:after="0" w:afterLines="0" w:afterAutospacing="0" w:line="240" w:lineRule="auto"/>
                    <w:ind w:left="0" w:right="0" w:firstLine="0"/>
                    <w:rPr>
                      <w:rFonts w:hint="eastAsia" w:ascii="宋体" w:hAnsi="宋体" w:eastAsia="宋体" w:cs="宋体"/>
                      <w:color w:val="000000"/>
                      <w:sz w:val="21"/>
                      <w:szCs w:val="21"/>
                    </w:rPr>
                  </w:pPr>
                  <w:bookmarkStart w:id="86" w:name="_Toc24489"/>
                  <w:r>
                    <w:rPr>
                      <w:rFonts w:hint="eastAsia" w:ascii="宋体" w:hAnsi="宋体" w:eastAsia="宋体" w:cs="宋体"/>
                      <w:color w:val="000000"/>
                      <w:sz w:val="21"/>
                      <w:szCs w:val="21"/>
                    </w:rPr>
                    <w:t>80～85</w:t>
                  </w:r>
                  <w:bookmarkEnd w:id="86"/>
                </w:p>
              </w:tc>
            </w:tr>
            <w:tr w14:paraId="323637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2231" w:type="dxa"/>
                  <w:noWrap w:val="0"/>
                  <w:vAlign w:val="center"/>
                </w:tcPr>
                <w:p w14:paraId="5B192347">
                  <w:pPr>
                    <w:pStyle w:val="62"/>
                    <w:keepNext w:val="0"/>
                    <w:keepLines w:val="0"/>
                    <w:suppressLineNumbers w:val="0"/>
                    <w:spacing w:before="0" w:beforeLines="0" w:beforeAutospacing="0" w:after="0" w:afterLines="0" w:afterAutospacing="0" w:line="240" w:lineRule="auto"/>
                    <w:ind w:left="0" w:right="0" w:firstLine="0"/>
                    <w:rPr>
                      <w:rFonts w:hint="eastAsia" w:ascii="宋体" w:hAnsi="宋体" w:eastAsia="宋体" w:cs="宋体"/>
                      <w:color w:val="000000"/>
                      <w:sz w:val="21"/>
                      <w:szCs w:val="21"/>
                    </w:rPr>
                  </w:pPr>
                  <w:bookmarkStart w:id="87" w:name="_Toc26844"/>
                  <w:r>
                    <w:rPr>
                      <w:rFonts w:hint="eastAsia" w:ascii="宋体" w:hAnsi="宋体" w:eastAsia="宋体" w:cs="宋体"/>
                      <w:color w:val="000000"/>
                      <w:sz w:val="21"/>
                      <w:szCs w:val="21"/>
                    </w:rPr>
                    <w:t>挖掘机</w:t>
                  </w:r>
                  <w:bookmarkEnd w:id="87"/>
                </w:p>
              </w:tc>
              <w:tc>
                <w:tcPr>
                  <w:tcW w:w="2947" w:type="dxa"/>
                  <w:noWrap w:val="0"/>
                  <w:vAlign w:val="center"/>
                </w:tcPr>
                <w:p w14:paraId="2A7034C8">
                  <w:pPr>
                    <w:pStyle w:val="62"/>
                    <w:keepNext w:val="0"/>
                    <w:keepLines w:val="0"/>
                    <w:suppressLineNumbers w:val="0"/>
                    <w:spacing w:before="0" w:beforeLines="0" w:beforeAutospacing="0" w:after="0" w:afterLines="0" w:afterAutospacing="0" w:line="240" w:lineRule="auto"/>
                    <w:ind w:left="0" w:right="0" w:firstLine="0"/>
                    <w:rPr>
                      <w:rFonts w:hint="eastAsia" w:ascii="宋体" w:hAnsi="宋体" w:eastAsia="宋体" w:cs="宋体"/>
                      <w:color w:val="000000"/>
                      <w:sz w:val="21"/>
                      <w:szCs w:val="21"/>
                    </w:rPr>
                  </w:pPr>
                  <w:bookmarkStart w:id="88" w:name="_Toc18092"/>
                  <w:r>
                    <w:rPr>
                      <w:rFonts w:hint="eastAsia" w:ascii="宋体" w:hAnsi="宋体" w:eastAsia="宋体" w:cs="宋体"/>
                      <w:color w:val="000000"/>
                      <w:sz w:val="21"/>
                      <w:szCs w:val="21"/>
                    </w:rPr>
                    <w:t>80～86</w:t>
                  </w:r>
                  <w:bookmarkEnd w:id="88"/>
                </w:p>
              </w:tc>
              <w:tc>
                <w:tcPr>
                  <w:tcW w:w="2946" w:type="dxa"/>
                  <w:noWrap w:val="0"/>
                  <w:vAlign w:val="center"/>
                </w:tcPr>
                <w:p w14:paraId="62D98956">
                  <w:pPr>
                    <w:pStyle w:val="62"/>
                    <w:keepNext w:val="0"/>
                    <w:keepLines w:val="0"/>
                    <w:suppressLineNumbers w:val="0"/>
                    <w:spacing w:before="0" w:beforeLines="0" w:beforeAutospacing="0" w:after="0" w:afterLines="0" w:afterAutospacing="0" w:line="240" w:lineRule="auto"/>
                    <w:ind w:left="0" w:right="0" w:firstLine="0"/>
                    <w:rPr>
                      <w:rFonts w:hint="eastAsia" w:ascii="宋体" w:hAnsi="宋体" w:eastAsia="宋体" w:cs="宋体"/>
                      <w:color w:val="000000"/>
                      <w:sz w:val="21"/>
                      <w:szCs w:val="21"/>
                    </w:rPr>
                  </w:pPr>
                  <w:bookmarkStart w:id="89" w:name="_Toc17462"/>
                  <w:r>
                    <w:rPr>
                      <w:rFonts w:hint="eastAsia" w:ascii="宋体" w:hAnsi="宋体" w:eastAsia="宋体" w:cs="宋体"/>
                      <w:color w:val="000000"/>
                      <w:sz w:val="21"/>
                      <w:szCs w:val="21"/>
                    </w:rPr>
                    <w:t>75～83</w:t>
                  </w:r>
                  <w:bookmarkEnd w:id="89"/>
                </w:p>
              </w:tc>
            </w:tr>
            <w:tr w14:paraId="20B7BC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2231" w:type="dxa"/>
                  <w:noWrap w:val="0"/>
                  <w:vAlign w:val="center"/>
                </w:tcPr>
                <w:p w14:paraId="063A46A3">
                  <w:pPr>
                    <w:pStyle w:val="62"/>
                    <w:keepNext w:val="0"/>
                    <w:keepLines w:val="0"/>
                    <w:suppressLineNumbers w:val="0"/>
                    <w:spacing w:before="0" w:beforeLines="0" w:beforeAutospacing="0" w:after="0" w:afterLines="0" w:afterAutospacing="0" w:line="240" w:lineRule="auto"/>
                    <w:ind w:left="0" w:right="0" w:firstLine="0"/>
                    <w:rPr>
                      <w:rFonts w:hint="eastAsia" w:ascii="宋体" w:hAnsi="宋体" w:eastAsia="宋体" w:cs="宋体"/>
                      <w:color w:val="000000"/>
                      <w:sz w:val="21"/>
                      <w:szCs w:val="21"/>
                    </w:rPr>
                  </w:pPr>
                  <w:bookmarkStart w:id="90" w:name="_Toc15640"/>
                  <w:r>
                    <w:rPr>
                      <w:rFonts w:hint="eastAsia" w:ascii="宋体" w:hAnsi="宋体" w:eastAsia="宋体" w:cs="宋体"/>
                      <w:color w:val="000000"/>
                      <w:sz w:val="21"/>
                      <w:szCs w:val="21"/>
                    </w:rPr>
                    <w:t>装载机</w:t>
                  </w:r>
                  <w:bookmarkEnd w:id="90"/>
                </w:p>
              </w:tc>
              <w:tc>
                <w:tcPr>
                  <w:tcW w:w="2947" w:type="dxa"/>
                  <w:noWrap w:val="0"/>
                  <w:vAlign w:val="center"/>
                </w:tcPr>
                <w:p w14:paraId="7F15C282">
                  <w:pPr>
                    <w:pStyle w:val="62"/>
                    <w:keepNext w:val="0"/>
                    <w:keepLines w:val="0"/>
                    <w:suppressLineNumbers w:val="0"/>
                    <w:spacing w:before="0" w:beforeLines="0" w:beforeAutospacing="0" w:after="0" w:afterLines="0" w:afterAutospacing="0" w:line="240" w:lineRule="auto"/>
                    <w:ind w:left="0" w:right="0" w:firstLine="0"/>
                    <w:rPr>
                      <w:rFonts w:hint="eastAsia" w:ascii="宋体" w:hAnsi="宋体" w:eastAsia="宋体" w:cs="宋体"/>
                      <w:color w:val="000000"/>
                      <w:sz w:val="21"/>
                      <w:szCs w:val="21"/>
                    </w:rPr>
                  </w:pPr>
                  <w:bookmarkStart w:id="91" w:name="_Toc6818"/>
                  <w:r>
                    <w:rPr>
                      <w:rFonts w:hint="eastAsia" w:ascii="宋体" w:hAnsi="宋体" w:eastAsia="宋体" w:cs="宋体"/>
                      <w:color w:val="000000"/>
                      <w:sz w:val="21"/>
                      <w:szCs w:val="21"/>
                    </w:rPr>
                    <w:t>90～95</w:t>
                  </w:r>
                  <w:bookmarkEnd w:id="91"/>
                </w:p>
              </w:tc>
              <w:tc>
                <w:tcPr>
                  <w:tcW w:w="2946" w:type="dxa"/>
                  <w:noWrap w:val="0"/>
                  <w:vAlign w:val="center"/>
                </w:tcPr>
                <w:p w14:paraId="75A30B80">
                  <w:pPr>
                    <w:pStyle w:val="62"/>
                    <w:keepNext w:val="0"/>
                    <w:keepLines w:val="0"/>
                    <w:suppressLineNumbers w:val="0"/>
                    <w:spacing w:before="0" w:beforeLines="0" w:beforeAutospacing="0" w:after="0" w:afterLines="0" w:afterAutospacing="0" w:line="240" w:lineRule="auto"/>
                    <w:ind w:left="0" w:right="0" w:firstLine="0"/>
                    <w:rPr>
                      <w:rFonts w:hint="eastAsia" w:ascii="宋体" w:hAnsi="宋体" w:eastAsia="宋体" w:cs="宋体"/>
                      <w:color w:val="000000"/>
                      <w:sz w:val="21"/>
                      <w:szCs w:val="21"/>
                    </w:rPr>
                  </w:pPr>
                  <w:bookmarkStart w:id="92" w:name="_Toc4959"/>
                  <w:r>
                    <w:rPr>
                      <w:rFonts w:hint="eastAsia" w:ascii="宋体" w:hAnsi="宋体" w:eastAsia="宋体" w:cs="宋体"/>
                      <w:color w:val="000000"/>
                      <w:sz w:val="21"/>
                      <w:szCs w:val="21"/>
                    </w:rPr>
                    <w:t>85～91</w:t>
                  </w:r>
                  <w:bookmarkEnd w:id="92"/>
                </w:p>
              </w:tc>
            </w:tr>
            <w:tr w14:paraId="786C7F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2231" w:type="dxa"/>
                  <w:noWrap w:val="0"/>
                  <w:vAlign w:val="center"/>
                </w:tcPr>
                <w:p w14:paraId="3F1227B2">
                  <w:pPr>
                    <w:pStyle w:val="62"/>
                    <w:keepNext w:val="0"/>
                    <w:keepLines w:val="0"/>
                    <w:suppressLineNumbers w:val="0"/>
                    <w:spacing w:before="0" w:beforeLines="0" w:beforeAutospacing="0" w:after="0" w:afterLines="0" w:afterAutospacing="0" w:line="240" w:lineRule="auto"/>
                    <w:ind w:left="0" w:right="0" w:firstLine="0"/>
                    <w:rPr>
                      <w:rFonts w:hint="eastAsia" w:ascii="宋体" w:hAnsi="宋体" w:eastAsia="宋体" w:cs="宋体"/>
                      <w:color w:val="000000"/>
                      <w:sz w:val="21"/>
                      <w:szCs w:val="21"/>
                    </w:rPr>
                  </w:pPr>
                  <w:bookmarkStart w:id="93" w:name="_Toc30537"/>
                  <w:r>
                    <w:rPr>
                      <w:rFonts w:hint="eastAsia" w:ascii="宋体" w:hAnsi="宋体" w:eastAsia="宋体" w:cs="宋体"/>
                      <w:color w:val="000000"/>
                      <w:sz w:val="21"/>
                      <w:szCs w:val="21"/>
                    </w:rPr>
                    <w:t>重型运输车</w:t>
                  </w:r>
                  <w:bookmarkEnd w:id="93"/>
                </w:p>
              </w:tc>
              <w:tc>
                <w:tcPr>
                  <w:tcW w:w="2947" w:type="dxa"/>
                  <w:noWrap w:val="0"/>
                  <w:vAlign w:val="center"/>
                </w:tcPr>
                <w:p w14:paraId="4DBD6205">
                  <w:pPr>
                    <w:pStyle w:val="62"/>
                    <w:keepNext w:val="0"/>
                    <w:keepLines w:val="0"/>
                    <w:suppressLineNumbers w:val="0"/>
                    <w:spacing w:before="0" w:beforeLines="0" w:beforeAutospacing="0" w:after="0" w:afterLines="0" w:afterAutospacing="0" w:line="240" w:lineRule="auto"/>
                    <w:ind w:left="0" w:right="0" w:firstLine="0"/>
                    <w:rPr>
                      <w:rFonts w:hint="eastAsia" w:ascii="宋体" w:hAnsi="宋体" w:eastAsia="宋体" w:cs="宋体"/>
                      <w:color w:val="000000"/>
                      <w:sz w:val="21"/>
                      <w:szCs w:val="21"/>
                    </w:rPr>
                  </w:pPr>
                  <w:bookmarkStart w:id="94" w:name="_Toc6811"/>
                  <w:r>
                    <w:rPr>
                      <w:rFonts w:hint="eastAsia" w:ascii="宋体" w:hAnsi="宋体" w:eastAsia="宋体" w:cs="宋体"/>
                      <w:color w:val="000000"/>
                      <w:sz w:val="21"/>
                      <w:szCs w:val="21"/>
                    </w:rPr>
                    <w:t>82～90</w:t>
                  </w:r>
                  <w:bookmarkEnd w:id="94"/>
                </w:p>
              </w:tc>
              <w:tc>
                <w:tcPr>
                  <w:tcW w:w="2946" w:type="dxa"/>
                  <w:noWrap w:val="0"/>
                  <w:vAlign w:val="center"/>
                </w:tcPr>
                <w:p w14:paraId="0D1DD17F">
                  <w:pPr>
                    <w:pStyle w:val="62"/>
                    <w:keepNext w:val="0"/>
                    <w:keepLines w:val="0"/>
                    <w:suppressLineNumbers w:val="0"/>
                    <w:spacing w:before="0" w:beforeLines="0" w:beforeAutospacing="0" w:after="0" w:afterLines="0" w:afterAutospacing="0" w:line="240" w:lineRule="auto"/>
                    <w:ind w:left="0" w:right="0" w:firstLine="0"/>
                    <w:rPr>
                      <w:rFonts w:hint="eastAsia" w:ascii="宋体" w:hAnsi="宋体" w:eastAsia="宋体" w:cs="宋体"/>
                      <w:color w:val="000000"/>
                      <w:sz w:val="21"/>
                      <w:szCs w:val="21"/>
                    </w:rPr>
                  </w:pPr>
                  <w:bookmarkStart w:id="95" w:name="_Toc22305"/>
                  <w:r>
                    <w:rPr>
                      <w:rFonts w:hint="eastAsia" w:ascii="宋体" w:hAnsi="宋体" w:eastAsia="宋体" w:cs="宋体"/>
                      <w:color w:val="000000"/>
                      <w:sz w:val="21"/>
                      <w:szCs w:val="21"/>
                    </w:rPr>
                    <w:t>78～86</w:t>
                  </w:r>
                  <w:bookmarkEnd w:id="95"/>
                </w:p>
              </w:tc>
            </w:tr>
            <w:tr w14:paraId="71146E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2231" w:type="dxa"/>
                  <w:noWrap w:val="0"/>
                  <w:vAlign w:val="center"/>
                </w:tcPr>
                <w:p w14:paraId="00F8219B">
                  <w:pPr>
                    <w:pStyle w:val="62"/>
                    <w:keepNext w:val="0"/>
                    <w:keepLines w:val="0"/>
                    <w:suppressLineNumbers w:val="0"/>
                    <w:spacing w:before="0" w:beforeLines="0" w:beforeAutospacing="0" w:after="0" w:afterLines="0" w:afterAutospacing="0" w:line="240" w:lineRule="auto"/>
                    <w:ind w:left="0" w:right="0" w:firstLine="0"/>
                    <w:rPr>
                      <w:rFonts w:hint="eastAsia" w:ascii="宋体" w:hAnsi="宋体" w:eastAsia="宋体" w:cs="宋体"/>
                      <w:color w:val="000000"/>
                      <w:sz w:val="21"/>
                      <w:szCs w:val="21"/>
                    </w:rPr>
                  </w:pPr>
                  <w:bookmarkStart w:id="96" w:name="_Toc13066"/>
                  <w:r>
                    <w:rPr>
                      <w:rFonts w:hint="eastAsia" w:ascii="宋体" w:hAnsi="宋体" w:eastAsia="宋体" w:cs="宋体"/>
                      <w:color w:val="000000"/>
                      <w:sz w:val="21"/>
                      <w:szCs w:val="21"/>
                    </w:rPr>
                    <w:t>木工电锯</w:t>
                  </w:r>
                  <w:bookmarkEnd w:id="96"/>
                </w:p>
              </w:tc>
              <w:tc>
                <w:tcPr>
                  <w:tcW w:w="2947" w:type="dxa"/>
                  <w:noWrap w:val="0"/>
                  <w:vAlign w:val="center"/>
                </w:tcPr>
                <w:p w14:paraId="4498EC80">
                  <w:pPr>
                    <w:pStyle w:val="62"/>
                    <w:keepNext w:val="0"/>
                    <w:keepLines w:val="0"/>
                    <w:suppressLineNumbers w:val="0"/>
                    <w:spacing w:before="0" w:beforeLines="0" w:beforeAutospacing="0" w:after="0" w:afterLines="0" w:afterAutospacing="0" w:line="240" w:lineRule="auto"/>
                    <w:ind w:left="0" w:right="0" w:firstLine="0"/>
                    <w:rPr>
                      <w:rFonts w:hint="eastAsia" w:ascii="宋体" w:hAnsi="宋体" w:eastAsia="宋体" w:cs="宋体"/>
                      <w:color w:val="000000"/>
                      <w:sz w:val="21"/>
                      <w:szCs w:val="21"/>
                    </w:rPr>
                  </w:pPr>
                  <w:bookmarkStart w:id="97" w:name="_Toc7186"/>
                  <w:r>
                    <w:rPr>
                      <w:rFonts w:hint="eastAsia" w:ascii="宋体" w:hAnsi="宋体" w:eastAsia="宋体" w:cs="宋体"/>
                      <w:color w:val="000000"/>
                      <w:sz w:val="21"/>
                      <w:szCs w:val="21"/>
                    </w:rPr>
                    <w:t>93～99</w:t>
                  </w:r>
                  <w:bookmarkEnd w:id="97"/>
                </w:p>
              </w:tc>
              <w:tc>
                <w:tcPr>
                  <w:tcW w:w="2946" w:type="dxa"/>
                  <w:noWrap w:val="0"/>
                  <w:vAlign w:val="center"/>
                </w:tcPr>
                <w:p w14:paraId="3F95EADB">
                  <w:pPr>
                    <w:pStyle w:val="62"/>
                    <w:keepNext w:val="0"/>
                    <w:keepLines w:val="0"/>
                    <w:suppressLineNumbers w:val="0"/>
                    <w:spacing w:before="0" w:beforeLines="0" w:beforeAutospacing="0" w:after="0" w:afterLines="0" w:afterAutospacing="0" w:line="240" w:lineRule="auto"/>
                    <w:ind w:left="0" w:right="0" w:firstLine="0"/>
                    <w:rPr>
                      <w:rFonts w:hint="eastAsia" w:ascii="宋体" w:hAnsi="宋体" w:eastAsia="宋体" w:cs="宋体"/>
                      <w:color w:val="000000"/>
                      <w:sz w:val="21"/>
                      <w:szCs w:val="21"/>
                    </w:rPr>
                  </w:pPr>
                  <w:bookmarkStart w:id="98" w:name="_Toc5928"/>
                  <w:r>
                    <w:rPr>
                      <w:rFonts w:hint="eastAsia" w:ascii="宋体" w:hAnsi="宋体" w:eastAsia="宋体" w:cs="宋体"/>
                      <w:color w:val="000000"/>
                      <w:sz w:val="21"/>
                      <w:szCs w:val="21"/>
                    </w:rPr>
                    <w:t>90～95</w:t>
                  </w:r>
                  <w:bookmarkEnd w:id="98"/>
                </w:p>
              </w:tc>
            </w:tr>
            <w:tr w14:paraId="5323A3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2231" w:type="dxa"/>
                  <w:noWrap w:val="0"/>
                  <w:vAlign w:val="center"/>
                </w:tcPr>
                <w:p w14:paraId="2A614CB3">
                  <w:pPr>
                    <w:pStyle w:val="62"/>
                    <w:keepNext w:val="0"/>
                    <w:keepLines w:val="0"/>
                    <w:suppressLineNumbers w:val="0"/>
                    <w:spacing w:before="0" w:beforeLines="0" w:beforeAutospacing="0" w:after="0" w:afterLines="0" w:afterAutospacing="0" w:line="240" w:lineRule="auto"/>
                    <w:ind w:left="0" w:right="0" w:firstLine="0"/>
                    <w:rPr>
                      <w:rFonts w:hint="eastAsia" w:ascii="宋体" w:hAnsi="宋体" w:eastAsia="宋体" w:cs="宋体"/>
                      <w:color w:val="000000"/>
                      <w:sz w:val="21"/>
                      <w:szCs w:val="21"/>
                    </w:rPr>
                  </w:pPr>
                  <w:bookmarkStart w:id="99" w:name="_Toc15879"/>
                  <w:r>
                    <w:rPr>
                      <w:rFonts w:hint="eastAsia" w:ascii="宋体" w:hAnsi="宋体" w:eastAsia="宋体" w:cs="宋体"/>
                      <w:color w:val="000000"/>
                      <w:sz w:val="21"/>
                      <w:szCs w:val="21"/>
                    </w:rPr>
                    <w:t>静压桩</w:t>
                  </w:r>
                  <w:bookmarkEnd w:id="99"/>
                </w:p>
              </w:tc>
              <w:tc>
                <w:tcPr>
                  <w:tcW w:w="2947" w:type="dxa"/>
                  <w:noWrap w:val="0"/>
                  <w:vAlign w:val="center"/>
                </w:tcPr>
                <w:p w14:paraId="7BCF6FC5">
                  <w:pPr>
                    <w:pStyle w:val="62"/>
                    <w:keepNext w:val="0"/>
                    <w:keepLines w:val="0"/>
                    <w:suppressLineNumbers w:val="0"/>
                    <w:spacing w:before="0" w:beforeLines="0" w:beforeAutospacing="0" w:after="0" w:afterLines="0" w:afterAutospacing="0" w:line="240" w:lineRule="auto"/>
                    <w:ind w:left="0" w:right="0" w:firstLine="0"/>
                    <w:rPr>
                      <w:rFonts w:hint="eastAsia" w:ascii="宋体" w:hAnsi="宋体" w:eastAsia="宋体" w:cs="宋体"/>
                      <w:color w:val="000000"/>
                      <w:sz w:val="21"/>
                      <w:szCs w:val="21"/>
                    </w:rPr>
                  </w:pPr>
                  <w:bookmarkStart w:id="100" w:name="_Toc4337"/>
                  <w:r>
                    <w:rPr>
                      <w:rFonts w:hint="eastAsia" w:ascii="宋体" w:hAnsi="宋体" w:eastAsia="宋体" w:cs="宋体"/>
                      <w:color w:val="000000"/>
                      <w:sz w:val="21"/>
                      <w:szCs w:val="21"/>
                    </w:rPr>
                    <w:t>70～75</w:t>
                  </w:r>
                  <w:bookmarkEnd w:id="100"/>
                </w:p>
              </w:tc>
              <w:tc>
                <w:tcPr>
                  <w:tcW w:w="2946" w:type="dxa"/>
                  <w:noWrap w:val="0"/>
                  <w:vAlign w:val="center"/>
                </w:tcPr>
                <w:p w14:paraId="5EACDB4E">
                  <w:pPr>
                    <w:pStyle w:val="62"/>
                    <w:keepNext w:val="0"/>
                    <w:keepLines w:val="0"/>
                    <w:suppressLineNumbers w:val="0"/>
                    <w:spacing w:before="0" w:beforeLines="0" w:beforeAutospacing="0" w:after="0" w:afterLines="0" w:afterAutospacing="0" w:line="240" w:lineRule="auto"/>
                    <w:ind w:left="0" w:right="0" w:firstLine="0"/>
                    <w:rPr>
                      <w:rFonts w:hint="eastAsia" w:ascii="宋体" w:hAnsi="宋体" w:eastAsia="宋体" w:cs="宋体"/>
                      <w:color w:val="000000"/>
                      <w:sz w:val="21"/>
                      <w:szCs w:val="21"/>
                    </w:rPr>
                  </w:pPr>
                  <w:bookmarkStart w:id="101" w:name="_Toc20944"/>
                  <w:r>
                    <w:rPr>
                      <w:rFonts w:hint="eastAsia" w:ascii="宋体" w:hAnsi="宋体" w:eastAsia="宋体" w:cs="宋体"/>
                      <w:color w:val="000000"/>
                      <w:sz w:val="21"/>
                      <w:szCs w:val="21"/>
                    </w:rPr>
                    <w:t>68～73</w:t>
                  </w:r>
                  <w:bookmarkEnd w:id="101"/>
                </w:p>
              </w:tc>
            </w:tr>
            <w:tr w14:paraId="7F6D6A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2231" w:type="dxa"/>
                  <w:noWrap w:val="0"/>
                  <w:vAlign w:val="center"/>
                </w:tcPr>
                <w:p w14:paraId="02AD55AB">
                  <w:pPr>
                    <w:pStyle w:val="62"/>
                    <w:keepNext w:val="0"/>
                    <w:keepLines w:val="0"/>
                    <w:suppressLineNumbers w:val="0"/>
                    <w:spacing w:before="0" w:beforeLines="0" w:beforeAutospacing="0" w:after="0" w:afterLines="0" w:afterAutospacing="0" w:line="240" w:lineRule="auto"/>
                    <w:ind w:left="0" w:right="0" w:firstLine="0"/>
                    <w:rPr>
                      <w:rFonts w:hint="eastAsia" w:ascii="宋体" w:hAnsi="宋体" w:eastAsia="宋体" w:cs="宋体"/>
                      <w:color w:val="000000"/>
                      <w:sz w:val="21"/>
                      <w:szCs w:val="21"/>
                    </w:rPr>
                  </w:pPr>
                  <w:bookmarkStart w:id="102" w:name="_Toc29133"/>
                  <w:r>
                    <w:rPr>
                      <w:rFonts w:hint="eastAsia" w:ascii="宋体" w:hAnsi="宋体" w:eastAsia="宋体" w:cs="宋体"/>
                      <w:color w:val="000000"/>
                      <w:sz w:val="21"/>
                      <w:szCs w:val="21"/>
                    </w:rPr>
                    <w:t>风镐</w:t>
                  </w:r>
                  <w:bookmarkEnd w:id="102"/>
                </w:p>
              </w:tc>
              <w:tc>
                <w:tcPr>
                  <w:tcW w:w="2947" w:type="dxa"/>
                  <w:noWrap w:val="0"/>
                  <w:vAlign w:val="center"/>
                </w:tcPr>
                <w:p w14:paraId="3DEFE07E">
                  <w:pPr>
                    <w:pStyle w:val="62"/>
                    <w:keepNext w:val="0"/>
                    <w:keepLines w:val="0"/>
                    <w:suppressLineNumbers w:val="0"/>
                    <w:spacing w:before="0" w:beforeLines="0" w:beforeAutospacing="0" w:after="0" w:afterLines="0" w:afterAutospacing="0" w:line="240" w:lineRule="auto"/>
                    <w:ind w:left="0" w:right="0" w:firstLine="0"/>
                    <w:rPr>
                      <w:rFonts w:hint="eastAsia" w:ascii="宋体" w:hAnsi="宋体" w:eastAsia="宋体" w:cs="宋体"/>
                      <w:color w:val="000000"/>
                      <w:sz w:val="21"/>
                      <w:szCs w:val="21"/>
                    </w:rPr>
                  </w:pPr>
                  <w:bookmarkStart w:id="103" w:name="_Toc31676"/>
                  <w:r>
                    <w:rPr>
                      <w:rFonts w:hint="eastAsia" w:ascii="宋体" w:hAnsi="宋体" w:eastAsia="宋体" w:cs="宋体"/>
                      <w:color w:val="000000"/>
                      <w:sz w:val="21"/>
                      <w:szCs w:val="21"/>
                    </w:rPr>
                    <w:t>88～92</w:t>
                  </w:r>
                  <w:bookmarkEnd w:id="103"/>
                </w:p>
              </w:tc>
              <w:tc>
                <w:tcPr>
                  <w:tcW w:w="2946" w:type="dxa"/>
                  <w:noWrap w:val="0"/>
                  <w:vAlign w:val="center"/>
                </w:tcPr>
                <w:p w14:paraId="26F79CB8">
                  <w:pPr>
                    <w:pStyle w:val="62"/>
                    <w:keepNext w:val="0"/>
                    <w:keepLines w:val="0"/>
                    <w:suppressLineNumbers w:val="0"/>
                    <w:spacing w:before="0" w:beforeLines="0" w:beforeAutospacing="0" w:after="0" w:afterLines="0" w:afterAutospacing="0" w:line="240" w:lineRule="auto"/>
                    <w:ind w:left="0" w:right="0" w:firstLine="0"/>
                    <w:rPr>
                      <w:rFonts w:hint="eastAsia" w:ascii="宋体" w:hAnsi="宋体" w:eastAsia="宋体" w:cs="宋体"/>
                      <w:color w:val="000000"/>
                      <w:sz w:val="21"/>
                      <w:szCs w:val="21"/>
                    </w:rPr>
                  </w:pPr>
                  <w:bookmarkStart w:id="104" w:name="_Toc11052"/>
                  <w:r>
                    <w:rPr>
                      <w:rFonts w:hint="eastAsia" w:ascii="宋体" w:hAnsi="宋体" w:eastAsia="宋体" w:cs="宋体"/>
                      <w:color w:val="000000"/>
                      <w:sz w:val="21"/>
                      <w:szCs w:val="21"/>
                    </w:rPr>
                    <w:t>83～87</w:t>
                  </w:r>
                  <w:bookmarkEnd w:id="104"/>
                </w:p>
              </w:tc>
            </w:tr>
            <w:tr w14:paraId="13D76D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231" w:type="dxa"/>
                  <w:noWrap w:val="0"/>
                  <w:vAlign w:val="center"/>
                </w:tcPr>
                <w:p w14:paraId="24C1C7E7">
                  <w:pPr>
                    <w:pStyle w:val="62"/>
                    <w:keepNext w:val="0"/>
                    <w:keepLines w:val="0"/>
                    <w:suppressLineNumbers w:val="0"/>
                    <w:spacing w:before="0" w:beforeLines="0" w:beforeAutospacing="0" w:after="0" w:afterLines="0" w:afterAutospacing="0" w:line="240" w:lineRule="auto"/>
                    <w:ind w:left="0" w:right="0" w:firstLine="0"/>
                    <w:rPr>
                      <w:rFonts w:hint="eastAsia" w:ascii="宋体" w:hAnsi="宋体" w:eastAsia="宋体" w:cs="宋体"/>
                      <w:color w:val="000000"/>
                      <w:sz w:val="21"/>
                      <w:szCs w:val="21"/>
                    </w:rPr>
                  </w:pPr>
                  <w:bookmarkStart w:id="105" w:name="_Toc21585"/>
                  <w:r>
                    <w:rPr>
                      <w:rFonts w:hint="eastAsia" w:ascii="宋体" w:hAnsi="宋体" w:eastAsia="宋体" w:cs="宋体"/>
                      <w:color w:val="000000"/>
                      <w:sz w:val="21"/>
                      <w:szCs w:val="21"/>
                    </w:rPr>
                    <w:t>振捣器</w:t>
                  </w:r>
                  <w:bookmarkEnd w:id="105"/>
                </w:p>
              </w:tc>
              <w:tc>
                <w:tcPr>
                  <w:tcW w:w="2947" w:type="dxa"/>
                  <w:noWrap w:val="0"/>
                  <w:vAlign w:val="center"/>
                </w:tcPr>
                <w:p w14:paraId="01DDB126">
                  <w:pPr>
                    <w:pStyle w:val="62"/>
                    <w:keepNext w:val="0"/>
                    <w:keepLines w:val="0"/>
                    <w:suppressLineNumbers w:val="0"/>
                    <w:spacing w:before="0" w:beforeLines="0" w:beforeAutospacing="0" w:after="0" w:afterLines="0" w:afterAutospacing="0" w:line="240" w:lineRule="auto"/>
                    <w:ind w:left="0" w:right="0" w:firstLine="0"/>
                    <w:rPr>
                      <w:rFonts w:hint="eastAsia" w:ascii="宋体" w:hAnsi="宋体" w:eastAsia="宋体" w:cs="宋体"/>
                      <w:color w:val="000000"/>
                      <w:sz w:val="21"/>
                      <w:szCs w:val="21"/>
                    </w:rPr>
                  </w:pPr>
                  <w:bookmarkStart w:id="106" w:name="_Toc5361"/>
                  <w:r>
                    <w:rPr>
                      <w:rFonts w:hint="eastAsia" w:ascii="宋体" w:hAnsi="宋体" w:eastAsia="宋体" w:cs="宋体"/>
                      <w:color w:val="000000"/>
                      <w:sz w:val="21"/>
                      <w:szCs w:val="21"/>
                    </w:rPr>
                    <w:t>80～88</w:t>
                  </w:r>
                  <w:bookmarkEnd w:id="106"/>
                </w:p>
              </w:tc>
              <w:tc>
                <w:tcPr>
                  <w:tcW w:w="2946" w:type="dxa"/>
                  <w:noWrap w:val="0"/>
                  <w:vAlign w:val="center"/>
                </w:tcPr>
                <w:p w14:paraId="2DD01FC8">
                  <w:pPr>
                    <w:pStyle w:val="62"/>
                    <w:keepNext w:val="0"/>
                    <w:keepLines w:val="0"/>
                    <w:suppressLineNumbers w:val="0"/>
                    <w:spacing w:before="0" w:beforeLines="0" w:beforeAutospacing="0" w:after="0" w:afterLines="0" w:afterAutospacing="0" w:line="240" w:lineRule="auto"/>
                    <w:ind w:left="0" w:right="0" w:firstLine="0"/>
                    <w:rPr>
                      <w:rFonts w:hint="eastAsia" w:ascii="宋体" w:hAnsi="宋体" w:eastAsia="宋体" w:cs="宋体"/>
                      <w:color w:val="000000"/>
                      <w:sz w:val="21"/>
                      <w:szCs w:val="21"/>
                    </w:rPr>
                  </w:pPr>
                  <w:bookmarkStart w:id="107" w:name="_Toc14231"/>
                  <w:r>
                    <w:rPr>
                      <w:rFonts w:hint="eastAsia" w:ascii="宋体" w:hAnsi="宋体" w:eastAsia="宋体" w:cs="宋体"/>
                      <w:color w:val="000000"/>
                      <w:sz w:val="21"/>
                      <w:szCs w:val="21"/>
                    </w:rPr>
                    <w:t>75～84</w:t>
                  </w:r>
                  <w:bookmarkEnd w:id="107"/>
                </w:p>
              </w:tc>
            </w:tr>
          </w:tbl>
          <w:p w14:paraId="621DF9DC">
            <w:pPr>
              <w:pStyle w:val="83"/>
              <w:keepNext w:val="0"/>
              <w:keepLines w:val="0"/>
              <w:widowControl/>
              <w:suppressLineNumbers w:val="0"/>
              <w:spacing w:before="0" w:beforeAutospacing="0" w:after="0" w:afterAutospacing="0" w:line="360" w:lineRule="auto"/>
              <w:ind w:left="0" w:right="0" w:firstLine="480"/>
              <w:rPr>
                <w:rFonts w:hint="eastAsia" w:ascii="宋体" w:hAnsi="宋体" w:eastAsia="宋体" w:cs="宋体"/>
                <w:color w:val="000000"/>
              </w:rPr>
            </w:pPr>
            <w:r>
              <w:rPr>
                <w:rFonts w:hint="eastAsia" w:ascii="宋体" w:hAnsi="宋体" w:eastAsia="宋体" w:cs="宋体"/>
                <w:color w:val="000000"/>
              </w:rPr>
              <w:t>⑵施工噪声环境影响分析</w:t>
            </w:r>
          </w:p>
          <w:p w14:paraId="50E4E9E9">
            <w:pPr>
              <w:pStyle w:val="83"/>
              <w:keepNext w:val="0"/>
              <w:keepLines w:val="0"/>
              <w:widowControl/>
              <w:suppressLineNumbers w:val="0"/>
              <w:spacing w:before="0" w:beforeAutospacing="0" w:after="0" w:afterAutospacing="0" w:line="360" w:lineRule="auto"/>
              <w:ind w:left="0" w:right="0" w:firstLine="480"/>
              <w:rPr>
                <w:rFonts w:hint="eastAsia" w:ascii="宋体" w:hAnsi="宋体" w:eastAsia="宋体" w:cs="宋体"/>
                <w:color w:val="000000"/>
              </w:rPr>
            </w:pPr>
            <w:r>
              <w:rPr>
                <w:rFonts w:hint="eastAsia" w:ascii="宋体" w:hAnsi="宋体" w:eastAsia="宋体" w:cs="宋体"/>
                <w:color w:val="000000"/>
              </w:rPr>
              <w:t>施工过程中发生的噪声与其它噪声不同。其一是噪声由许多不同种类的设备发出的；其二是这些设备的运作是间歇性的，因此所发出的噪声也是间歇性和短暂的，项目施工期产生的噪声在100m外才能达到《建筑施工厂界环境噪声排放标准》（GB12523-2011）（昼间：70dB(A)，夜间：55dB（A））的要求。</w:t>
            </w:r>
          </w:p>
          <w:p w14:paraId="5E78082F">
            <w:pPr>
              <w:pStyle w:val="83"/>
              <w:keepNext w:val="0"/>
              <w:keepLines w:val="0"/>
              <w:widowControl/>
              <w:suppressLineNumbers w:val="0"/>
              <w:spacing w:before="0" w:beforeAutospacing="0" w:after="0" w:afterAutospacing="0" w:line="360" w:lineRule="auto"/>
              <w:ind w:left="0" w:right="0" w:firstLine="480"/>
              <w:rPr>
                <w:rFonts w:hint="eastAsia" w:ascii="宋体" w:hAnsi="宋体" w:eastAsia="宋体" w:cs="宋体"/>
                <w:color w:val="000000"/>
              </w:rPr>
            </w:pPr>
            <w:r>
              <w:rPr>
                <w:rFonts w:hint="eastAsia" w:ascii="宋体" w:hAnsi="宋体" w:eastAsia="宋体" w:cs="宋体"/>
                <w:color w:val="000000"/>
              </w:rPr>
              <w:t>施工噪声是居民特别敏感的噪声之一，根据目前的机械制造水平，它既不可避免，又不能从根本上采取噪声控制措施予以消除，只能通过加强对施工产噪设备的管理，以减轻施工噪声对施工场地周围环境的噪声影响。</w:t>
            </w:r>
          </w:p>
          <w:p w14:paraId="11A8D67E">
            <w:pPr>
              <w:pStyle w:val="83"/>
              <w:keepNext w:val="0"/>
              <w:keepLines w:val="0"/>
              <w:widowControl/>
              <w:suppressLineNumbers w:val="0"/>
              <w:spacing w:before="0" w:beforeAutospacing="0" w:after="0" w:afterAutospacing="0" w:line="360" w:lineRule="auto"/>
              <w:ind w:left="0" w:right="0" w:firstLine="480"/>
              <w:rPr>
                <w:rFonts w:hint="eastAsia" w:ascii="宋体" w:hAnsi="宋体" w:eastAsia="宋体" w:cs="宋体"/>
                <w:color w:val="000000"/>
              </w:rPr>
            </w:pPr>
            <w:r>
              <w:rPr>
                <w:rFonts w:hint="eastAsia" w:ascii="宋体" w:hAnsi="宋体" w:eastAsia="宋体" w:cs="宋体"/>
                <w:color w:val="000000"/>
              </w:rPr>
              <w:t>⑶施工噪声保护措施</w:t>
            </w:r>
          </w:p>
          <w:p w14:paraId="41DDE11D">
            <w:pPr>
              <w:keepNext w:val="0"/>
              <w:keepLines w:val="0"/>
              <w:suppressLineNumbers w:val="0"/>
              <w:spacing w:before="48" w:beforeAutospacing="0" w:after="0" w:afterAutospacing="0" w:line="375" w:lineRule="auto"/>
              <w:ind w:left="126" w:right="103" w:firstLine="460"/>
              <w:rPr>
                <w:rFonts w:hint="eastAsia" w:ascii="宋体" w:hAnsi="宋体" w:eastAsia="宋体" w:cs="宋体"/>
                <w:sz w:val="24"/>
              </w:rPr>
            </w:pPr>
            <w:r>
              <w:rPr>
                <w:rFonts w:hint="eastAsia" w:ascii="宋体" w:hAnsi="宋体" w:eastAsia="宋体" w:cs="宋体"/>
                <w:spacing w:val="14"/>
                <w:sz w:val="24"/>
              </w:rPr>
              <w:t>①施</w:t>
            </w:r>
            <w:r>
              <w:rPr>
                <w:rFonts w:hint="eastAsia" w:ascii="宋体" w:hAnsi="宋体" w:eastAsia="宋体" w:cs="宋体"/>
                <w:spacing w:val="13"/>
                <w:sz w:val="24"/>
              </w:rPr>
              <w:t>工</w:t>
            </w:r>
            <w:r>
              <w:rPr>
                <w:rFonts w:hint="eastAsia" w:ascii="宋体" w:hAnsi="宋体" w:eastAsia="宋体" w:cs="宋体"/>
                <w:spacing w:val="7"/>
                <w:sz w:val="24"/>
              </w:rPr>
              <w:t>现场施工单位必须执行《建筑施工场界环境噪声排放标准》（</w:t>
            </w:r>
            <w:r>
              <w:rPr>
                <w:rFonts w:hint="eastAsia" w:ascii="宋体" w:hAnsi="宋体" w:eastAsia="宋体" w:cs="宋体"/>
                <w:sz w:val="24"/>
              </w:rPr>
              <w:t>GB</w:t>
            </w:r>
            <w:r>
              <w:rPr>
                <w:rFonts w:hint="eastAsia" w:ascii="宋体" w:hAnsi="宋体" w:eastAsia="宋体" w:cs="宋体"/>
                <w:spacing w:val="7"/>
                <w:sz w:val="24"/>
              </w:rPr>
              <w:t>12523-2011）中的各项规定，及时了解施工噪声排放强度</w:t>
            </w:r>
            <w:r>
              <w:rPr>
                <w:rFonts w:hint="eastAsia" w:ascii="宋体" w:hAnsi="宋体" w:eastAsia="宋体" w:cs="宋体"/>
                <w:spacing w:val="2"/>
                <w:sz w:val="24"/>
              </w:rPr>
              <w:t>。</w:t>
            </w:r>
          </w:p>
          <w:p w14:paraId="76506446">
            <w:pPr>
              <w:keepNext w:val="0"/>
              <w:keepLines w:val="0"/>
              <w:suppressLineNumbers w:val="0"/>
              <w:spacing w:before="1" w:beforeAutospacing="0" w:after="0" w:afterAutospacing="0" w:line="374" w:lineRule="auto"/>
              <w:ind w:left="108" w:right="103" w:firstLine="477"/>
              <w:rPr>
                <w:rFonts w:hint="eastAsia" w:ascii="宋体" w:hAnsi="宋体" w:eastAsia="宋体" w:cs="宋体"/>
                <w:sz w:val="24"/>
              </w:rPr>
            </w:pPr>
            <w:r>
              <w:rPr>
                <w:rFonts w:hint="eastAsia" w:ascii="宋体" w:hAnsi="宋体" w:eastAsia="宋体" w:cs="宋体"/>
                <w:spacing w:val="20"/>
                <w:sz w:val="24"/>
              </w:rPr>
              <w:t>②</w:t>
            </w:r>
            <w:r>
              <w:rPr>
                <w:rFonts w:hint="eastAsia" w:ascii="宋体" w:hAnsi="宋体" w:eastAsia="宋体" w:cs="宋体"/>
                <w:spacing w:val="18"/>
                <w:sz w:val="24"/>
              </w:rPr>
              <w:t>采</w:t>
            </w:r>
            <w:r>
              <w:rPr>
                <w:rFonts w:hint="eastAsia" w:ascii="宋体" w:hAnsi="宋体" w:eastAsia="宋体" w:cs="宋体"/>
                <w:spacing w:val="10"/>
                <w:sz w:val="24"/>
              </w:rPr>
              <w:t>用较先进、噪声较低的施工设备，限制高噪声设备的施工时段，必</w:t>
            </w:r>
            <w:r>
              <w:rPr>
                <w:rFonts w:hint="eastAsia" w:ascii="宋体" w:hAnsi="宋体" w:eastAsia="宋体" w:cs="宋体"/>
                <w:spacing w:val="18"/>
                <w:sz w:val="24"/>
              </w:rPr>
              <w:t>要</w:t>
            </w:r>
            <w:r>
              <w:rPr>
                <w:rFonts w:hint="eastAsia" w:ascii="宋体" w:hAnsi="宋体" w:eastAsia="宋体" w:cs="宋体"/>
                <w:spacing w:val="11"/>
                <w:sz w:val="24"/>
              </w:rPr>
              <w:t>时</w:t>
            </w:r>
            <w:r>
              <w:rPr>
                <w:rFonts w:hint="eastAsia" w:ascii="宋体" w:hAnsi="宋体" w:eastAsia="宋体" w:cs="宋体"/>
                <w:spacing w:val="9"/>
                <w:sz w:val="24"/>
              </w:rPr>
              <w:t>高噪声的施工机械应采取隔声、降噪措施，减轻对周围环境的影响。</w:t>
            </w:r>
          </w:p>
          <w:p w14:paraId="34869C81">
            <w:pPr>
              <w:keepNext w:val="0"/>
              <w:keepLines w:val="0"/>
              <w:suppressLineNumbers w:val="0"/>
              <w:spacing w:before="0" w:beforeAutospacing="0" w:after="0" w:afterAutospacing="0" w:line="375" w:lineRule="auto"/>
              <w:ind w:left="0" w:right="0" w:firstLine="586"/>
              <w:rPr>
                <w:rFonts w:hint="eastAsia" w:ascii="宋体" w:hAnsi="宋体" w:eastAsia="宋体" w:cs="宋体"/>
                <w:sz w:val="24"/>
              </w:rPr>
            </w:pPr>
            <w:r>
              <w:rPr>
                <w:rFonts w:hint="eastAsia" w:ascii="宋体" w:hAnsi="宋体" w:eastAsia="宋体" w:cs="宋体"/>
                <w:spacing w:val="20"/>
                <w:sz w:val="24"/>
              </w:rPr>
              <w:t>③</w:t>
            </w:r>
            <w:r>
              <w:rPr>
                <w:rFonts w:hint="eastAsia" w:ascii="宋体" w:hAnsi="宋体" w:eastAsia="宋体" w:cs="宋体"/>
                <w:spacing w:val="18"/>
                <w:sz w:val="24"/>
              </w:rPr>
              <w:t>合</w:t>
            </w:r>
            <w:r>
              <w:rPr>
                <w:rFonts w:hint="eastAsia" w:ascii="宋体" w:hAnsi="宋体" w:eastAsia="宋体" w:cs="宋体"/>
                <w:spacing w:val="10"/>
                <w:sz w:val="24"/>
              </w:rPr>
              <w:t>理安排施工时间，将噪声级大的工作尽量安排昼间非休息时段，</w:t>
            </w:r>
            <w:r>
              <w:rPr>
                <w:rFonts w:hint="eastAsia" w:ascii="宋体" w:hAnsi="宋体" w:eastAsia="宋体" w:cs="宋体"/>
                <w:spacing w:val="4"/>
                <w:sz w:val="24"/>
              </w:rPr>
              <w:t>高噪声源设备禁</w:t>
            </w:r>
            <w:r>
              <w:rPr>
                <w:rFonts w:hint="eastAsia" w:ascii="宋体" w:hAnsi="宋体" w:eastAsia="宋体" w:cs="宋体"/>
                <w:spacing w:val="2"/>
                <w:sz w:val="24"/>
              </w:rPr>
              <w:t>止其在22:00～6:00 及 12:00～14:30施工；对因特殊需要在夜间</w:t>
            </w:r>
            <w:r>
              <w:rPr>
                <w:rFonts w:hint="eastAsia" w:ascii="宋体" w:hAnsi="宋体" w:eastAsia="宋体" w:cs="宋体"/>
                <w:spacing w:val="20"/>
                <w:sz w:val="24"/>
              </w:rPr>
              <w:t>进</w:t>
            </w:r>
            <w:r>
              <w:rPr>
                <w:rFonts w:hint="eastAsia" w:ascii="宋体" w:hAnsi="宋体" w:eastAsia="宋体" w:cs="宋体"/>
                <w:spacing w:val="18"/>
                <w:sz w:val="24"/>
              </w:rPr>
              <w:t>行</w:t>
            </w:r>
            <w:r>
              <w:rPr>
                <w:rFonts w:hint="eastAsia" w:ascii="宋体" w:hAnsi="宋体" w:eastAsia="宋体" w:cs="宋体"/>
                <w:spacing w:val="10"/>
                <w:sz w:val="24"/>
              </w:rPr>
              <w:t>超过噪声限值施工的，施工前建设单位应向有关部门提出申请，经批准</w:t>
            </w:r>
            <w:r>
              <w:rPr>
                <w:rFonts w:hint="eastAsia" w:ascii="宋体" w:hAnsi="宋体" w:eastAsia="宋体" w:cs="宋体"/>
                <w:spacing w:val="18"/>
                <w:sz w:val="24"/>
              </w:rPr>
              <w:t>后</w:t>
            </w:r>
            <w:r>
              <w:rPr>
                <w:rFonts w:hint="eastAsia" w:ascii="宋体" w:hAnsi="宋体" w:eastAsia="宋体" w:cs="宋体"/>
                <w:spacing w:val="15"/>
                <w:sz w:val="24"/>
              </w:rPr>
              <w:t>方</w:t>
            </w:r>
            <w:r>
              <w:rPr>
                <w:rFonts w:hint="eastAsia" w:ascii="宋体" w:hAnsi="宋体" w:eastAsia="宋体" w:cs="宋体"/>
                <w:spacing w:val="9"/>
                <w:sz w:val="24"/>
              </w:rPr>
              <w:t>可进行夜间施工。项目开工前，施工单位应向环保执法部门提出申请。</w:t>
            </w:r>
          </w:p>
          <w:p w14:paraId="11DE3610">
            <w:pPr>
              <w:keepNext w:val="0"/>
              <w:keepLines w:val="0"/>
              <w:suppressLineNumbers w:val="0"/>
              <w:spacing w:before="2" w:beforeAutospacing="0" w:after="0" w:afterAutospacing="0" w:line="373" w:lineRule="auto"/>
              <w:ind w:left="0" w:right="0" w:firstLine="472"/>
              <w:rPr>
                <w:rFonts w:hint="eastAsia" w:ascii="宋体" w:hAnsi="宋体" w:eastAsia="宋体" w:cs="宋体"/>
                <w:sz w:val="24"/>
              </w:rPr>
            </w:pPr>
            <w:r>
              <w:rPr>
                <w:rFonts w:hint="eastAsia" w:ascii="宋体" w:hAnsi="宋体" w:eastAsia="宋体" w:cs="宋体"/>
                <w:spacing w:val="7"/>
                <w:sz w:val="24"/>
              </w:rPr>
              <w:t>④</w:t>
            </w:r>
            <w:r>
              <w:rPr>
                <w:rFonts w:hint="eastAsia" w:ascii="宋体" w:hAnsi="宋体" w:eastAsia="宋体" w:cs="宋体"/>
                <w:spacing w:val="5"/>
                <w:sz w:val="24"/>
              </w:rPr>
              <w:t>运输材料的车辆进入施工现场，严禁鸣笛，装卸材料应做到轻拿轻放，</w:t>
            </w:r>
            <w:r>
              <w:rPr>
                <w:rFonts w:hint="eastAsia" w:ascii="宋体" w:hAnsi="宋体" w:eastAsia="宋体" w:cs="宋体"/>
                <w:sz w:val="24"/>
              </w:rPr>
              <w:t xml:space="preserve"> </w:t>
            </w:r>
            <w:r>
              <w:rPr>
                <w:rFonts w:hint="eastAsia" w:ascii="宋体" w:hAnsi="宋体" w:eastAsia="宋体" w:cs="宋体"/>
                <w:spacing w:val="14"/>
                <w:sz w:val="24"/>
              </w:rPr>
              <w:t>并</w:t>
            </w:r>
            <w:r>
              <w:rPr>
                <w:rFonts w:hint="eastAsia" w:ascii="宋体" w:hAnsi="宋体" w:eastAsia="宋体" w:cs="宋体"/>
                <w:spacing w:val="8"/>
                <w:sz w:val="24"/>
              </w:rPr>
              <w:t>防止人为噪声影响周围安静环境。</w:t>
            </w:r>
          </w:p>
          <w:p w14:paraId="78460E5E">
            <w:pPr>
              <w:pStyle w:val="83"/>
              <w:keepNext w:val="0"/>
              <w:keepLines w:val="0"/>
              <w:widowControl/>
              <w:suppressLineNumbers w:val="0"/>
              <w:spacing w:before="0" w:beforeAutospacing="0" w:after="0" w:afterAutospacing="0" w:line="360" w:lineRule="auto"/>
              <w:ind w:left="0" w:right="0" w:firstLine="560"/>
              <w:rPr>
                <w:rFonts w:hint="eastAsia" w:ascii="宋体" w:hAnsi="宋体" w:eastAsia="宋体" w:cs="宋体"/>
                <w:color w:val="000000"/>
              </w:rPr>
            </w:pPr>
            <w:r>
              <w:rPr>
                <w:rFonts w:hint="eastAsia" w:ascii="宋体" w:hAnsi="宋体" w:eastAsia="宋体" w:cs="宋体"/>
                <w:spacing w:val="20"/>
              </w:rPr>
              <w:t>⑤</w:t>
            </w:r>
            <w:r>
              <w:rPr>
                <w:rFonts w:hint="eastAsia" w:ascii="宋体" w:hAnsi="宋体" w:eastAsia="宋体" w:cs="宋体"/>
                <w:color w:val="000000"/>
              </w:rPr>
              <w:t>施工期进出车辆应尽量远离保护目标；高噪声施工机械应避免集中分布在靠近敏感点地方；高噪声设备施工时应在周边设置移动隔声屏障，隔声量不小于30dB(A)。</w:t>
            </w:r>
          </w:p>
          <w:p w14:paraId="11C1CF60">
            <w:pPr>
              <w:pStyle w:val="29"/>
              <w:keepNext w:val="0"/>
              <w:keepLines w:val="0"/>
              <w:suppressLineNumbers w:val="0"/>
              <w:spacing w:before="0" w:beforeAutospacing="0" w:after="0" w:afterAutospacing="0" w:line="360" w:lineRule="auto"/>
              <w:ind w:left="0" w:leftChars="0" w:right="0" w:firstLine="0" w:firstLineChars="0"/>
              <w:rPr>
                <w:rFonts w:hint="eastAsia" w:ascii="宋体" w:hAnsi="宋体" w:eastAsia="宋体" w:cs="宋体"/>
                <w:b/>
                <w:bCs/>
                <w:snapToGrid w:val="0"/>
                <w:color w:val="000000"/>
                <w:spacing w:val="0"/>
                <w:kern w:val="0"/>
                <w:sz w:val="24"/>
                <w:szCs w:val="24"/>
              </w:rPr>
            </w:pPr>
            <w:r>
              <w:rPr>
                <w:rFonts w:hint="eastAsia" w:ascii="宋体" w:hAnsi="宋体" w:eastAsia="宋体" w:cs="宋体"/>
                <w:snapToGrid w:val="0"/>
                <w:color w:val="000000"/>
                <w:spacing w:val="0"/>
                <w:kern w:val="0"/>
                <w:sz w:val="24"/>
                <w:szCs w:val="24"/>
              </w:rPr>
              <w:t>4、固体废物影响分析</w:t>
            </w:r>
          </w:p>
          <w:p w14:paraId="2A695DED">
            <w:pPr>
              <w:pStyle w:val="29"/>
              <w:keepNext w:val="0"/>
              <w:keepLines w:val="0"/>
              <w:suppressLineNumbers w:val="0"/>
              <w:spacing w:before="0" w:beforeAutospacing="0" w:after="0" w:afterAutospacing="0" w:line="360" w:lineRule="auto"/>
              <w:ind w:left="0" w:leftChars="0" w:right="0" w:firstLine="480"/>
              <w:rPr>
                <w:rFonts w:hint="eastAsia" w:ascii="宋体" w:hAnsi="宋体" w:eastAsia="宋体" w:cs="宋体"/>
                <w:snapToGrid w:val="0"/>
                <w:color w:val="000000"/>
                <w:spacing w:val="0"/>
                <w:kern w:val="0"/>
                <w:sz w:val="24"/>
              </w:rPr>
            </w:pPr>
            <w:r>
              <w:rPr>
                <w:rFonts w:hint="eastAsia" w:ascii="宋体" w:hAnsi="宋体" w:eastAsia="宋体" w:cs="宋体"/>
                <w:snapToGrid w:val="0"/>
                <w:color w:val="000000"/>
                <w:spacing w:val="0"/>
                <w:kern w:val="0"/>
                <w:sz w:val="24"/>
                <w:szCs w:val="24"/>
              </w:rPr>
              <w:t>施工期排放的固体废物主要为建筑垃圾和建筑工人产生的生活垃圾。建筑垃圾</w:t>
            </w:r>
            <w:r>
              <w:rPr>
                <w:rFonts w:hint="eastAsia" w:ascii="宋体" w:hAnsi="宋体" w:eastAsia="宋体" w:cs="宋体"/>
                <w:snapToGrid w:val="0"/>
                <w:color w:val="000000"/>
                <w:spacing w:val="0"/>
                <w:kern w:val="0"/>
                <w:sz w:val="24"/>
              </w:rPr>
              <w:t>主要是土建工程垃圾，基本无毒性，属于一般废物，生活垃圾主要包括废弃的各种生活用品以及饮食垃圾。为减少施工期固体废物对周围环境的影响，提出以下具体措施：</w:t>
            </w:r>
          </w:p>
          <w:p w14:paraId="1ABC39C3">
            <w:pPr>
              <w:pStyle w:val="29"/>
              <w:keepNext w:val="0"/>
              <w:keepLines w:val="0"/>
              <w:suppressLineNumbers w:val="0"/>
              <w:spacing w:before="0" w:beforeAutospacing="0" w:after="0" w:afterAutospacing="0" w:line="360" w:lineRule="auto"/>
              <w:ind w:left="0" w:leftChars="0" w:right="0" w:firstLine="480"/>
              <w:rPr>
                <w:rFonts w:hint="eastAsia" w:ascii="宋体" w:hAnsi="宋体" w:eastAsia="宋体" w:cs="宋体"/>
                <w:snapToGrid w:val="0"/>
                <w:color w:val="000000"/>
                <w:spacing w:val="0"/>
                <w:kern w:val="0"/>
                <w:sz w:val="24"/>
              </w:rPr>
            </w:pPr>
            <w:r>
              <w:rPr>
                <w:rFonts w:hint="eastAsia" w:ascii="宋体" w:hAnsi="宋体" w:eastAsia="宋体" w:cs="宋体"/>
                <w:snapToGrid w:val="0"/>
                <w:color w:val="000000"/>
                <w:spacing w:val="0"/>
                <w:kern w:val="0"/>
                <w:sz w:val="24"/>
              </w:rPr>
              <w:t>⑴在施工期间，严禁向区域外抛掷生活垃圾</w:t>
            </w:r>
            <w:r>
              <w:rPr>
                <w:rFonts w:hint="eastAsia" w:ascii="宋体" w:hAnsi="宋体" w:eastAsia="宋体" w:cs="宋体"/>
                <w:snapToGrid w:val="0"/>
                <w:color w:val="000000"/>
                <w:spacing w:val="0"/>
                <w:kern w:val="0"/>
                <w:sz w:val="24"/>
                <w:lang w:eastAsia="zh-CN"/>
              </w:rPr>
              <w:t>，</w:t>
            </w:r>
            <w:r>
              <w:rPr>
                <w:rFonts w:hint="eastAsia" w:ascii="宋体" w:hAnsi="宋体" w:eastAsia="宋体" w:cs="宋体"/>
                <w:snapToGrid w:val="0"/>
                <w:color w:val="000000"/>
                <w:spacing w:val="0"/>
                <w:kern w:val="0"/>
                <w:sz w:val="24"/>
              </w:rPr>
              <w:t>生活垃圾应放置到指定的垃圾箱（桶）里，由环卫部门送至垃圾场统一及时处理。</w:t>
            </w:r>
          </w:p>
          <w:p w14:paraId="7CEC221E">
            <w:pPr>
              <w:pStyle w:val="2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textAlignment w:val="auto"/>
              <w:rPr>
                <w:rFonts w:hint="eastAsia" w:ascii="宋体" w:hAnsi="宋体" w:eastAsia="宋体" w:cs="宋体"/>
                <w:snapToGrid w:val="0"/>
                <w:color w:val="000000"/>
                <w:spacing w:val="0"/>
                <w:kern w:val="0"/>
                <w:sz w:val="24"/>
                <w:szCs w:val="24"/>
              </w:rPr>
            </w:pPr>
            <w:r>
              <w:rPr>
                <w:rFonts w:hint="eastAsia" w:ascii="宋体" w:hAnsi="宋体" w:eastAsia="宋体" w:cs="宋体"/>
                <w:snapToGrid w:val="0"/>
                <w:color w:val="000000"/>
                <w:spacing w:val="0"/>
                <w:kern w:val="0"/>
                <w:sz w:val="24"/>
                <w:szCs w:val="24"/>
              </w:rPr>
              <w:t>⑵建筑垃圾应遵照建筑垃圾管理办法进行处置，土建工程垃圾一般在施工后都可以作为区域回填土及时回填，加以综合利用，防止因其长期堆放而产生扬尘。</w:t>
            </w:r>
          </w:p>
          <w:p w14:paraId="69825F8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textAlignment w:val="auto"/>
              <w:rPr>
                <w:rFonts w:hint="eastAsia" w:ascii="宋体" w:hAnsi="宋体" w:eastAsia="宋体" w:cs="宋体"/>
                <w:snapToGrid w:val="0"/>
                <w:spacing w:val="0"/>
                <w:kern w:val="0"/>
                <w:sz w:val="24"/>
                <w:szCs w:val="24"/>
              </w:rPr>
            </w:pPr>
            <w:r>
              <w:rPr>
                <w:rFonts w:hint="eastAsia" w:ascii="宋体" w:hAnsi="宋体" w:eastAsia="宋体" w:cs="宋体"/>
                <w:snapToGrid w:val="0"/>
                <w:spacing w:val="0"/>
                <w:kern w:val="0"/>
                <w:sz w:val="24"/>
                <w:szCs w:val="24"/>
              </w:rPr>
              <w:t>⑶本项目用土采用区域统筹方式解决，</w:t>
            </w:r>
            <w:r>
              <w:rPr>
                <w:rFonts w:hint="eastAsia" w:ascii="宋体" w:hAnsi="宋体" w:eastAsia="宋体" w:cs="宋体"/>
                <w:snapToGrid w:val="0"/>
                <w:spacing w:val="0"/>
                <w:kern w:val="0"/>
                <w:sz w:val="24"/>
                <w:szCs w:val="24"/>
                <w:lang w:eastAsia="zh-CN"/>
              </w:rPr>
              <w:t>表土统一堆放于指定的堆放场，后期作为绿化覆土使用，产生的弃渣集中堆放每日清运，送指定地点倾倒，对环境影响较小。</w:t>
            </w:r>
          </w:p>
          <w:p w14:paraId="57DE9086">
            <w:pPr>
              <w:pStyle w:val="2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textAlignment w:val="auto"/>
              <w:rPr>
                <w:rFonts w:hint="eastAsia" w:ascii="宋体" w:hAnsi="宋体" w:eastAsia="宋体" w:cs="宋体"/>
              </w:rPr>
            </w:pPr>
            <w:r>
              <w:rPr>
                <w:rFonts w:hint="eastAsia" w:ascii="宋体" w:hAnsi="宋体" w:eastAsia="宋体" w:cs="宋体"/>
                <w:snapToGrid w:val="0"/>
                <w:color w:val="000000"/>
                <w:spacing w:val="0"/>
                <w:kern w:val="0"/>
                <w:sz w:val="24"/>
                <w:szCs w:val="24"/>
              </w:rPr>
              <w:t>由于施工期对环</w:t>
            </w:r>
            <w:r>
              <w:rPr>
                <w:rFonts w:hint="eastAsia" w:ascii="宋体" w:hAnsi="宋体" w:eastAsia="宋体" w:cs="宋体"/>
                <w:snapToGrid w:val="0"/>
                <w:color w:val="000000"/>
                <w:spacing w:val="0"/>
                <w:kern w:val="0"/>
                <w:sz w:val="24"/>
              </w:rPr>
              <w:t>境的影响属于局部、短期、可恢复性的，经过上述相应防治措施后，施工期对环境的影响在可接受的影响范围内。随着施工期的结束，施工期对环境的影响逐渐消失。</w:t>
            </w:r>
          </w:p>
        </w:tc>
      </w:tr>
      <w:tr w14:paraId="3A29B40C">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100" w:hRule="atLeast"/>
          <w:jc w:val="center"/>
        </w:trPr>
        <w:tc>
          <w:tcPr>
            <w:tcW w:w="479" w:type="dxa"/>
            <w:noWrap w:val="0"/>
            <w:tcMar>
              <w:left w:w="28" w:type="dxa"/>
              <w:right w:w="28" w:type="dxa"/>
            </w:tcMar>
            <w:vAlign w:val="center"/>
          </w:tcPr>
          <w:p w14:paraId="36C9556E">
            <w:pPr>
              <w:pStyle w:val="53"/>
              <w:keepNext w:val="0"/>
              <w:keepLines w:val="0"/>
              <w:suppressLineNumbers w:val="0"/>
              <w:spacing w:before="0" w:beforeAutospacing="0" w:after="0" w:afterAutospacing="0" w:line="360" w:lineRule="auto"/>
              <w:ind w:left="0" w:right="0"/>
              <w:rPr>
                <w:rFonts w:hint="eastAsia" w:ascii="宋体" w:hAnsi="宋体" w:eastAsia="宋体" w:cs="宋体"/>
              </w:rPr>
            </w:pPr>
            <w:r>
              <w:rPr>
                <w:rFonts w:hint="eastAsia" w:ascii="宋体" w:hAnsi="宋体" w:eastAsia="宋体" w:cs="宋体"/>
              </w:rPr>
              <w:t>运营</w:t>
            </w:r>
          </w:p>
          <w:p w14:paraId="7E88A8FF">
            <w:pPr>
              <w:pStyle w:val="53"/>
              <w:keepNext w:val="0"/>
              <w:keepLines w:val="0"/>
              <w:suppressLineNumbers w:val="0"/>
              <w:spacing w:before="0" w:beforeAutospacing="0" w:after="0" w:afterAutospacing="0" w:line="360" w:lineRule="auto"/>
              <w:ind w:left="0" w:right="0"/>
              <w:rPr>
                <w:rFonts w:hint="eastAsia" w:ascii="宋体" w:hAnsi="宋体" w:eastAsia="宋体" w:cs="宋体"/>
              </w:rPr>
            </w:pPr>
            <w:r>
              <w:rPr>
                <w:rFonts w:hint="eastAsia" w:ascii="宋体" w:hAnsi="宋体" w:eastAsia="宋体" w:cs="宋体"/>
              </w:rPr>
              <w:t>期环</w:t>
            </w:r>
          </w:p>
          <w:p w14:paraId="07A7580E">
            <w:pPr>
              <w:pStyle w:val="53"/>
              <w:keepNext w:val="0"/>
              <w:keepLines w:val="0"/>
              <w:suppressLineNumbers w:val="0"/>
              <w:spacing w:before="0" w:beforeAutospacing="0" w:after="0" w:afterAutospacing="0" w:line="360" w:lineRule="auto"/>
              <w:ind w:left="0" w:right="0"/>
              <w:rPr>
                <w:rFonts w:hint="eastAsia" w:ascii="宋体" w:hAnsi="宋体" w:eastAsia="宋体" w:cs="宋体"/>
              </w:rPr>
            </w:pPr>
            <w:r>
              <w:rPr>
                <w:rFonts w:hint="eastAsia" w:ascii="宋体" w:hAnsi="宋体" w:eastAsia="宋体" w:cs="宋体"/>
              </w:rPr>
              <w:t>境影</w:t>
            </w:r>
          </w:p>
          <w:p w14:paraId="6FF492B6">
            <w:pPr>
              <w:pStyle w:val="53"/>
              <w:keepNext w:val="0"/>
              <w:keepLines w:val="0"/>
              <w:suppressLineNumbers w:val="0"/>
              <w:spacing w:before="0" w:beforeAutospacing="0" w:after="0" w:afterAutospacing="0" w:line="360" w:lineRule="auto"/>
              <w:ind w:left="0" w:right="0"/>
              <w:rPr>
                <w:rFonts w:hint="eastAsia" w:ascii="宋体" w:hAnsi="宋体" w:eastAsia="宋体" w:cs="宋体"/>
              </w:rPr>
            </w:pPr>
            <w:r>
              <w:rPr>
                <w:rFonts w:hint="eastAsia" w:ascii="宋体" w:hAnsi="宋体" w:eastAsia="宋体" w:cs="宋体"/>
              </w:rPr>
              <w:t>响和</w:t>
            </w:r>
          </w:p>
          <w:p w14:paraId="31FDCF1D">
            <w:pPr>
              <w:pStyle w:val="53"/>
              <w:keepNext w:val="0"/>
              <w:keepLines w:val="0"/>
              <w:suppressLineNumbers w:val="0"/>
              <w:spacing w:before="0" w:beforeAutospacing="0" w:after="0" w:afterAutospacing="0" w:line="360" w:lineRule="auto"/>
              <w:ind w:left="0" w:right="0"/>
              <w:rPr>
                <w:rFonts w:hint="eastAsia" w:ascii="宋体" w:hAnsi="宋体" w:eastAsia="宋体" w:cs="宋体"/>
              </w:rPr>
            </w:pPr>
            <w:r>
              <w:rPr>
                <w:rFonts w:hint="eastAsia" w:ascii="宋体" w:hAnsi="宋体" w:eastAsia="宋体" w:cs="宋体"/>
              </w:rPr>
              <w:t>保护</w:t>
            </w:r>
          </w:p>
          <w:p w14:paraId="0B9AD3BB">
            <w:pPr>
              <w:pStyle w:val="53"/>
              <w:keepNext w:val="0"/>
              <w:keepLines w:val="0"/>
              <w:suppressLineNumbers w:val="0"/>
              <w:spacing w:before="0" w:beforeAutospacing="0" w:after="0" w:afterAutospacing="0" w:line="360" w:lineRule="auto"/>
              <w:ind w:left="0" w:right="0"/>
              <w:rPr>
                <w:rFonts w:hint="eastAsia" w:ascii="宋体" w:hAnsi="宋体" w:eastAsia="宋体" w:cs="宋体"/>
                <w:color w:val="FF0000"/>
              </w:rPr>
            </w:pPr>
            <w:r>
              <w:rPr>
                <w:rFonts w:hint="eastAsia" w:ascii="宋体" w:hAnsi="宋体" w:eastAsia="宋体" w:cs="宋体"/>
              </w:rPr>
              <w:t>措施</w:t>
            </w:r>
          </w:p>
        </w:tc>
        <w:tc>
          <w:tcPr>
            <w:tcW w:w="8582" w:type="dxa"/>
            <w:noWrap w:val="0"/>
            <w:vAlign w:val="center"/>
          </w:tcPr>
          <w:p w14:paraId="12DB76A8">
            <w:pPr>
              <w:pStyle w:val="6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eastAsia" w:ascii="宋体" w:hAnsi="宋体" w:eastAsia="宋体" w:cs="宋体"/>
              </w:rPr>
            </w:pPr>
            <w:r>
              <w:rPr>
                <w:rFonts w:hint="eastAsia" w:ascii="宋体" w:hAnsi="宋体" w:eastAsia="宋体" w:cs="宋体"/>
                <w:b/>
                <w:bCs/>
              </w:rPr>
              <w:t>一、废气</w:t>
            </w:r>
          </w:p>
          <w:p w14:paraId="74A19968">
            <w:pPr>
              <w:pStyle w:val="6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eastAsia" w:ascii="宋体" w:hAnsi="宋体" w:eastAsia="宋体" w:cs="宋体"/>
              </w:rPr>
            </w:pPr>
            <w:r>
              <w:rPr>
                <w:rFonts w:hint="eastAsia" w:ascii="宋体" w:hAnsi="宋体" w:eastAsia="宋体" w:cs="宋体"/>
              </w:rPr>
              <w:t>1、废气源强核算</w:t>
            </w:r>
          </w:p>
          <w:p w14:paraId="0AD6F386">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eastAsia" w:ascii="宋体" w:hAnsi="宋体" w:eastAsia="宋体" w:cs="宋体"/>
              </w:rPr>
            </w:pPr>
            <w:r>
              <w:rPr>
                <w:rFonts w:hint="eastAsia" w:ascii="宋体" w:hAnsi="宋体" w:eastAsia="宋体" w:cs="宋体"/>
              </w:rPr>
              <w:t>⑴喷</w:t>
            </w:r>
            <w:r>
              <w:rPr>
                <w:rFonts w:hint="eastAsia" w:ascii="宋体" w:hAnsi="宋体" w:eastAsia="宋体" w:cs="宋体"/>
                <w:lang w:val="en-US" w:eastAsia="zh-CN"/>
              </w:rPr>
              <w:t>塑</w:t>
            </w:r>
            <w:r>
              <w:rPr>
                <w:rFonts w:hint="eastAsia" w:ascii="宋体" w:hAnsi="宋体" w:eastAsia="宋体" w:cs="宋体"/>
              </w:rPr>
              <w:t>废气（颗粒物）</w:t>
            </w:r>
          </w:p>
          <w:p w14:paraId="3F0371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eastAsia" w:ascii="宋体" w:hAnsi="宋体" w:eastAsia="宋体" w:cs="宋体"/>
                <w:u w:val="none"/>
                <w:lang w:val="en-US" w:eastAsia="zh-CN"/>
              </w:rPr>
            </w:pPr>
            <w:r>
              <w:rPr>
                <w:rFonts w:hint="eastAsia" w:ascii="宋体" w:hAnsi="宋体" w:eastAsia="宋体" w:cs="宋体"/>
                <w:u w:val="none"/>
                <w:lang w:val="en-US" w:eastAsia="zh-CN"/>
              </w:rPr>
              <w:t>本项目设2个喷塑房，每间喷塑房设1套旋风除尘+布袋除尘设施，处理后的颗粒物经2个排气筒排放。</w:t>
            </w:r>
          </w:p>
          <w:p w14:paraId="74F647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eastAsia" w:ascii="宋体" w:hAnsi="宋体" w:eastAsia="宋体" w:cs="宋体"/>
              </w:rPr>
            </w:pPr>
            <w:r>
              <w:rPr>
                <w:rFonts w:hint="eastAsia" w:ascii="宋体" w:hAnsi="宋体" w:eastAsia="宋体" w:cs="宋体"/>
                <w:u w:val="none"/>
              </w:rPr>
              <w:t>本项目</w:t>
            </w:r>
            <w:r>
              <w:rPr>
                <w:rFonts w:hint="eastAsia" w:ascii="宋体" w:hAnsi="宋体" w:eastAsia="宋体" w:cs="宋体"/>
                <w:u w:val="none"/>
                <w:lang w:val="en-US" w:eastAsia="zh-CN"/>
              </w:rPr>
              <w:t>2间喷塑房</w:t>
            </w:r>
            <w:r>
              <w:rPr>
                <w:rFonts w:hint="eastAsia" w:ascii="宋体" w:hAnsi="宋体" w:eastAsia="宋体" w:cs="宋体"/>
                <w:u w:val="none"/>
              </w:rPr>
              <w:t>粉末涂料年用量</w:t>
            </w:r>
            <w:r>
              <w:rPr>
                <w:rFonts w:hint="eastAsia" w:ascii="宋体" w:hAnsi="宋体" w:eastAsia="宋体" w:cs="宋体"/>
                <w:u w:val="none"/>
                <w:lang w:val="en-US" w:eastAsia="zh-CN"/>
              </w:rPr>
              <w:t>均</w:t>
            </w:r>
            <w:r>
              <w:rPr>
                <w:rFonts w:hint="eastAsia" w:ascii="宋体" w:hAnsi="宋体" w:eastAsia="宋体" w:cs="宋体"/>
                <w:u w:val="none"/>
              </w:rPr>
              <w:t>为</w:t>
            </w:r>
            <w:r>
              <w:rPr>
                <w:rFonts w:hint="eastAsia" w:ascii="宋体" w:hAnsi="宋体" w:eastAsia="宋体" w:cs="宋体"/>
                <w:u w:val="none"/>
                <w:lang w:val="en-US" w:eastAsia="zh-CN"/>
              </w:rPr>
              <w:t>1</w:t>
            </w:r>
            <w:r>
              <w:rPr>
                <w:rFonts w:hint="eastAsia" w:ascii="宋体" w:hAnsi="宋体" w:eastAsia="宋体" w:cs="宋体"/>
                <w:u w:val="none"/>
              </w:rPr>
              <w:t>0t，进入工件的粉末涂料量为</w:t>
            </w:r>
            <w:r>
              <w:rPr>
                <w:rFonts w:hint="eastAsia" w:ascii="宋体" w:hAnsi="宋体" w:eastAsia="宋体" w:cs="宋体"/>
                <w:u w:val="none"/>
                <w:lang w:val="en-US" w:eastAsia="zh-CN"/>
              </w:rPr>
              <w:t>9.7075</w:t>
            </w:r>
            <w:r>
              <w:rPr>
                <w:rFonts w:hint="eastAsia" w:ascii="宋体" w:hAnsi="宋体" w:eastAsia="宋体" w:cs="宋体"/>
                <w:u w:val="none"/>
              </w:rPr>
              <w:t>t/a（</w:t>
            </w:r>
            <w:r>
              <w:rPr>
                <w:rFonts w:hint="eastAsia" w:ascii="宋体" w:hAnsi="宋体" w:eastAsia="宋体" w:cs="宋体"/>
                <w:u w:val="none"/>
                <w:lang w:eastAsia="zh-CN"/>
              </w:rPr>
              <w:t>0.97075</w:t>
            </w:r>
            <w:r>
              <w:rPr>
                <w:rFonts w:hint="eastAsia" w:ascii="宋体" w:hAnsi="宋体" w:eastAsia="宋体" w:cs="宋体"/>
                <w:u w:val="none"/>
              </w:rPr>
              <w:t>×</w:t>
            </w:r>
            <w:r>
              <w:rPr>
                <w:rFonts w:hint="eastAsia" w:ascii="宋体" w:hAnsi="宋体" w:eastAsia="宋体" w:cs="宋体"/>
                <w:u w:val="none"/>
                <w:lang w:val="en-US" w:eastAsia="zh-CN"/>
              </w:rPr>
              <w:t>1</w:t>
            </w:r>
            <w:r>
              <w:rPr>
                <w:rFonts w:hint="eastAsia" w:ascii="宋体" w:hAnsi="宋体" w:eastAsia="宋体" w:cs="宋体"/>
                <w:u w:val="none"/>
              </w:rPr>
              <w:t>0t/a），由于本项目粉末涂料一次上粉率为</w:t>
            </w:r>
            <w:r>
              <w:rPr>
                <w:rFonts w:hint="eastAsia" w:ascii="宋体" w:hAnsi="宋体" w:eastAsia="宋体" w:cs="宋体"/>
                <w:u w:val="none"/>
                <w:lang w:val="en-US" w:eastAsia="zh-CN"/>
              </w:rPr>
              <w:t>70</w:t>
            </w:r>
            <w:r>
              <w:rPr>
                <w:rFonts w:hint="eastAsia" w:ascii="宋体" w:hAnsi="宋体" w:eastAsia="宋体" w:cs="宋体"/>
                <w:u w:val="none"/>
              </w:rPr>
              <w:t>%，则项目喷粉总量约为</w:t>
            </w:r>
            <w:r>
              <w:rPr>
                <w:rFonts w:hint="eastAsia" w:ascii="宋体" w:hAnsi="宋体" w:eastAsia="宋体" w:cs="宋体"/>
                <w:u w:val="none"/>
                <w:lang w:val="en-US" w:eastAsia="zh-CN"/>
              </w:rPr>
              <w:t>13.86</w:t>
            </w:r>
            <w:r>
              <w:rPr>
                <w:rFonts w:hint="eastAsia" w:ascii="宋体" w:hAnsi="宋体" w:eastAsia="宋体" w:cs="宋体"/>
                <w:u w:val="none"/>
              </w:rPr>
              <w:t>t/a（</w:t>
            </w:r>
            <w:r>
              <w:rPr>
                <w:rFonts w:hint="eastAsia" w:ascii="宋体" w:hAnsi="宋体" w:eastAsia="宋体" w:cs="宋体"/>
                <w:u w:val="none"/>
                <w:lang w:val="en-US" w:eastAsia="zh-CN"/>
              </w:rPr>
              <w:t>9.7075</w:t>
            </w:r>
            <w:r>
              <w:rPr>
                <w:rFonts w:hint="eastAsia" w:ascii="宋体" w:hAnsi="宋体" w:eastAsia="宋体" w:cs="宋体"/>
                <w:u w:val="none"/>
              </w:rPr>
              <w:t>t/a÷0.</w:t>
            </w:r>
            <w:r>
              <w:rPr>
                <w:rFonts w:hint="eastAsia" w:ascii="宋体" w:hAnsi="宋体" w:eastAsia="宋体" w:cs="宋体"/>
                <w:u w:val="none"/>
                <w:lang w:val="en-US" w:eastAsia="zh-CN"/>
              </w:rPr>
              <w:t>7</w:t>
            </w:r>
            <w:r>
              <w:rPr>
                <w:rFonts w:hint="eastAsia" w:ascii="宋体" w:hAnsi="宋体" w:eastAsia="宋体" w:cs="宋体"/>
                <w:u w:val="none"/>
              </w:rPr>
              <w:t>）；未上粉量为</w:t>
            </w:r>
            <w:r>
              <w:rPr>
                <w:rFonts w:hint="eastAsia" w:ascii="宋体" w:hAnsi="宋体" w:eastAsia="宋体" w:cs="宋体"/>
                <w:u w:val="none"/>
                <w:lang w:val="en-US" w:eastAsia="zh-CN"/>
              </w:rPr>
              <w:t>4.1525</w:t>
            </w:r>
            <w:r>
              <w:rPr>
                <w:rFonts w:hint="eastAsia" w:ascii="宋体" w:hAnsi="宋体" w:eastAsia="宋体" w:cs="宋体"/>
                <w:u w:val="none"/>
              </w:rPr>
              <w:t>t/a（</w:t>
            </w:r>
            <w:r>
              <w:rPr>
                <w:rFonts w:hint="eastAsia" w:ascii="宋体" w:hAnsi="宋体" w:eastAsia="宋体" w:cs="宋体"/>
                <w:u w:val="none"/>
                <w:lang w:val="en-US" w:eastAsia="zh-CN"/>
              </w:rPr>
              <w:t>13.86</w:t>
            </w:r>
            <w:r>
              <w:rPr>
                <w:rFonts w:hint="eastAsia" w:ascii="宋体" w:hAnsi="宋体" w:eastAsia="宋体" w:cs="宋体"/>
                <w:u w:val="none"/>
              </w:rPr>
              <w:t>t/a-</w:t>
            </w:r>
            <w:r>
              <w:rPr>
                <w:rFonts w:hint="eastAsia" w:ascii="宋体" w:hAnsi="宋体" w:eastAsia="宋体" w:cs="宋体"/>
                <w:u w:val="none"/>
                <w:lang w:val="en-US" w:eastAsia="zh-CN"/>
              </w:rPr>
              <w:t>9.7075</w:t>
            </w:r>
            <w:r>
              <w:rPr>
                <w:rFonts w:hint="eastAsia" w:ascii="宋体" w:hAnsi="宋体" w:eastAsia="宋体" w:cs="宋体"/>
                <w:u w:val="none"/>
              </w:rPr>
              <w:t>t/a），未上粉量中约95%通过喷柜收集后进入除尘器处理（</w:t>
            </w:r>
            <w:r>
              <w:rPr>
                <w:rFonts w:hint="eastAsia" w:ascii="宋体" w:hAnsi="宋体" w:eastAsia="宋体" w:cs="宋体"/>
                <w:u w:val="none"/>
                <w:lang w:val="en-US" w:eastAsia="zh-CN"/>
              </w:rPr>
              <w:t>3.9455</w:t>
            </w:r>
            <w:r>
              <w:rPr>
                <w:rFonts w:hint="eastAsia" w:ascii="宋体" w:hAnsi="宋体" w:eastAsia="宋体" w:cs="宋体"/>
                <w:u w:val="none"/>
              </w:rPr>
              <w:t>t/a），剩余5%（</w:t>
            </w:r>
            <w:r>
              <w:rPr>
                <w:rFonts w:hint="eastAsia" w:ascii="宋体" w:hAnsi="宋体" w:eastAsia="宋体" w:cs="宋体"/>
                <w:u w:val="none"/>
                <w:lang w:val="en-US" w:eastAsia="zh-CN"/>
              </w:rPr>
              <w:t>0.207</w:t>
            </w:r>
            <w:r>
              <w:rPr>
                <w:rFonts w:hint="eastAsia" w:ascii="宋体" w:hAnsi="宋体" w:eastAsia="宋体" w:cs="宋体"/>
                <w:u w:val="none"/>
              </w:rPr>
              <w:t>t/a）无组织排放；进入除尘器处理的粉尘95%（</w:t>
            </w:r>
            <w:r>
              <w:rPr>
                <w:rFonts w:hint="eastAsia" w:ascii="宋体" w:hAnsi="宋体" w:eastAsia="宋体" w:cs="宋体"/>
                <w:u w:val="none"/>
                <w:lang w:val="en-US" w:eastAsia="zh-CN"/>
              </w:rPr>
              <w:t>3.7485</w:t>
            </w:r>
            <w:r>
              <w:rPr>
                <w:rFonts w:hint="eastAsia" w:ascii="宋体" w:hAnsi="宋体" w:eastAsia="宋体" w:cs="宋体"/>
                <w:u w:val="none"/>
              </w:rPr>
              <w:t>t/a）收集后回用于喷塑，剩余5%（</w:t>
            </w:r>
            <w:r>
              <w:rPr>
                <w:rFonts w:hint="eastAsia" w:ascii="宋体" w:hAnsi="宋体" w:eastAsia="宋体" w:cs="宋体"/>
                <w:u w:val="none"/>
                <w:lang w:val="en-US" w:eastAsia="zh-CN"/>
              </w:rPr>
              <w:t>0.197</w:t>
            </w:r>
            <w:r>
              <w:rPr>
                <w:rFonts w:hint="eastAsia" w:ascii="宋体" w:hAnsi="宋体" w:eastAsia="宋体" w:cs="宋体"/>
                <w:u w:val="none"/>
              </w:rPr>
              <w:t>t/a）通过排气筒</w:t>
            </w:r>
            <w:r>
              <w:rPr>
                <w:rFonts w:hint="eastAsia" w:ascii="宋体" w:hAnsi="宋体" w:eastAsia="宋体" w:cs="宋体"/>
                <w:u w:val="none"/>
                <w:lang w:eastAsia="zh-CN"/>
              </w:rPr>
              <w:t>（</w:t>
            </w:r>
            <w:r>
              <w:rPr>
                <w:rFonts w:hint="eastAsia" w:ascii="宋体" w:hAnsi="宋体" w:eastAsia="宋体" w:cs="宋体"/>
                <w:u w:val="none"/>
                <w:lang w:val="en-US" w:eastAsia="zh-CN"/>
              </w:rPr>
              <w:t>DA001、DA002</w:t>
            </w:r>
            <w:r>
              <w:rPr>
                <w:rFonts w:hint="eastAsia" w:ascii="宋体" w:hAnsi="宋体" w:eastAsia="宋体" w:cs="宋体"/>
                <w:u w:val="none"/>
                <w:lang w:eastAsia="zh-CN"/>
              </w:rPr>
              <w:t>）</w:t>
            </w:r>
            <w:r>
              <w:rPr>
                <w:rFonts w:hint="eastAsia" w:ascii="宋体" w:hAnsi="宋体" w:eastAsia="宋体" w:cs="宋体"/>
                <w:u w:val="none"/>
              </w:rPr>
              <w:t>有组织排放。</w:t>
            </w:r>
            <w:r>
              <w:rPr>
                <w:rFonts w:hint="eastAsia" w:ascii="宋体" w:hAnsi="宋体" w:eastAsia="宋体" w:cs="宋体"/>
              </w:rPr>
              <w:t>风机引风量为</w:t>
            </w:r>
            <w:r>
              <w:rPr>
                <w:rFonts w:hint="eastAsia" w:ascii="宋体" w:hAnsi="宋体" w:eastAsia="宋体" w:cs="宋体"/>
                <w:lang w:val="en-US" w:eastAsia="zh-CN"/>
              </w:rPr>
              <w:t>12000</w:t>
            </w:r>
            <w:r>
              <w:rPr>
                <w:rFonts w:hint="eastAsia" w:ascii="宋体" w:hAnsi="宋体" w:eastAsia="宋体" w:cs="宋体"/>
              </w:rPr>
              <w:t>m</w:t>
            </w:r>
            <w:r>
              <w:rPr>
                <w:rFonts w:hint="eastAsia" w:ascii="宋体" w:hAnsi="宋体" w:eastAsia="宋体" w:cs="宋体"/>
                <w:vertAlign w:val="superscript"/>
              </w:rPr>
              <w:t>3</w:t>
            </w:r>
            <w:r>
              <w:rPr>
                <w:rFonts w:hint="eastAsia" w:ascii="宋体" w:hAnsi="宋体" w:eastAsia="宋体" w:cs="宋体"/>
              </w:rPr>
              <w:t>/h，则</w:t>
            </w:r>
            <w:r>
              <w:rPr>
                <w:rFonts w:hint="eastAsia" w:ascii="宋体" w:hAnsi="宋体" w:eastAsia="宋体" w:cs="宋体"/>
                <w:lang w:val="en-US" w:eastAsia="zh-CN"/>
              </w:rPr>
              <w:t>DA001排气筒、DA002排气筒</w:t>
            </w:r>
            <w:r>
              <w:rPr>
                <w:rFonts w:hint="eastAsia" w:ascii="宋体" w:hAnsi="宋体" w:eastAsia="宋体" w:cs="宋体"/>
              </w:rPr>
              <w:t>有组织</w:t>
            </w:r>
            <w:r>
              <w:rPr>
                <w:rFonts w:hint="eastAsia" w:ascii="宋体" w:hAnsi="宋体" w:eastAsia="宋体" w:cs="宋体"/>
                <w:lang w:eastAsia="zh-CN"/>
              </w:rPr>
              <w:t>颗粒物</w:t>
            </w:r>
            <w:r>
              <w:rPr>
                <w:rFonts w:hint="eastAsia" w:ascii="宋体" w:hAnsi="宋体" w:eastAsia="宋体" w:cs="宋体"/>
              </w:rPr>
              <w:t>排放量</w:t>
            </w:r>
            <w:r>
              <w:rPr>
                <w:rFonts w:hint="eastAsia" w:ascii="宋体" w:hAnsi="宋体" w:eastAsia="宋体" w:cs="宋体"/>
                <w:lang w:val="en-US" w:eastAsia="zh-CN"/>
              </w:rPr>
              <w:t>均</w:t>
            </w:r>
            <w:r>
              <w:rPr>
                <w:rFonts w:hint="eastAsia" w:ascii="宋体" w:hAnsi="宋体" w:eastAsia="宋体" w:cs="宋体"/>
              </w:rPr>
              <w:t>为</w:t>
            </w:r>
            <w:r>
              <w:rPr>
                <w:rFonts w:hint="eastAsia" w:ascii="宋体" w:hAnsi="宋体" w:eastAsia="宋体" w:cs="宋体"/>
                <w:lang w:val="en-US" w:eastAsia="zh-CN"/>
              </w:rPr>
              <w:t>0.197</w:t>
            </w:r>
            <w:r>
              <w:rPr>
                <w:rFonts w:hint="eastAsia" w:ascii="宋体" w:hAnsi="宋体" w:eastAsia="宋体" w:cs="宋体"/>
              </w:rPr>
              <w:t>t/a（0.</w:t>
            </w:r>
            <w:r>
              <w:rPr>
                <w:rFonts w:hint="eastAsia" w:ascii="宋体" w:hAnsi="宋体" w:eastAsia="宋体" w:cs="宋体"/>
                <w:lang w:val="en-US" w:eastAsia="zh-CN"/>
              </w:rPr>
              <w:t>1</w:t>
            </w:r>
            <w:r>
              <w:rPr>
                <w:rFonts w:hint="eastAsia" w:ascii="宋体" w:hAnsi="宋体" w:eastAsia="宋体" w:cs="宋体"/>
              </w:rPr>
              <w:t>kg/h），排放浓度为</w:t>
            </w:r>
            <w:r>
              <w:rPr>
                <w:rFonts w:hint="eastAsia" w:ascii="宋体" w:hAnsi="宋体" w:eastAsia="宋体" w:cs="宋体"/>
                <w:lang w:val="en-US" w:eastAsia="zh-CN"/>
              </w:rPr>
              <w:t>8.3</w:t>
            </w:r>
            <w:r>
              <w:rPr>
                <w:rFonts w:hint="eastAsia" w:ascii="宋体" w:hAnsi="宋体" w:eastAsia="宋体" w:cs="宋体"/>
              </w:rPr>
              <w:t>mg/m</w:t>
            </w:r>
            <w:r>
              <w:rPr>
                <w:rFonts w:hint="eastAsia" w:ascii="宋体" w:hAnsi="宋体" w:eastAsia="宋体" w:cs="宋体"/>
                <w:vertAlign w:val="superscript"/>
              </w:rPr>
              <w:t>3</w:t>
            </w:r>
            <w:r>
              <w:rPr>
                <w:rFonts w:hint="eastAsia" w:ascii="宋体" w:hAnsi="宋体" w:eastAsia="宋体" w:cs="宋体"/>
              </w:rPr>
              <w:t>。</w:t>
            </w:r>
          </w:p>
          <w:p w14:paraId="1BDF08F8">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eastAsia" w:ascii="宋体" w:hAnsi="宋体" w:eastAsia="宋体" w:cs="宋体"/>
              </w:rPr>
            </w:pPr>
            <w:r>
              <w:rPr>
                <w:rFonts w:hint="eastAsia" w:ascii="宋体" w:hAnsi="宋体" w:eastAsia="宋体" w:cs="宋体"/>
                <w:sz w:val="24"/>
                <w:szCs w:val="24"/>
                <w:lang w:val="en-US" w:eastAsia="zh-CN"/>
              </w:rPr>
              <w:t>无组织颗粒物排放量共计0.414t/a。</w:t>
            </w:r>
          </w:p>
          <w:p w14:paraId="42907BA5">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eastAsia" w:ascii="宋体" w:hAnsi="宋体" w:eastAsia="宋体" w:cs="宋体"/>
                <w:lang w:eastAsia="zh-CN"/>
              </w:rPr>
            </w:pPr>
            <w:r>
              <w:rPr>
                <w:rFonts w:hint="eastAsia" w:ascii="宋体" w:hAnsi="宋体" w:eastAsia="宋体" w:cs="宋体"/>
              </w:rPr>
              <w:t>⑵固化废气</w:t>
            </w:r>
            <w:r>
              <w:rPr>
                <w:rFonts w:hint="eastAsia" w:ascii="宋体" w:hAnsi="宋体" w:eastAsia="宋体" w:cs="宋体"/>
                <w:lang w:eastAsia="zh-CN"/>
              </w:rPr>
              <w:t>（</w:t>
            </w:r>
            <w:r>
              <w:rPr>
                <w:rFonts w:hint="eastAsia" w:ascii="宋体" w:hAnsi="宋体" w:eastAsia="宋体" w:cs="宋体"/>
                <w:lang w:val="en-US" w:eastAsia="zh-CN"/>
              </w:rPr>
              <w:t>非甲烷总烃</w:t>
            </w:r>
            <w:r>
              <w:rPr>
                <w:rFonts w:hint="eastAsia" w:ascii="宋体" w:hAnsi="宋体" w:eastAsia="宋体" w:cs="宋体"/>
                <w:lang w:eastAsia="zh-CN"/>
              </w:rPr>
              <w:t>）</w:t>
            </w:r>
          </w:p>
          <w:p w14:paraId="7B5358CB">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eastAsia" w:ascii="宋体" w:hAnsi="宋体" w:eastAsia="宋体" w:cs="宋体"/>
                <w:lang w:val="en-US" w:eastAsia="zh-CN"/>
              </w:rPr>
            </w:pPr>
            <w:r>
              <w:rPr>
                <w:rFonts w:hint="eastAsia" w:ascii="宋体" w:hAnsi="宋体" w:eastAsia="宋体" w:cs="宋体"/>
              </w:rPr>
              <w:t>本项目使用的塑粉以树脂为主要基料（不含溶剂成分），烘烤固化温度在180～220℃。固化废气污染物源强参照《第二次全国污染源普查工业污染源产排污系数手册》中“涂装-喷塑后烘干”排污系数，挥发性有机物产污系数为 1.2kg/t-原料，</w:t>
            </w:r>
            <w:r>
              <w:rPr>
                <w:rFonts w:hint="eastAsia" w:ascii="宋体" w:hAnsi="宋体" w:eastAsia="宋体" w:cs="宋体"/>
                <w:lang w:val="en-US" w:eastAsia="zh-CN"/>
              </w:rPr>
              <w:t>项目</w:t>
            </w:r>
            <w:r>
              <w:rPr>
                <w:rFonts w:hint="eastAsia" w:ascii="宋体" w:hAnsi="宋体" w:eastAsia="宋体" w:cs="宋体"/>
                <w:lang w:eastAsia="zh-CN"/>
              </w:rPr>
              <w:t>塑粉用量为</w:t>
            </w:r>
            <w:r>
              <w:rPr>
                <w:rFonts w:hint="eastAsia" w:ascii="宋体" w:hAnsi="宋体" w:eastAsia="宋体" w:cs="宋体"/>
                <w:lang w:val="en-US" w:eastAsia="zh-CN"/>
              </w:rPr>
              <w:t>20t/a，</w:t>
            </w:r>
            <w:r>
              <w:rPr>
                <w:rFonts w:hint="eastAsia" w:ascii="宋体" w:hAnsi="宋体" w:eastAsia="宋体" w:cs="宋体"/>
              </w:rPr>
              <w:t>则固化过程非甲烷总烃产生量为0.0</w:t>
            </w:r>
            <w:r>
              <w:rPr>
                <w:rFonts w:hint="eastAsia" w:ascii="宋体" w:hAnsi="宋体" w:eastAsia="宋体" w:cs="宋体"/>
                <w:lang w:val="en-US" w:eastAsia="zh-CN"/>
              </w:rPr>
              <w:t>24</w:t>
            </w:r>
            <w:r>
              <w:rPr>
                <w:rFonts w:hint="eastAsia" w:ascii="宋体" w:hAnsi="宋体" w:eastAsia="宋体" w:cs="宋体"/>
              </w:rPr>
              <w:t>t/a。</w:t>
            </w:r>
          </w:p>
          <w:p w14:paraId="25E411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eastAsia" w:ascii="宋体" w:hAnsi="宋体" w:eastAsia="宋体" w:cs="宋体"/>
              </w:rPr>
            </w:pPr>
            <w:r>
              <w:rPr>
                <w:rFonts w:hint="eastAsia" w:ascii="宋体" w:hAnsi="宋体" w:eastAsia="宋体" w:cs="宋体"/>
              </w:rPr>
              <w:t>本项目拟在烘</w:t>
            </w:r>
            <w:r>
              <w:rPr>
                <w:rFonts w:hint="eastAsia" w:ascii="宋体" w:hAnsi="宋体" w:eastAsia="宋体" w:cs="宋体"/>
                <w:lang w:val="en-US" w:eastAsia="zh-CN"/>
              </w:rPr>
              <w:t>道进口、出口处</w:t>
            </w:r>
            <w:r>
              <w:rPr>
                <w:rFonts w:hint="eastAsia" w:ascii="宋体" w:hAnsi="宋体" w:eastAsia="宋体" w:cs="宋体"/>
              </w:rPr>
              <w:t>安装集气罩由引风机将非甲烷总烃废气收集进入</w:t>
            </w:r>
            <w:r>
              <w:rPr>
                <w:rFonts w:hint="eastAsia" w:ascii="宋体" w:hAnsi="宋体" w:eastAsia="宋体" w:cs="宋体"/>
                <w:lang w:val="en-US" w:eastAsia="zh-CN"/>
              </w:rPr>
              <w:t>水喷淋+</w:t>
            </w:r>
            <w:r>
              <w:rPr>
                <w:rFonts w:hint="eastAsia" w:ascii="宋体" w:hAnsi="宋体" w:eastAsia="宋体" w:cs="宋体"/>
              </w:rPr>
              <w:t>二级活性炭吸附处理后通过1个15米排气筒（DA00</w:t>
            </w:r>
            <w:r>
              <w:rPr>
                <w:rFonts w:hint="eastAsia" w:ascii="宋体" w:hAnsi="宋体" w:eastAsia="宋体" w:cs="宋体"/>
                <w:lang w:val="en-US" w:eastAsia="zh-CN"/>
              </w:rPr>
              <w:t>5</w:t>
            </w:r>
            <w:r>
              <w:rPr>
                <w:rFonts w:hint="eastAsia" w:ascii="宋体" w:hAnsi="宋体" w:eastAsia="宋体" w:cs="宋体"/>
              </w:rPr>
              <w:t>）排放。集气罩收集效率为90%，有组织非甲烷总烃产生量为</w:t>
            </w:r>
            <w:r>
              <w:rPr>
                <w:rFonts w:hint="eastAsia" w:ascii="宋体" w:hAnsi="宋体" w:eastAsia="宋体" w:cs="宋体"/>
                <w:lang w:val="en-US" w:eastAsia="zh-CN"/>
              </w:rPr>
              <w:t>0.022</w:t>
            </w:r>
            <w:r>
              <w:rPr>
                <w:rFonts w:hint="eastAsia" w:ascii="宋体" w:hAnsi="宋体" w:eastAsia="宋体" w:cs="宋体"/>
              </w:rPr>
              <w:t>t/a（0.</w:t>
            </w:r>
            <w:r>
              <w:rPr>
                <w:rFonts w:hint="eastAsia" w:ascii="宋体" w:hAnsi="宋体" w:eastAsia="宋体" w:cs="宋体"/>
                <w:lang w:val="en-US" w:eastAsia="zh-CN"/>
              </w:rPr>
              <w:t>011</w:t>
            </w:r>
            <w:r>
              <w:rPr>
                <w:rFonts w:hint="eastAsia" w:ascii="宋体" w:hAnsi="宋体" w:eastAsia="宋体" w:cs="宋体"/>
              </w:rPr>
              <w:t>kg/h），无组织非甲烷总烃排放量为0.</w:t>
            </w:r>
            <w:r>
              <w:rPr>
                <w:rFonts w:hint="eastAsia" w:ascii="宋体" w:hAnsi="宋体" w:eastAsia="宋体" w:cs="宋体"/>
                <w:lang w:val="en-US" w:eastAsia="zh-CN"/>
              </w:rPr>
              <w:t>002</w:t>
            </w:r>
            <w:r>
              <w:rPr>
                <w:rFonts w:hint="eastAsia" w:ascii="宋体" w:hAnsi="宋体" w:eastAsia="宋体" w:cs="宋体"/>
              </w:rPr>
              <w:t>t/a。风机风量为</w:t>
            </w:r>
            <w:r>
              <w:rPr>
                <w:rFonts w:hint="eastAsia" w:ascii="宋体" w:hAnsi="宋体" w:eastAsia="宋体" w:cs="宋体"/>
                <w:lang w:val="en-US" w:eastAsia="zh-CN"/>
              </w:rPr>
              <w:t>10</w:t>
            </w:r>
            <w:r>
              <w:rPr>
                <w:rFonts w:hint="eastAsia" w:ascii="宋体" w:hAnsi="宋体" w:eastAsia="宋体" w:cs="宋体"/>
              </w:rPr>
              <w:t>000m</w:t>
            </w:r>
            <w:r>
              <w:rPr>
                <w:rFonts w:hint="eastAsia" w:ascii="宋体" w:hAnsi="宋体" w:eastAsia="宋体" w:cs="宋体"/>
                <w:vertAlign w:val="superscript"/>
              </w:rPr>
              <w:t>3</w:t>
            </w:r>
            <w:r>
              <w:rPr>
                <w:rFonts w:hint="eastAsia" w:ascii="宋体" w:hAnsi="宋体" w:eastAsia="宋体" w:cs="宋体"/>
              </w:rPr>
              <w:t>/h，</w:t>
            </w:r>
            <w:r>
              <w:rPr>
                <w:rFonts w:hint="eastAsia" w:ascii="宋体" w:hAnsi="宋体" w:eastAsia="宋体" w:cs="宋体"/>
                <w:lang w:eastAsia="zh-CN"/>
              </w:rPr>
              <w:t>二级活性炭吸附效率为</w:t>
            </w:r>
            <w:r>
              <w:rPr>
                <w:rFonts w:hint="eastAsia" w:ascii="宋体" w:hAnsi="宋体" w:eastAsia="宋体" w:cs="宋体"/>
                <w:lang w:val="en-US" w:eastAsia="zh-CN"/>
              </w:rPr>
              <w:t>90%，</w:t>
            </w:r>
            <w:r>
              <w:rPr>
                <w:rFonts w:hint="eastAsia" w:ascii="宋体" w:hAnsi="宋体" w:eastAsia="宋体" w:cs="宋体"/>
              </w:rPr>
              <w:t>则有组织</w:t>
            </w:r>
            <w:r>
              <w:rPr>
                <w:rFonts w:hint="eastAsia" w:ascii="宋体" w:hAnsi="宋体" w:eastAsia="宋体" w:cs="宋体"/>
                <w:lang w:eastAsia="zh-CN"/>
              </w:rPr>
              <w:t>非甲烷总烃</w:t>
            </w:r>
            <w:r>
              <w:rPr>
                <w:rFonts w:hint="eastAsia" w:ascii="宋体" w:hAnsi="宋体" w:eastAsia="宋体" w:cs="宋体"/>
              </w:rPr>
              <w:t>排放量为</w:t>
            </w:r>
            <w:r>
              <w:rPr>
                <w:rFonts w:hint="eastAsia" w:ascii="宋体" w:hAnsi="宋体" w:eastAsia="宋体" w:cs="宋体"/>
                <w:lang w:val="en-US" w:eastAsia="zh-CN"/>
              </w:rPr>
              <w:t>0.002</w:t>
            </w:r>
            <w:r>
              <w:rPr>
                <w:rFonts w:hint="eastAsia" w:ascii="宋体" w:hAnsi="宋体" w:eastAsia="宋体" w:cs="宋体"/>
              </w:rPr>
              <w:t>t/a（0.</w:t>
            </w:r>
            <w:r>
              <w:rPr>
                <w:rFonts w:hint="eastAsia" w:ascii="宋体" w:hAnsi="宋体" w:eastAsia="宋体" w:cs="宋体"/>
                <w:lang w:val="en-US" w:eastAsia="zh-CN"/>
              </w:rPr>
              <w:t>001</w:t>
            </w:r>
            <w:r>
              <w:rPr>
                <w:rFonts w:hint="eastAsia" w:ascii="宋体" w:hAnsi="宋体" w:eastAsia="宋体" w:cs="宋体"/>
              </w:rPr>
              <w:t>kg/h），排放浓度为</w:t>
            </w:r>
            <w:r>
              <w:rPr>
                <w:rFonts w:hint="eastAsia" w:ascii="宋体" w:hAnsi="宋体" w:eastAsia="宋体" w:cs="宋体"/>
                <w:lang w:val="en-US" w:eastAsia="zh-CN"/>
              </w:rPr>
              <w:t>0.1</w:t>
            </w:r>
            <w:r>
              <w:rPr>
                <w:rFonts w:hint="eastAsia" w:ascii="宋体" w:hAnsi="宋体" w:eastAsia="宋体" w:cs="宋体"/>
              </w:rPr>
              <w:t>mg/m</w:t>
            </w:r>
            <w:r>
              <w:rPr>
                <w:rFonts w:hint="eastAsia" w:ascii="宋体" w:hAnsi="宋体" w:eastAsia="宋体" w:cs="宋体"/>
                <w:vertAlign w:val="superscript"/>
              </w:rPr>
              <w:t>3</w:t>
            </w:r>
            <w:r>
              <w:rPr>
                <w:rFonts w:hint="eastAsia" w:ascii="宋体" w:hAnsi="宋体" w:eastAsia="宋体" w:cs="宋体"/>
              </w:rPr>
              <w:t>。</w:t>
            </w:r>
          </w:p>
          <w:p w14:paraId="57DE55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eastAsia" w:ascii="宋体" w:hAnsi="宋体" w:eastAsia="宋体" w:cs="宋体"/>
              </w:rPr>
            </w:pPr>
            <w:r>
              <w:rPr>
                <w:rFonts w:hint="eastAsia" w:ascii="宋体" w:hAnsi="宋体" w:eastAsia="宋体" w:cs="宋体"/>
                <w:sz w:val="24"/>
                <w:szCs w:val="24"/>
                <w:lang w:val="en-US" w:eastAsia="zh-CN"/>
              </w:rPr>
              <w:t>无组织非甲烷总烃排放量为0.002t/a。</w:t>
            </w:r>
          </w:p>
          <w:p w14:paraId="14F2AC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eastAsia" w:ascii="宋体" w:hAnsi="宋体" w:eastAsia="宋体" w:cs="宋体"/>
                <w:lang w:eastAsia="zh-CN"/>
              </w:rPr>
            </w:pPr>
            <w:r>
              <w:rPr>
                <w:rFonts w:hint="eastAsia" w:ascii="宋体" w:hAnsi="宋体" w:eastAsia="宋体" w:cs="宋体"/>
              </w:rPr>
              <w:t>⑶喷砂废气</w:t>
            </w:r>
            <w:r>
              <w:rPr>
                <w:rFonts w:hint="eastAsia" w:ascii="宋体" w:hAnsi="宋体" w:eastAsia="宋体" w:cs="宋体"/>
                <w:lang w:eastAsia="zh-CN"/>
              </w:rPr>
              <w:t>（</w:t>
            </w:r>
            <w:r>
              <w:rPr>
                <w:rFonts w:hint="eastAsia" w:ascii="宋体" w:hAnsi="宋体" w:eastAsia="宋体" w:cs="宋体"/>
                <w:lang w:val="en-US" w:eastAsia="zh-CN"/>
              </w:rPr>
              <w:t>颗粒物</w:t>
            </w:r>
            <w:r>
              <w:rPr>
                <w:rFonts w:hint="eastAsia" w:ascii="宋体" w:hAnsi="宋体" w:eastAsia="宋体" w:cs="宋体"/>
                <w:lang w:eastAsia="zh-CN"/>
              </w:rPr>
              <w:t>）</w:t>
            </w:r>
          </w:p>
          <w:p w14:paraId="73EE27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eastAsia" w:ascii="宋体" w:hAnsi="宋体" w:eastAsia="宋体" w:cs="宋体"/>
              </w:rPr>
            </w:pPr>
            <w:r>
              <w:rPr>
                <w:rFonts w:hint="eastAsia" w:ascii="宋体" w:hAnsi="宋体" w:eastAsia="宋体" w:cs="宋体"/>
              </w:rPr>
              <w:t>本项目</w:t>
            </w:r>
            <w:r>
              <w:rPr>
                <w:rFonts w:hint="eastAsia" w:ascii="宋体" w:hAnsi="宋体" w:eastAsia="宋体" w:cs="宋体"/>
                <w:lang w:val="en-US" w:eastAsia="zh-CN"/>
              </w:rPr>
              <w:t>进场钢材50%进行表面预处理，50%进行喷砂加工，则</w:t>
            </w:r>
            <w:r>
              <w:rPr>
                <w:rFonts w:hint="eastAsia" w:ascii="宋体" w:hAnsi="宋体" w:eastAsia="宋体" w:cs="宋体"/>
              </w:rPr>
              <w:t>喷砂量为</w:t>
            </w:r>
            <w:r>
              <w:rPr>
                <w:rFonts w:hint="eastAsia" w:ascii="宋体" w:hAnsi="宋体" w:eastAsia="宋体" w:cs="宋体"/>
                <w:lang w:val="en-US" w:eastAsia="zh-CN"/>
              </w:rPr>
              <w:t>500</w:t>
            </w:r>
            <w:r>
              <w:rPr>
                <w:rFonts w:hint="eastAsia" w:ascii="宋体" w:hAnsi="宋体" w:eastAsia="宋体" w:cs="宋体"/>
              </w:rPr>
              <w:t>t/a，根据</w:t>
            </w:r>
            <w:r>
              <w:rPr>
                <w:rFonts w:hint="eastAsia" w:ascii="宋体" w:hAnsi="宋体" w:eastAsia="宋体" w:cs="宋体"/>
              </w:rPr>
              <w:fldChar w:fldCharType="begin"/>
            </w:r>
            <w:r>
              <w:rPr>
                <w:rFonts w:hint="eastAsia" w:ascii="宋体" w:hAnsi="宋体" w:eastAsia="宋体" w:cs="宋体"/>
              </w:rPr>
              <w:instrText xml:space="preserve"> HYPERLINK "https://www.so.com/link?m=bDfDHHMk5RsfvMWdxhSzT6xRzBZ28s5qnFgg7Loijo9AIUhdKP08DnK+K2mE55R6VhMDXbOW970tY6IbEjK8pkGUpnpM+msG4MHU/rr86MbxIv2mlT7RI6l5hWQrHvbsCEAHp9XihkZKvX1GDai+XU9OCfPbr6LXI3xG5w3+gfQxIkO1jTNxezrSHxKFms6/L80Nk+80x63K5se2WmJtC517Mq1iX291V2Q1swWTAbFr2IJv0cdmx4vCufQPKCitvsd5V2V1phALmn2dx6ViQP/AqX75ASipbXVUlG8JeV3dUQf5ImZO2igzL7Jiv6G5NqHPaSbTWXKrDw3fn" \t "https://www.so.com/_blank" </w:instrText>
            </w:r>
            <w:r>
              <w:rPr>
                <w:rFonts w:hint="eastAsia" w:ascii="宋体" w:hAnsi="宋体" w:eastAsia="宋体" w:cs="宋体"/>
              </w:rPr>
              <w:fldChar w:fldCharType="separate"/>
            </w:r>
            <w:r>
              <w:rPr>
                <w:rFonts w:hint="eastAsia" w:ascii="宋体" w:hAnsi="宋体" w:eastAsia="宋体" w:cs="宋体"/>
              </w:rPr>
              <w:t>全国第二次污染源普查《工业源产排污核算方法和系数手册</w:t>
            </w:r>
            <w:r>
              <w:rPr>
                <w:rFonts w:hint="eastAsia" w:ascii="宋体" w:hAnsi="宋体" w:eastAsia="宋体" w:cs="宋体"/>
              </w:rPr>
              <w:fldChar w:fldCharType="end"/>
            </w:r>
            <w:r>
              <w:rPr>
                <w:rFonts w:hint="eastAsia" w:ascii="宋体" w:hAnsi="宋体" w:eastAsia="宋体" w:cs="宋体"/>
              </w:rPr>
              <w:t>》中机械行业系数手册，喷砂颗粒物产生系数为2.19千克/吨-原料，因此喷砂粉尘产生量为</w:t>
            </w:r>
            <w:r>
              <w:rPr>
                <w:rFonts w:hint="eastAsia" w:ascii="宋体" w:hAnsi="宋体" w:eastAsia="宋体" w:cs="宋体"/>
                <w:lang w:val="en-US" w:eastAsia="zh-CN"/>
              </w:rPr>
              <w:t>1.095</w:t>
            </w:r>
            <w:r>
              <w:rPr>
                <w:rFonts w:hint="eastAsia" w:ascii="宋体" w:hAnsi="宋体" w:eastAsia="宋体" w:cs="宋体"/>
              </w:rPr>
              <w:t>t/a，</w:t>
            </w:r>
            <w:r>
              <w:rPr>
                <w:rFonts w:hint="eastAsia" w:ascii="宋体" w:hAnsi="宋体" w:eastAsia="宋体" w:cs="宋体"/>
                <w:lang w:val="en-US" w:eastAsia="zh-CN"/>
              </w:rPr>
              <w:t>喷砂机密闭运行，产生的颗粒物</w:t>
            </w:r>
            <w:r>
              <w:rPr>
                <w:rFonts w:hint="eastAsia" w:ascii="宋体" w:hAnsi="宋体" w:eastAsia="宋体" w:cs="宋体"/>
              </w:rPr>
              <w:t>经引风机引入脉冲式布袋除尘器处理后，通过1个15m排气筒（DA00</w:t>
            </w:r>
            <w:r>
              <w:rPr>
                <w:rFonts w:hint="eastAsia" w:ascii="宋体" w:hAnsi="宋体" w:eastAsia="宋体" w:cs="宋体"/>
                <w:lang w:val="en-US" w:eastAsia="zh-CN"/>
              </w:rPr>
              <w:t>3</w:t>
            </w:r>
            <w:r>
              <w:rPr>
                <w:rFonts w:hint="eastAsia" w:ascii="宋体" w:hAnsi="宋体" w:eastAsia="宋体" w:cs="宋体"/>
              </w:rPr>
              <w:t>）排放。</w:t>
            </w:r>
          </w:p>
          <w:p w14:paraId="64224D69">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rPr>
              <w:t>⑷</w:t>
            </w:r>
            <w:r>
              <w:rPr>
                <w:rFonts w:hint="eastAsia" w:ascii="宋体" w:hAnsi="宋体" w:eastAsia="宋体" w:cs="宋体"/>
                <w:lang w:val="en-US" w:eastAsia="zh-CN"/>
              </w:rPr>
              <w:t>打磨废气（颗粒物）</w:t>
            </w:r>
          </w:p>
          <w:p w14:paraId="56C3BC86">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本项目打磨产生颗粒物，根据</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https://www.so.com/link?m=bDfDHHMk5RsfvMWdxhSzT6xRzBZ28s5qnFgg7Loijo9AIUhdKP08DnK+K2mE55R6VhMDXbOW970tY6IbEjK8pkGUpnpM+msG4MHU/rr86MbxIv2mlT7RI6l5hWQrHvbsCEAHp9XihkZKvX1GDai+XU9OCfPbr6LXI3xG5w3+gfQxIkO1jTNxezrSHxKFms6/L80Nk+80x63K5se2WmJtC517Mq1iX291V2Q1swWTAbFr2IJv0cdmx4vCufQPKCitvsd5V2V1phALmn2dx6ViQP/AqX75ASipbXVUlG8JeV3dUQf5ImZO2igzL7Jiv6G5NqHPaSbTWXKrDw3fn" \t "https://www.so.com/_blank"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全国第二次污染源普查《工业源产排污核算方法和系数手册</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t>》中机械行业系数手册，打磨工段颗粒物产生系数为2.19千克/吨-原料，本项目表面预处理后的工件需进行打磨，打磨量约500吨/年，因此打磨粉尘产生量为1.095t/a。项目拟在打磨工段上方安装集气罩收集，经引风机引入脉冲式布袋除尘器处理后，通过1个15m排气筒（DA003）排放。集气罩收集效率为90%，则打磨工段有组织颗粒物产生量为0.985t/a，无组织颗粒物产生量为0.11t/a。</w:t>
            </w:r>
          </w:p>
          <w:p w14:paraId="632B4728">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综上，本项目喷砂、打磨产生的颗粒物收集后经脉冲式布袋除尘器处理后通过1个15m排气筒（DA003）排放，则有组织颗粒物产生</w:t>
            </w:r>
            <w:r>
              <w:rPr>
                <w:rFonts w:hint="eastAsia" w:ascii="宋体" w:hAnsi="宋体" w:eastAsia="宋体" w:cs="宋体"/>
                <w:color w:val="000000" w:themeColor="text1"/>
                <w:sz w:val="24"/>
                <w:szCs w:val="24"/>
                <w:lang w:val="en-US" w:eastAsia="zh-CN"/>
                <w14:textFill>
                  <w14:solidFill>
                    <w14:schemeClr w14:val="tx1"/>
                  </w14:solidFill>
                </w14:textFill>
              </w:rPr>
              <w:t>量共计2.08t/a。脉</w:t>
            </w:r>
            <w:r>
              <w:rPr>
                <w:rFonts w:hint="eastAsia" w:ascii="宋体" w:hAnsi="宋体" w:eastAsia="宋体" w:cs="宋体"/>
                <w:sz w:val="24"/>
                <w:szCs w:val="24"/>
                <w:lang w:val="en-US" w:eastAsia="zh-CN"/>
              </w:rPr>
              <w:t>冲式布袋除尘器处理效率为95%，风机风量为6000m</w:t>
            </w:r>
            <w:r>
              <w:rPr>
                <w:rFonts w:hint="eastAsia" w:ascii="宋体" w:hAnsi="宋体" w:eastAsia="宋体" w:cs="宋体"/>
                <w:sz w:val="24"/>
                <w:szCs w:val="24"/>
                <w:vertAlign w:val="superscript"/>
                <w:lang w:val="en-US" w:eastAsia="zh-CN"/>
              </w:rPr>
              <w:t>3</w:t>
            </w:r>
            <w:r>
              <w:rPr>
                <w:rFonts w:hint="eastAsia" w:ascii="宋体" w:hAnsi="宋体" w:eastAsia="宋体" w:cs="宋体"/>
                <w:sz w:val="24"/>
                <w:szCs w:val="24"/>
                <w:lang w:val="en-US" w:eastAsia="zh-CN"/>
              </w:rPr>
              <w:t>/h。则有组织颗粒物排放量为0.104t/a（0.052kg/h），排放浓度为8.6mg/m</w:t>
            </w:r>
            <w:r>
              <w:rPr>
                <w:rFonts w:hint="eastAsia" w:ascii="宋体" w:hAnsi="宋体" w:eastAsia="宋体" w:cs="宋体"/>
                <w:sz w:val="24"/>
                <w:szCs w:val="24"/>
                <w:vertAlign w:val="superscript"/>
                <w:lang w:val="en-US" w:eastAsia="zh-CN"/>
              </w:rPr>
              <w:t>3</w:t>
            </w:r>
            <w:r>
              <w:rPr>
                <w:rFonts w:hint="eastAsia" w:ascii="宋体" w:hAnsi="宋体" w:eastAsia="宋体" w:cs="宋体"/>
                <w:sz w:val="24"/>
                <w:szCs w:val="24"/>
                <w:lang w:val="en-US" w:eastAsia="zh-CN"/>
              </w:rPr>
              <w:t>。</w:t>
            </w:r>
          </w:p>
          <w:p w14:paraId="0D9989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⑸天然气燃烧废气</w:t>
            </w:r>
          </w:p>
          <w:p w14:paraId="5C3F6EA7">
            <w:pPr>
              <w:pStyle w:val="6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b w:val="0"/>
                <w:bCs w:val="0"/>
                <w:spacing w:val="-3"/>
                <w:sz w:val="24"/>
                <w:szCs w:val="24"/>
                <w:lang w:val="en-US" w:eastAsia="zh-CN"/>
              </w:rPr>
            </w:pPr>
            <w:r>
              <w:rPr>
                <w:rFonts w:hint="eastAsia" w:ascii="宋体" w:hAnsi="宋体" w:eastAsia="宋体" w:cs="宋体"/>
                <w:bCs/>
                <w:sz w:val="24"/>
                <w:szCs w:val="24"/>
              </w:rPr>
              <w:t>项目年用天然气</w:t>
            </w:r>
            <w:r>
              <w:rPr>
                <w:rFonts w:hint="eastAsia" w:ascii="宋体" w:hAnsi="宋体" w:eastAsia="宋体" w:cs="宋体"/>
                <w:bCs/>
                <w:sz w:val="24"/>
                <w:szCs w:val="24"/>
                <w:lang w:val="en-US" w:eastAsia="zh-CN"/>
              </w:rPr>
              <w:t>1</w:t>
            </w:r>
            <w:r>
              <w:rPr>
                <w:rFonts w:hint="eastAsia" w:ascii="宋体" w:hAnsi="宋体" w:eastAsia="宋体" w:cs="宋体"/>
                <w:bCs/>
                <w:sz w:val="24"/>
                <w:szCs w:val="24"/>
              </w:rPr>
              <w:t>0万m</w:t>
            </w:r>
            <w:r>
              <w:rPr>
                <w:rFonts w:hint="eastAsia" w:ascii="宋体" w:hAnsi="宋体" w:eastAsia="宋体" w:cs="宋体"/>
                <w:bCs/>
                <w:sz w:val="24"/>
                <w:szCs w:val="24"/>
                <w:vertAlign w:val="superscript"/>
              </w:rPr>
              <w:t>3</w:t>
            </w:r>
            <w:r>
              <w:rPr>
                <w:rFonts w:hint="eastAsia" w:ascii="宋体" w:hAnsi="宋体" w:eastAsia="宋体" w:cs="宋体"/>
                <w:bCs/>
                <w:sz w:val="24"/>
                <w:szCs w:val="24"/>
              </w:rPr>
              <w:t>/a，</w:t>
            </w:r>
            <w:r>
              <w:rPr>
                <w:rFonts w:hint="eastAsia" w:ascii="宋体" w:hAnsi="宋体" w:eastAsia="宋体" w:cs="宋体"/>
                <w:b w:val="0"/>
                <w:bCs w:val="0"/>
                <w:spacing w:val="-3"/>
                <w:sz w:val="24"/>
                <w:szCs w:val="24"/>
                <w:lang w:val="en-US" w:eastAsia="zh-CN"/>
              </w:rPr>
              <w:t>根据《排放源统计调查产排污核算方法和系数手册（公告2021年第24号）》，项目天然气燃烧废气参考 C33-C37 行业中 14</w:t>
            </w:r>
            <w:r>
              <w:rPr>
                <w:rFonts w:hint="eastAsia" w:cs="宋体"/>
                <w:b w:val="0"/>
                <w:bCs w:val="0"/>
                <w:spacing w:val="-3"/>
                <w:sz w:val="24"/>
                <w:szCs w:val="24"/>
                <w:lang w:val="en-US" w:eastAsia="zh-CN"/>
              </w:rPr>
              <w:t>、</w:t>
            </w:r>
            <w:r>
              <w:rPr>
                <w:rFonts w:hint="eastAsia" w:ascii="宋体" w:hAnsi="宋体" w:eastAsia="宋体" w:cs="宋体"/>
                <w:b w:val="0"/>
                <w:bCs w:val="0"/>
                <w:spacing w:val="-3"/>
                <w:sz w:val="24"/>
                <w:szCs w:val="24"/>
                <w:lang w:val="en-US" w:eastAsia="zh-CN"/>
              </w:rPr>
              <w:t>涂装核算环节的废气产污系数，各污染物产生情况见下表。</w:t>
            </w:r>
          </w:p>
          <w:p w14:paraId="4C2B4949">
            <w:pPr>
              <w:pStyle w:val="6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rPr>
            </w:pPr>
            <w:r>
              <w:rPr>
                <w:rFonts w:hint="eastAsia" w:ascii="宋体" w:hAnsi="宋体" w:eastAsia="宋体" w:cs="宋体"/>
                <w:b/>
                <w:bCs/>
                <w:sz w:val="24"/>
                <w:szCs w:val="24"/>
              </w:rPr>
              <w:t>表</w:t>
            </w:r>
            <w:r>
              <w:rPr>
                <w:rFonts w:hint="eastAsia" w:ascii="宋体" w:hAnsi="宋体" w:eastAsia="宋体" w:cs="宋体"/>
                <w:b/>
                <w:bCs/>
                <w:spacing w:val="-45"/>
                <w:sz w:val="24"/>
                <w:szCs w:val="24"/>
              </w:rPr>
              <w:t xml:space="preserve"> </w:t>
            </w:r>
            <w:r>
              <w:rPr>
                <w:rFonts w:hint="eastAsia" w:ascii="宋体" w:hAnsi="宋体" w:eastAsia="宋体" w:cs="宋体"/>
                <w:b/>
                <w:bCs/>
                <w:sz w:val="24"/>
                <w:szCs w:val="24"/>
              </w:rPr>
              <w:t>4-</w:t>
            </w: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 xml:space="preserve"> C33-C37 行业核算环节产污系数（摘录）</w:t>
            </w:r>
          </w:p>
          <w:tbl>
            <w:tblPr>
              <w:tblStyle w:val="78"/>
              <w:tblW w:w="8415"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55"/>
              <w:gridCol w:w="924"/>
              <w:gridCol w:w="1132"/>
              <w:gridCol w:w="710"/>
              <w:gridCol w:w="1274"/>
              <w:gridCol w:w="2125"/>
              <w:gridCol w:w="1495"/>
            </w:tblGrid>
            <w:tr w14:paraId="03DE88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2" w:hRule="atLeast"/>
                <w:jc w:val="center"/>
              </w:trPr>
              <w:tc>
                <w:tcPr>
                  <w:tcW w:w="755" w:type="dxa"/>
                  <w:tcBorders>
                    <w:tl2br w:val="nil"/>
                    <w:tr2bl w:val="nil"/>
                  </w:tcBorders>
                  <w:noWrap w:val="0"/>
                  <w:vAlign w:val="center"/>
                </w:tcPr>
                <w:p w14:paraId="10D32B42">
                  <w:pPr>
                    <w:pStyle w:val="64"/>
                    <w:keepNext w:val="0"/>
                    <w:keepLines w:val="0"/>
                    <w:pageBreakBefore w:val="0"/>
                    <w:widowControl w:val="0"/>
                    <w:kinsoku/>
                    <w:wordWrap/>
                    <w:overflowPunct/>
                    <w:topLinePunct w:val="0"/>
                    <w:autoSpaceDE/>
                    <w:autoSpaceDN/>
                    <w:bidi w:val="0"/>
                    <w:adjustRightInd w:val="0"/>
                    <w:snapToGrid w:val="0"/>
                    <w:spacing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pacing w:val="-3"/>
                      <w:sz w:val="21"/>
                      <w:szCs w:val="21"/>
                    </w:rPr>
                    <w:t>原料</w:t>
                  </w:r>
                </w:p>
              </w:tc>
              <w:tc>
                <w:tcPr>
                  <w:tcW w:w="924" w:type="dxa"/>
                  <w:tcBorders>
                    <w:tl2br w:val="nil"/>
                    <w:tr2bl w:val="nil"/>
                  </w:tcBorders>
                  <w:noWrap w:val="0"/>
                  <w:vAlign w:val="center"/>
                </w:tcPr>
                <w:p w14:paraId="7818CE49">
                  <w:pPr>
                    <w:pStyle w:val="64"/>
                    <w:keepNext w:val="0"/>
                    <w:keepLines w:val="0"/>
                    <w:pageBreakBefore w:val="0"/>
                    <w:widowControl w:val="0"/>
                    <w:kinsoku/>
                    <w:wordWrap/>
                    <w:overflowPunct/>
                    <w:topLinePunct w:val="0"/>
                    <w:autoSpaceDE/>
                    <w:autoSpaceDN/>
                    <w:bidi w:val="0"/>
                    <w:adjustRightInd w:val="0"/>
                    <w:snapToGrid w:val="0"/>
                    <w:spacing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pacing w:val="-3"/>
                      <w:sz w:val="21"/>
                      <w:szCs w:val="21"/>
                    </w:rPr>
                    <w:t>工艺</w:t>
                  </w:r>
                </w:p>
              </w:tc>
              <w:tc>
                <w:tcPr>
                  <w:tcW w:w="1132" w:type="dxa"/>
                  <w:tcBorders>
                    <w:tl2br w:val="nil"/>
                    <w:tr2bl w:val="nil"/>
                  </w:tcBorders>
                  <w:noWrap w:val="0"/>
                  <w:vAlign w:val="center"/>
                </w:tcPr>
                <w:p w14:paraId="40B10053">
                  <w:pPr>
                    <w:pStyle w:val="64"/>
                    <w:keepNext w:val="0"/>
                    <w:keepLines w:val="0"/>
                    <w:pageBreakBefore w:val="0"/>
                    <w:widowControl w:val="0"/>
                    <w:kinsoku/>
                    <w:wordWrap/>
                    <w:overflowPunct/>
                    <w:topLinePunct w:val="0"/>
                    <w:autoSpaceDE/>
                    <w:autoSpaceDN/>
                    <w:bidi w:val="0"/>
                    <w:adjustRightInd w:val="0"/>
                    <w:snapToGrid w:val="0"/>
                    <w:spacing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pacing w:val="-2"/>
                      <w:sz w:val="21"/>
                      <w:szCs w:val="21"/>
                    </w:rPr>
                    <w:t>规模等级</w:t>
                  </w:r>
                </w:p>
              </w:tc>
              <w:tc>
                <w:tcPr>
                  <w:tcW w:w="1984" w:type="dxa"/>
                  <w:gridSpan w:val="2"/>
                  <w:tcBorders>
                    <w:tl2br w:val="nil"/>
                    <w:tr2bl w:val="nil"/>
                  </w:tcBorders>
                  <w:noWrap w:val="0"/>
                  <w:vAlign w:val="center"/>
                </w:tcPr>
                <w:p w14:paraId="4C9DDBF7">
                  <w:pPr>
                    <w:pStyle w:val="64"/>
                    <w:keepNext w:val="0"/>
                    <w:keepLines w:val="0"/>
                    <w:pageBreakBefore w:val="0"/>
                    <w:widowControl w:val="0"/>
                    <w:kinsoku/>
                    <w:wordWrap/>
                    <w:overflowPunct/>
                    <w:topLinePunct w:val="0"/>
                    <w:autoSpaceDE/>
                    <w:autoSpaceDN/>
                    <w:bidi w:val="0"/>
                    <w:adjustRightInd w:val="0"/>
                    <w:snapToGrid w:val="0"/>
                    <w:spacing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pacing w:val="-2"/>
                      <w:sz w:val="21"/>
                      <w:szCs w:val="21"/>
                    </w:rPr>
                    <w:t>污染物指标</w:t>
                  </w:r>
                </w:p>
              </w:tc>
              <w:tc>
                <w:tcPr>
                  <w:tcW w:w="2125" w:type="dxa"/>
                  <w:tcBorders>
                    <w:tl2br w:val="nil"/>
                    <w:tr2bl w:val="nil"/>
                  </w:tcBorders>
                  <w:noWrap w:val="0"/>
                  <w:vAlign w:val="center"/>
                </w:tcPr>
                <w:p w14:paraId="68118B86">
                  <w:pPr>
                    <w:pStyle w:val="64"/>
                    <w:keepNext w:val="0"/>
                    <w:keepLines w:val="0"/>
                    <w:pageBreakBefore w:val="0"/>
                    <w:widowControl w:val="0"/>
                    <w:kinsoku/>
                    <w:wordWrap/>
                    <w:overflowPunct/>
                    <w:topLinePunct w:val="0"/>
                    <w:autoSpaceDE/>
                    <w:autoSpaceDN/>
                    <w:bidi w:val="0"/>
                    <w:adjustRightInd w:val="0"/>
                    <w:snapToGrid w:val="0"/>
                    <w:spacing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pacing w:val="-3"/>
                      <w:sz w:val="21"/>
                      <w:szCs w:val="21"/>
                    </w:rPr>
                    <w:t>系数单位</w:t>
                  </w:r>
                </w:p>
              </w:tc>
              <w:tc>
                <w:tcPr>
                  <w:tcW w:w="1495" w:type="dxa"/>
                  <w:tcBorders>
                    <w:tl2br w:val="nil"/>
                    <w:tr2bl w:val="nil"/>
                  </w:tcBorders>
                  <w:noWrap w:val="0"/>
                  <w:vAlign w:val="center"/>
                </w:tcPr>
                <w:p w14:paraId="0C9AE5C3">
                  <w:pPr>
                    <w:pStyle w:val="64"/>
                    <w:keepNext w:val="0"/>
                    <w:keepLines w:val="0"/>
                    <w:pageBreakBefore w:val="0"/>
                    <w:widowControl w:val="0"/>
                    <w:kinsoku/>
                    <w:wordWrap/>
                    <w:overflowPunct/>
                    <w:topLinePunct w:val="0"/>
                    <w:autoSpaceDE/>
                    <w:autoSpaceDN/>
                    <w:bidi w:val="0"/>
                    <w:adjustRightInd w:val="0"/>
                    <w:snapToGrid w:val="0"/>
                    <w:spacing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pacing w:val="-2"/>
                      <w:sz w:val="21"/>
                      <w:szCs w:val="21"/>
                    </w:rPr>
                    <w:t>产污系数</w:t>
                  </w:r>
                </w:p>
              </w:tc>
            </w:tr>
            <w:tr w14:paraId="403A14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755" w:type="dxa"/>
                  <w:vMerge w:val="restart"/>
                  <w:tcBorders>
                    <w:tl2br w:val="nil"/>
                    <w:tr2bl w:val="nil"/>
                  </w:tcBorders>
                  <w:noWrap w:val="0"/>
                  <w:vAlign w:val="center"/>
                </w:tcPr>
                <w:p w14:paraId="1A4C06CD">
                  <w:pPr>
                    <w:pStyle w:val="64"/>
                    <w:keepNext w:val="0"/>
                    <w:keepLines w:val="0"/>
                    <w:pageBreakBefore w:val="0"/>
                    <w:widowControl w:val="0"/>
                    <w:kinsoku/>
                    <w:wordWrap/>
                    <w:overflowPunct/>
                    <w:topLinePunct w:val="0"/>
                    <w:autoSpaceDE/>
                    <w:autoSpaceDN/>
                    <w:bidi w:val="0"/>
                    <w:adjustRightInd w:val="0"/>
                    <w:snapToGrid w:val="0"/>
                    <w:spacing w:line="240" w:lineRule="atLeast"/>
                    <w:ind w:left="0" w:right="0" w:hanging="99"/>
                    <w:jc w:val="center"/>
                    <w:textAlignment w:val="auto"/>
                    <w:rPr>
                      <w:rFonts w:hint="eastAsia" w:ascii="宋体" w:hAnsi="宋体" w:eastAsia="宋体" w:cs="宋体"/>
                      <w:sz w:val="21"/>
                      <w:szCs w:val="21"/>
                    </w:rPr>
                  </w:pPr>
                  <w:r>
                    <w:rPr>
                      <w:rFonts w:hint="eastAsia" w:ascii="宋体" w:hAnsi="宋体" w:eastAsia="宋体" w:cs="宋体"/>
                      <w:spacing w:val="-6"/>
                      <w:sz w:val="21"/>
                      <w:szCs w:val="21"/>
                    </w:rPr>
                    <w:t>天然</w:t>
                  </w:r>
                  <w:r>
                    <w:rPr>
                      <w:rFonts w:hint="eastAsia" w:ascii="宋体" w:hAnsi="宋体" w:eastAsia="宋体" w:cs="宋体"/>
                      <w:sz w:val="21"/>
                      <w:szCs w:val="21"/>
                    </w:rPr>
                    <w:t>气</w:t>
                  </w:r>
                </w:p>
              </w:tc>
              <w:tc>
                <w:tcPr>
                  <w:tcW w:w="924" w:type="dxa"/>
                  <w:vMerge w:val="restart"/>
                  <w:tcBorders>
                    <w:tl2br w:val="nil"/>
                    <w:tr2bl w:val="nil"/>
                  </w:tcBorders>
                  <w:noWrap w:val="0"/>
                  <w:vAlign w:val="center"/>
                </w:tcPr>
                <w:p w14:paraId="2E38376A">
                  <w:pPr>
                    <w:pStyle w:val="64"/>
                    <w:keepNext w:val="0"/>
                    <w:keepLines w:val="0"/>
                    <w:pageBreakBefore w:val="0"/>
                    <w:widowControl w:val="0"/>
                    <w:kinsoku/>
                    <w:wordWrap/>
                    <w:overflowPunct/>
                    <w:topLinePunct w:val="0"/>
                    <w:autoSpaceDE/>
                    <w:autoSpaceDN/>
                    <w:bidi w:val="0"/>
                    <w:adjustRightInd w:val="0"/>
                    <w:snapToGrid w:val="0"/>
                    <w:spacing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pacing w:val="-3"/>
                      <w:sz w:val="21"/>
                      <w:szCs w:val="21"/>
                    </w:rPr>
                    <w:t>天然</w:t>
                  </w:r>
                  <w:r>
                    <w:rPr>
                      <w:rFonts w:hint="eastAsia" w:ascii="宋体" w:hAnsi="宋体" w:eastAsia="宋体" w:cs="宋体"/>
                      <w:spacing w:val="-2"/>
                      <w:sz w:val="21"/>
                      <w:szCs w:val="21"/>
                    </w:rPr>
                    <w:t>气工</w:t>
                  </w:r>
                </w:p>
                <w:p w14:paraId="2943F18F">
                  <w:pPr>
                    <w:pStyle w:val="64"/>
                    <w:keepNext w:val="0"/>
                    <w:keepLines w:val="0"/>
                    <w:pageBreakBefore w:val="0"/>
                    <w:widowControl w:val="0"/>
                    <w:kinsoku/>
                    <w:wordWrap/>
                    <w:overflowPunct/>
                    <w:topLinePunct w:val="0"/>
                    <w:autoSpaceDE/>
                    <w:autoSpaceDN/>
                    <w:bidi w:val="0"/>
                    <w:adjustRightInd w:val="0"/>
                    <w:snapToGrid w:val="0"/>
                    <w:spacing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pacing w:val="-2"/>
                      <w:sz w:val="21"/>
                      <w:szCs w:val="21"/>
                    </w:rPr>
                    <w:t>业炉</w:t>
                  </w:r>
                  <w:r>
                    <w:rPr>
                      <w:rFonts w:hint="eastAsia" w:ascii="宋体" w:hAnsi="宋体" w:eastAsia="宋体" w:cs="宋体"/>
                      <w:sz w:val="21"/>
                      <w:szCs w:val="21"/>
                    </w:rPr>
                    <w:t>窑</w:t>
                  </w:r>
                </w:p>
              </w:tc>
              <w:tc>
                <w:tcPr>
                  <w:tcW w:w="1132" w:type="dxa"/>
                  <w:vMerge w:val="restart"/>
                  <w:tcBorders>
                    <w:tl2br w:val="nil"/>
                    <w:tr2bl w:val="nil"/>
                  </w:tcBorders>
                  <w:noWrap w:val="0"/>
                  <w:vAlign w:val="center"/>
                </w:tcPr>
                <w:p w14:paraId="5CF78130">
                  <w:pPr>
                    <w:pStyle w:val="64"/>
                    <w:keepNext w:val="0"/>
                    <w:keepLines w:val="0"/>
                    <w:pageBreakBefore w:val="0"/>
                    <w:widowControl w:val="0"/>
                    <w:kinsoku/>
                    <w:wordWrap/>
                    <w:overflowPunct/>
                    <w:topLinePunct w:val="0"/>
                    <w:autoSpaceDE/>
                    <w:autoSpaceDN/>
                    <w:bidi w:val="0"/>
                    <w:adjustRightInd w:val="0"/>
                    <w:snapToGrid w:val="0"/>
                    <w:spacing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pacing w:val="-2"/>
                      <w:sz w:val="21"/>
                      <w:szCs w:val="21"/>
                    </w:rPr>
                    <w:t>所有规模</w:t>
                  </w:r>
                </w:p>
              </w:tc>
              <w:tc>
                <w:tcPr>
                  <w:tcW w:w="710" w:type="dxa"/>
                  <w:vMerge w:val="restart"/>
                  <w:tcBorders>
                    <w:tl2br w:val="nil"/>
                    <w:tr2bl w:val="nil"/>
                  </w:tcBorders>
                  <w:noWrap w:val="0"/>
                  <w:vAlign w:val="center"/>
                </w:tcPr>
                <w:p w14:paraId="466A244B">
                  <w:pPr>
                    <w:pStyle w:val="64"/>
                    <w:keepNext w:val="0"/>
                    <w:keepLines w:val="0"/>
                    <w:pageBreakBefore w:val="0"/>
                    <w:widowControl w:val="0"/>
                    <w:kinsoku/>
                    <w:wordWrap/>
                    <w:overflowPunct/>
                    <w:topLinePunct w:val="0"/>
                    <w:autoSpaceDE/>
                    <w:autoSpaceDN/>
                    <w:bidi w:val="0"/>
                    <w:adjustRightInd w:val="0"/>
                    <w:snapToGrid w:val="0"/>
                    <w:spacing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pacing w:val="-2"/>
                      <w:sz w:val="21"/>
                      <w:szCs w:val="21"/>
                    </w:rPr>
                    <w:t>废气</w:t>
                  </w:r>
                </w:p>
              </w:tc>
              <w:tc>
                <w:tcPr>
                  <w:tcW w:w="1274" w:type="dxa"/>
                  <w:tcBorders>
                    <w:tl2br w:val="nil"/>
                    <w:tr2bl w:val="nil"/>
                  </w:tcBorders>
                  <w:noWrap w:val="0"/>
                  <w:vAlign w:val="center"/>
                </w:tcPr>
                <w:p w14:paraId="5EE4E938">
                  <w:pPr>
                    <w:pStyle w:val="64"/>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jc w:val="center"/>
                    <w:textAlignment w:val="auto"/>
                    <w:rPr>
                      <w:rFonts w:hint="eastAsia" w:ascii="宋体" w:hAnsi="宋体" w:eastAsia="宋体" w:cs="宋体"/>
                      <w:sz w:val="21"/>
                      <w:szCs w:val="21"/>
                    </w:rPr>
                  </w:pPr>
                  <w:r>
                    <w:rPr>
                      <w:rFonts w:hint="eastAsia" w:ascii="宋体" w:hAnsi="宋体" w:eastAsia="宋体" w:cs="宋体"/>
                      <w:spacing w:val="-1"/>
                      <w:sz w:val="21"/>
                      <w:szCs w:val="21"/>
                    </w:rPr>
                    <w:t>颗粒物</w:t>
                  </w:r>
                </w:p>
              </w:tc>
              <w:tc>
                <w:tcPr>
                  <w:tcW w:w="2125" w:type="dxa"/>
                  <w:tcBorders>
                    <w:tl2br w:val="nil"/>
                    <w:tr2bl w:val="nil"/>
                  </w:tcBorders>
                  <w:noWrap w:val="0"/>
                  <w:vAlign w:val="center"/>
                </w:tcPr>
                <w:p w14:paraId="0CF9609A">
                  <w:pPr>
                    <w:pStyle w:val="64"/>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jc w:val="center"/>
                    <w:textAlignment w:val="auto"/>
                    <w:rPr>
                      <w:rFonts w:hint="eastAsia" w:ascii="宋体" w:hAnsi="宋体" w:eastAsia="宋体" w:cs="宋体"/>
                      <w:sz w:val="21"/>
                      <w:szCs w:val="21"/>
                    </w:rPr>
                  </w:pPr>
                  <w:r>
                    <w:rPr>
                      <w:rFonts w:hint="eastAsia" w:ascii="宋体" w:hAnsi="宋体" w:eastAsia="宋体" w:cs="宋体"/>
                      <w:spacing w:val="-1"/>
                      <w:sz w:val="21"/>
                      <w:szCs w:val="21"/>
                    </w:rPr>
                    <w:t>千克/立方米-原料</w:t>
                  </w:r>
                </w:p>
              </w:tc>
              <w:tc>
                <w:tcPr>
                  <w:tcW w:w="1495" w:type="dxa"/>
                  <w:tcBorders>
                    <w:tl2br w:val="nil"/>
                    <w:tr2bl w:val="nil"/>
                  </w:tcBorders>
                  <w:noWrap w:val="0"/>
                  <w:vAlign w:val="center"/>
                </w:tcPr>
                <w:p w14:paraId="5B33098A">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jc w:val="center"/>
                    <w:textAlignment w:val="auto"/>
                    <w:rPr>
                      <w:rFonts w:hint="eastAsia" w:ascii="宋体" w:hAnsi="宋体" w:eastAsia="宋体" w:cs="宋体"/>
                      <w:sz w:val="21"/>
                      <w:szCs w:val="21"/>
                    </w:rPr>
                  </w:pPr>
                  <w:r>
                    <w:rPr>
                      <w:rFonts w:hint="eastAsia" w:ascii="宋体" w:hAnsi="宋体" w:eastAsia="宋体" w:cs="宋体"/>
                      <w:spacing w:val="-1"/>
                      <w:sz w:val="21"/>
                      <w:szCs w:val="21"/>
                    </w:rPr>
                    <w:t>0.000286</w:t>
                  </w:r>
                </w:p>
              </w:tc>
            </w:tr>
            <w:tr w14:paraId="16CF0C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5" w:hRule="atLeast"/>
                <w:jc w:val="center"/>
              </w:trPr>
              <w:tc>
                <w:tcPr>
                  <w:tcW w:w="755" w:type="dxa"/>
                  <w:vMerge w:val="continue"/>
                  <w:tcBorders>
                    <w:tl2br w:val="nil"/>
                    <w:tr2bl w:val="nil"/>
                  </w:tcBorders>
                  <w:noWrap w:val="0"/>
                  <w:vAlign w:val="center"/>
                </w:tcPr>
                <w:p w14:paraId="12773376">
                  <w:pPr>
                    <w:keepNext w:val="0"/>
                    <w:keepLines w:val="0"/>
                    <w:pageBreakBefore w:val="0"/>
                    <w:widowControl w:val="0"/>
                    <w:kinsoku/>
                    <w:wordWrap/>
                    <w:overflowPunct/>
                    <w:topLinePunct w:val="0"/>
                    <w:autoSpaceDE/>
                    <w:autoSpaceDN/>
                    <w:bidi w:val="0"/>
                    <w:adjustRightInd w:val="0"/>
                    <w:snapToGrid w:val="0"/>
                    <w:spacing w:line="240" w:lineRule="atLeast"/>
                    <w:ind w:left="0" w:right="0"/>
                    <w:jc w:val="center"/>
                    <w:textAlignment w:val="auto"/>
                    <w:rPr>
                      <w:rFonts w:hint="eastAsia" w:ascii="宋体" w:hAnsi="宋体" w:eastAsia="宋体" w:cs="宋体"/>
                      <w:sz w:val="21"/>
                      <w:szCs w:val="21"/>
                    </w:rPr>
                  </w:pPr>
                </w:p>
              </w:tc>
              <w:tc>
                <w:tcPr>
                  <w:tcW w:w="924" w:type="dxa"/>
                  <w:vMerge w:val="continue"/>
                  <w:tcBorders>
                    <w:tl2br w:val="nil"/>
                    <w:tr2bl w:val="nil"/>
                  </w:tcBorders>
                  <w:noWrap w:val="0"/>
                  <w:vAlign w:val="center"/>
                </w:tcPr>
                <w:p w14:paraId="0F27098E">
                  <w:pPr>
                    <w:keepNext w:val="0"/>
                    <w:keepLines w:val="0"/>
                    <w:pageBreakBefore w:val="0"/>
                    <w:widowControl w:val="0"/>
                    <w:kinsoku/>
                    <w:wordWrap/>
                    <w:overflowPunct/>
                    <w:topLinePunct w:val="0"/>
                    <w:autoSpaceDE/>
                    <w:autoSpaceDN/>
                    <w:bidi w:val="0"/>
                    <w:adjustRightInd w:val="0"/>
                    <w:snapToGrid w:val="0"/>
                    <w:spacing w:line="240" w:lineRule="atLeast"/>
                    <w:ind w:left="0" w:right="0"/>
                    <w:jc w:val="center"/>
                    <w:textAlignment w:val="auto"/>
                    <w:rPr>
                      <w:rFonts w:hint="eastAsia" w:ascii="宋体" w:hAnsi="宋体" w:eastAsia="宋体" w:cs="宋体"/>
                      <w:sz w:val="21"/>
                      <w:szCs w:val="21"/>
                    </w:rPr>
                  </w:pPr>
                </w:p>
              </w:tc>
              <w:tc>
                <w:tcPr>
                  <w:tcW w:w="1132" w:type="dxa"/>
                  <w:vMerge w:val="continue"/>
                  <w:tcBorders>
                    <w:tl2br w:val="nil"/>
                    <w:tr2bl w:val="nil"/>
                  </w:tcBorders>
                  <w:noWrap w:val="0"/>
                  <w:vAlign w:val="center"/>
                </w:tcPr>
                <w:p w14:paraId="5E3D560E">
                  <w:pPr>
                    <w:keepNext w:val="0"/>
                    <w:keepLines w:val="0"/>
                    <w:pageBreakBefore w:val="0"/>
                    <w:widowControl w:val="0"/>
                    <w:kinsoku/>
                    <w:wordWrap/>
                    <w:overflowPunct/>
                    <w:topLinePunct w:val="0"/>
                    <w:autoSpaceDE/>
                    <w:autoSpaceDN/>
                    <w:bidi w:val="0"/>
                    <w:adjustRightInd w:val="0"/>
                    <w:snapToGrid w:val="0"/>
                    <w:spacing w:line="240" w:lineRule="atLeast"/>
                    <w:ind w:left="0" w:right="0"/>
                    <w:jc w:val="center"/>
                    <w:textAlignment w:val="auto"/>
                    <w:rPr>
                      <w:rFonts w:hint="eastAsia" w:ascii="宋体" w:hAnsi="宋体" w:eastAsia="宋体" w:cs="宋体"/>
                      <w:sz w:val="21"/>
                      <w:szCs w:val="21"/>
                    </w:rPr>
                  </w:pPr>
                </w:p>
              </w:tc>
              <w:tc>
                <w:tcPr>
                  <w:tcW w:w="710" w:type="dxa"/>
                  <w:vMerge w:val="continue"/>
                  <w:tcBorders>
                    <w:tl2br w:val="nil"/>
                    <w:tr2bl w:val="nil"/>
                  </w:tcBorders>
                  <w:noWrap w:val="0"/>
                  <w:vAlign w:val="center"/>
                </w:tcPr>
                <w:p w14:paraId="1C453866">
                  <w:pPr>
                    <w:keepNext w:val="0"/>
                    <w:keepLines w:val="0"/>
                    <w:pageBreakBefore w:val="0"/>
                    <w:widowControl w:val="0"/>
                    <w:kinsoku/>
                    <w:wordWrap/>
                    <w:overflowPunct/>
                    <w:topLinePunct w:val="0"/>
                    <w:autoSpaceDE/>
                    <w:autoSpaceDN/>
                    <w:bidi w:val="0"/>
                    <w:adjustRightInd w:val="0"/>
                    <w:snapToGrid w:val="0"/>
                    <w:spacing w:line="240" w:lineRule="atLeast"/>
                    <w:ind w:left="0" w:right="0"/>
                    <w:jc w:val="center"/>
                    <w:textAlignment w:val="auto"/>
                    <w:rPr>
                      <w:rFonts w:hint="eastAsia" w:ascii="宋体" w:hAnsi="宋体" w:eastAsia="宋体" w:cs="宋体"/>
                      <w:sz w:val="21"/>
                      <w:szCs w:val="21"/>
                    </w:rPr>
                  </w:pPr>
                </w:p>
              </w:tc>
              <w:tc>
                <w:tcPr>
                  <w:tcW w:w="1274" w:type="dxa"/>
                  <w:tcBorders>
                    <w:tl2br w:val="nil"/>
                    <w:tr2bl w:val="nil"/>
                  </w:tcBorders>
                  <w:noWrap w:val="0"/>
                  <w:vAlign w:val="center"/>
                </w:tcPr>
                <w:p w14:paraId="03691B6B">
                  <w:pPr>
                    <w:pStyle w:val="64"/>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jc w:val="center"/>
                    <w:textAlignment w:val="auto"/>
                    <w:rPr>
                      <w:rFonts w:hint="eastAsia" w:ascii="宋体" w:hAnsi="宋体" w:eastAsia="宋体" w:cs="宋体"/>
                      <w:sz w:val="21"/>
                      <w:szCs w:val="21"/>
                    </w:rPr>
                  </w:pPr>
                  <w:r>
                    <w:rPr>
                      <w:rFonts w:hint="eastAsia" w:ascii="宋体" w:hAnsi="宋体" w:eastAsia="宋体" w:cs="宋体"/>
                      <w:spacing w:val="-3"/>
                      <w:sz w:val="21"/>
                      <w:szCs w:val="21"/>
                    </w:rPr>
                    <w:t>二氧化硫</w:t>
                  </w:r>
                </w:p>
              </w:tc>
              <w:tc>
                <w:tcPr>
                  <w:tcW w:w="2125" w:type="dxa"/>
                  <w:tcBorders>
                    <w:tl2br w:val="nil"/>
                    <w:tr2bl w:val="nil"/>
                  </w:tcBorders>
                  <w:noWrap w:val="0"/>
                  <w:vAlign w:val="center"/>
                </w:tcPr>
                <w:p w14:paraId="3D6368DD">
                  <w:pPr>
                    <w:pStyle w:val="64"/>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jc w:val="center"/>
                    <w:textAlignment w:val="auto"/>
                    <w:rPr>
                      <w:rFonts w:hint="eastAsia" w:ascii="宋体" w:hAnsi="宋体" w:eastAsia="宋体" w:cs="宋体"/>
                      <w:sz w:val="21"/>
                      <w:szCs w:val="21"/>
                    </w:rPr>
                  </w:pPr>
                  <w:r>
                    <w:rPr>
                      <w:rFonts w:hint="eastAsia" w:ascii="宋体" w:hAnsi="宋体" w:eastAsia="宋体" w:cs="宋体"/>
                      <w:spacing w:val="-1"/>
                      <w:sz w:val="21"/>
                      <w:szCs w:val="21"/>
                    </w:rPr>
                    <w:t>千克/立方米-原料</w:t>
                  </w:r>
                </w:p>
              </w:tc>
              <w:tc>
                <w:tcPr>
                  <w:tcW w:w="1495" w:type="dxa"/>
                  <w:tcBorders>
                    <w:tl2br w:val="nil"/>
                    <w:tr2bl w:val="nil"/>
                  </w:tcBorders>
                  <w:noWrap w:val="0"/>
                  <w:vAlign w:val="center"/>
                </w:tcPr>
                <w:p w14:paraId="4C54B770">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jc w:val="center"/>
                    <w:textAlignment w:val="auto"/>
                    <w:rPr>
                      <w:rFonts w:hint="eastAsia" w:ascii="宋体" w:hAnsi="宋体" w:eastAsia="宋体" w:cs="宋体"/>
                      <w:sz w:val="21"/>
                      <w:szCs w:val="21"/>
                    </w:rPr>
                  </w:pPr>
                  <w:r>
                    <w:rPr>
                      <w:rFonts w:hint="eastAsia" w:ascii="宋体" w:hAnsi="宋体" w:eastAsia="宋体" w:cs="宋体"/>
                      <w:spacing w:val="-1"/>
                      <w:sz w:val="21"/>
                      <w:szCs w:val="21"/>
                    </w:rPr>
                    <w:t>0.000002S</w:t>
                  </w:r>
                  <w:r>
                    <w:rPr>
                      <w:rFonts w:hint="eastAsia" w:ascii="宋体" w:hAnsi="宋体" w:eastAsia="宋体" w:cs="宋体"/>
                      <w:spacing w:val="-1"/>
                      <w:sz w:val="21"/>
                      <w:szCs w:val="21"/>
                      <w:vertAlign w:val="superscript"/>
                      <w:lang w:val="en-US" w:eastAsia="zh-CN"/>
                    </w:rPr>
                    <w:t>*</w:t>
                  </w:r>
                </w:p>
              </w:tc>
            </w:tr>
            <w:tr w14:paraId="0A8617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755" w:type="dxa"/>
                  <w:vMerge w:val="continue"/>
                  <w:tcBorders>
                    <w:tl2br w:val="nil"/>
                    <w:tr2bl w:val="nil"/>
                  </w:tcBorders>
                  <w:noWrap w:val="0"/>
                  <w:vAlign w:val="center"/>
                </w:tcPr>
                <w:p w14:paraId="2FF1578F">
                  <w:pPr>
                    <w:keepNext w:val="0"/>
                    <w:keepLines w:val="0"/>
                    <w:pageBreakBefore w:val="0"/>
                    <w:widowControl w:val="0"/>
                    <w:kinsoku/>
                    <w:wordWrap/>
                    <w:overflowPunct/>
                    <w:topLinePunct w:val="0"/>
                    <w:autoSpaceDE/>
                    <w:autoSpaceDN/>
                    <w:bidi w:val="0"/>
                    <w:adjustRightInd w:val="0"/>
                    <w:snapToGrid w:val="0"/>
                    <w:spacing w:line="240" w:lineRule="atLeast"/>
                    <w:ind w:left="0" w:right="0"/>
                    <w:jc w:val="center"/>
                    <w:textAlignment w:val="auto"/>
                    <w:rPr>
                      <w:rFonts w:hint="eastAsia" w:ascii="宋体" w:hAnsi="宋体" w:eastAsia="宋体" w:cs="宋体"/>
                      <w:sz w:val="21"/>
                      <w:szCs w:val="21"/>
                    </w:rPr>
                  </w:pPr>
                </w:p>
              </w:tc>
              <w:tc>
                <w:tcPr>
                  <w:tcW w:w="924" w:type="dxa"/>
                  <w:vMerge w:val="continue"/>
                  <w:tcBorders>
                    <w:tl2br w:val="nil"/>
                    <w:tr2bl w:val="nil"/>
                  </w:tcBorders>
                  <w:noWrap w:val="0"/>
                  <w:vAlign w:val="center"/>
                </w:tcPr>
                <w:p w14:paraId="697309D6">
                  <w:pPr>
                    <w:keepNext w:val="0"/>
                    <w:keepLines w:val="0"/>
                    <w:pageBreakBefore w:val="0"/>
                    <w:widowControl w:val="0"/>
                    <w:kinsoku/>
                    <w:wordWrap/>
                    <w:overflowPunct/>
                    <w:topLinePunct w:val="0"/>
                    <w:autoSpaceDE/>
                    <w:autoSpaceDN/>
                    <w:bidi w:val="0"/>
                    <w:adjustRightInd w:val="0"/>
                    <w:snapToGrid w:val="0"/>
                    <w:spacing w:line="240" w:lineRule="atLeast"/>
                    <w:ind w:left="0" w:right="0"/>
                    <w:jc w:val="center"/>
                    <w:textAlignment w:val="auto"/>
                    <w:rPr>
                      <w:rFonts w:hint="eastAsia" w:ascii="宋体" w:hAnsi="宋体" w:eastAsia="宋体" w:cs="宋体"/>
                      <w:sz w:val="21"/>
                      <w:szCs w:val="21"/>
                    </w:rPr>
                  </w:pPr>
                </w:p>
              </w:tc>
              <w:tc>
                <w:tcPr>
                  <w:tcW w:w="1132" w:type="dxa"/>
                  <w:vMerge w:val="continue"/>
                  <w:tcBorders>
                    <w:tl2br w:val="nil"/>
                    <w:tr2bl w:val="nil"/>
                  </w:tcBorders>
                  <w:noWrap w:val="0"/>
                  <w:vAlign w:val="center"/>
                </w:tcPr>
                <w:p w14:paraId="5F13BB51">
                  <w:pPr>
                    <w:keepNext w:val="0"/>
                    <w:keepLines w:val="0"/>
                    <w:pageBreakBefore w:val="0"/>
                    <w:widowControl w:val="0"/>
                    <w:kinsoku/>
                    <w:wordWrap/>
                    <w:overflowPunct/>
                    <w:topLinePunct w:val="0"/>
                    <w:autoSpaceDE/>
                    <w:autoSpaceDN/>
                    <w:bidi w:val="0"/>
                    <w:adjustRightInd w:val="0"/>
                    <w:snapToGrid w:val="0"/>
                    <w:spacing w:line="240" w:lineRule="atLeast"/>
                    <w:ind w:left="0" w:right="0"/>
                    <w:jc w:val="center"/>
                    <w:textAlignment w:val="auto"/>
                    <w:rPr>
                      <w:rFonts w:hint="eastAsia" w:ascii="宋体" w:hAnsi="宋体" w:eastAsia="宋体" w:cs="宋体"/>
                      <w:sz w:val="21"/>
                      <w:szCs w:val="21"/>
                    </w:rPr>
                  </w:pPr>
                </w:p>
              </w:tc>
              <w:tc>
                <w:tcPr>
                  <w:tcW w:w="710" w:type="dxa"/>
                  <w:vMerge w:val="continue"/>
                  <w:tcBorders>
                    <w:tl2br w:val="nil"/>
                    <w:tr2bl w:val="nil"/>
                  </w:tcBorders>
                  <w:noWrap w:val="0"/>
                  <w:vAlign w:val="center"/>
                </w:tcPr>
                <w:p w14:paraId="3146CC08">
                  <w:pPr>
                    <w:keepNext w:val="0"/>
                    <w:keepLines w:val="0"/>
                    <w:pageBreakBefore w:val="0"/>
                    <w:widowControl w:val="0"/>
                    <w:kinsoku/>
                    <w:wordWrap/>
                    <w:overflowPunct/>
                    <w:topLinePunct w:val="0"/>
                    <w:autoSpaceDE/>
                    <w:autoSpaceDN/>
                    <w:bidi w:val="0"/>
                    <w:adjustRightInd w:val="0"/>
                    <w:snapToGrid w:val="0"/>
                    <w:spacing w:line="240" w:lineRule="atLeast"/>
                    <w:ind w:left="0" w:right="0"/>
                    <w:jc w:val="center"/>
                    <w:textAlignment w:val="auto"/>
                    <w:rPr>
                      <w:rFonts w:hint="eastAsia" w:ascii="宋体" w:hAnsi="宋体" w:eastAsia="宋体" w:cs="宋体"/>
                      <w:sz w:val="21"/>
                      <w:szCs w:val="21"/>
                    </w:rPr>
                  </w:pPr>
                </w:p>
              </w:tc>
              <w:tc>
                <w:tcPr>
                  <w:tcW w:w="1274" w:type="dxa"/>
                  <w:tcBorders>
                    <w:tl2br w:val="nil"/>
                    <w:tr2bl w:val="nil"/>
                  </w:tcBorders>
                  <w:noWrap w:val="0"/>
                  <w:vAlign w:val="center"/>
                </w:tcPr>
                <w:p w14:paraId="04286417">
                  <w:pPr>
                    <w:pStyle w:val="64"/>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jc w:val="center"/>
                    <w:textAlignment w:val="auto"/>
                    <w:rPr>
                      <w:rFonts w:hint="eastAsia" w:ascii="宋体" w:hAnsi="宋体" w:eastAsia="宋体" w:cs="宋体"/>
                      <w:sz w:val="21"/>
                      <w:szCs w:val="21"/>
                    </w:rPr>
                  </w:pPr>
                  <w:r>
                    <w:rPr>
                      <w:rFonts w:hint="eastAsia" w:ascii="宋体" w:hAnsi="宋体" w:eastAsia="宋体" w:cs="宋体"/>
                      <w:spacing w:val="-1"/>
                      <w:sz w:val="21"/>
                      <w:szCs w:val="21"/>
                    </w:rPr>
                    <w:t>氮氧化物</w:t>
                  </w:r>
                </w:p>
              </w:tc>
              <w:tc>
                <w:tcPr>
                  <w:tcW w:w="2125" w:type="dxa"/>
                  <w:tcBorders>
                    <w:tl2br w:val="nil"/>
                    <w:tr2bl w:val="nil"/>
                  </w:tcBorders>
                  <w:noWrap w:val="0"/>
                  <w:vAlign w:val="center"/>
                </w:tcPr>
                <w:p w14:paraId="6495CA2E">
                  <w:pPr>
                    <w:pStyle w:val="64"/>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jc w:val="center"/>
                    <w:textAlignment w:val="auto"/>
                    <w:rPr>
                      <w:rFonts w:hint="eastAsia" w:ascii="宋体" w:hAnsi="宋体" w:eastAsia="宋体" w:cs="宋体"/>
                      <w:sz w:val="21"/>
                      <w:szCs w:val="21"/>
                    </w:rPr>
                  </w:pPr>
                  <w:r>
                    <w:rPr>
                      <w:rFonts w:hint="eastAsia" w:ascii="宋体" w:hAnsi="宋体" w:eastAsia="宋体" w:cs="宋体"/>
                      <w:spacing w:val="-1"/>
                      <w:sz w:val="21"/>
                      <w:szCs w:val="21"/>
                    </w:rPr>
                    <w:t>千克/立方米-原料</w:t>
                  </w:r>
                </w:p>
              </w:tc>
              <w:tc>
                <w:tcPr>
                  <w:tcW w:w="1495" w:type="dxa"/>
                  <w:tcBorders>
                    <w:tl2br w:val="nil"/>
                    <w:tr2bl w:val="nil"/>
                  </w:tcBorders>
                  <w:noWrap w:val="0"/>
                  <w:vAlign w:val="center"/>
                </w:tcPr>
                <w:p w14:paraId="057C13B1">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jc w:val="center"/>
                    <w:textAlignment w:val="auto"/>
                    <w:rPr>
                      <w:rFonts w:hint="eastAsia" w:ascii="宋体" w:hAnsi="宋体" w:eastAsia="宋体" w:cs="宋体"/>
                      <w:sz w:val="21"/>
                      <w:szCs w:val="21"/>
                      <w:lang w:val="en-US" w:eastAsia="zh-CN"/>
                    </w:rPr>
                  </w:pPr>
                  <w:r>
                    <w:rPr>
                      <w:rFonts w:hint="eastAsia" w:ascii="宋体" w:hAnsi="宋体" w:eastAsia="宋体" w:cs="宋体"/>
                      <w:spacing w:val="-1"/>
                      <w:sz w:val="21"/>
                      <w:szCs w:val="21"/>
                    </w:rPr>
                    <w:t>0.00187</w:t>
                  </w:r>
                </w:p>
              </w:tc>
            </w:tr>
          </w:tbl>
          <w:p w14:paraId="2A002E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eastAsia" w:ascii="宋体" w:hAnsi="宋体" w:eastAsia="宋体" w:cs="宋体"/>
                <w:bCs/>
                <w:sz w:val="24"/>
                <w:szCs w:val="24"/>
              </w:rPr>
            </w:pPr>
            <w:r>
              <w:rPr>
                <w:rFonts w:hint="eastAsia" w:cs="宋体"/>
                <w:spacing w:val="-1"/>
                <w:sz w:val="21"/>
                <w:szCs w:val="21"/>
                <w:lang w:val="en-US" w:eastAsia="zh-CN"/>
              </w:rPr>
              <w:t>*</w:t>
            </w:r>
            <w:r>
              <w:rPr>
                <w:rFonts w:hint="eastAsia" w:ascii="宋体" w:hAnsi="宋体" w:eastAsia="宋体" w:cs="宋体"/>
                <w:spacing w:val="-1"/>
                <w:sz w:val="21"/>
                <w:szCs w:val="21"/>
              </w:rPr>
              <w:t>注：S 指含硫量，是指燃气收到基硫分含量，单位为毫克/立方米。根据《天然</w:t>
            </w:r>
            <w:r>
              <w:rPr>
                <w:rFonts w:hint="eastAsia" w:ascii="宋体" w:hAnsi="宋体" w:eastAsia="宋体" w:cs="宋体"/>
                <w:sz w:val="21"/>
                <w:szCs w:val="21"/>
              </w:rPr>
              <w:t>气》</w:t>
            </w:r>
            <w:r>
              <w:rPr>
                <w:rFonts w:hint="eastAsia" w:cs="宋体"/>
                <w:sz w:val="21"/>
                <w:szCs w:val="21"/>
                <w:lang w:eastAsia="zh-CN"/>
              </w:rPr>
              <w:t>（</w:t>
            </w:r>
            <w:r>
              <w:rPr>
                <w:rFonts w:hint="eastAsia" w:ascii="宋体" w:hAnsi="宋体" w:eastAsia="宋体" w:cs="宋体"/>
                <w:spacing w:val="-1"/>
                <w:sz w:val="21"/>
                <w:szCs w:val="21"/>
              </w:rPr>
              <w:t>GB17820-2018</w:t>
            </w:r>
            <w:r>
              <w:rPr>
                <w:rFonts w:hint="eastAsia" w:cs="宋体"/>
                <w:sz w:val="21"/>
                <w:szCs w:val="21"/>
                <w:lang w:eastAsia="zh-CN"/>
              </w:rPr>
              <w:t>）</w:t>
            </w:r>
            <w:r>
              <w:rPr>
                <w:rFonts w:hint="eastAsia" w:ascii="宋体" w:hAnsi="宋体" w:eastAsia="宋体" w:cs="宋体"/>
                <w:sz w:val="21"/>
                <w:szCs w:val="21"/>
              </w:rPr>
              <w:t>，二类天然气含硫量不大于</w:t>
            </w:r>
            <w:r>
              <w:rPr>
                <w:rFonts w:hint="eastAsia" w:ascii="宋体" w:hAnsi="宋体" w:eastAsia="宋体" w:cs="宋体"/>
                <w:spacing w:val="-5"/>
                <w:sz w:val="21"/>
                <w:szCs w:val="21"/>
              </w:rPr>
              <w:t xml:space="preserve"> </w:t>
            </w:r>
            <w:r>
              <w:rPr>
                <w:rFonts w:hint="eastAsia" w:ascii="宋体" w:hAnsi="宋体" w:eastAsia="宋体" w:cs="宋体"/>
                <w:sz w:val="21"/>
                <w:szCs w:val="21"/>
              </w:rPr>
              <w:t>100mg/m³,故</w:t>
            </w:r>
            <w:r>
              <w:rPr>
                <w:rFonts w:hint="eastAsia" w:ascii="宋体" w:hAnsi="宋体" w:eastAsia="宋体" w:cs="宋体"/>
                <w:spacing w:val="-25"/>
                <w:sz w:val="21"/>
                <w:szCs w:val="21"/>
              </w:rPr>
              <w:t xml:space="preserve"> </w:t>
            </w:r>
            <w:r>
              <w:rPr>
                <w:rFonts w:hint="eastAsia" w:ascii="宋体" w:hAnsi="宋体" w:eastAsia="宋体" w:cs="宋体"/>
                <w:sz w:val="21"/>
                <w:szCs w:val="21"/>
              </w:rPr>
              <w:t>S取</w:t>
            </w:r>
            <w:r>
              <w:rPr>
                <w:rFonts w:hint="eastAsia" w:ascii="宋体" w:hAnsi="宋体" w:eastAsia="宋体" w:cs="宋体"/>
                <w:spacing w:val="-23"/>
                <w:sz w:val="21"/>
                <w:szCs w:val="21"/>
              </w:rPr>
              <w:t xml:space="preserve"> </w:t>
            </w:r>
            <w:r>
              <w:rPr>
                <w:rFonts w:hint="eastAsia" w:ascii="宋体" w:hAnsi="宋体" w:eastAsia="宋体" w:cs="宋体"/>
                <w:sz w:val="21"/>
                <w:szCs w:val="21"/>
              </w:rPr>
              <w:t>100。</w:t>
            </w:r>
          </w:p>
          <w:p w14:paraId="5EC3F0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eastAsia" w:ascii="宋体" w:hAnsi="宋体" w:eastAsia="宋体" w:cs="宋体"/>
              </w:rPr>
            </w:pPr>
            <w:r>
              <w:rPr>
                <w:rFonts w:hint="eastAsia" w:ascii="宋体" w:hAnsi="宋体" w:eastAsia="宋体" w:cs="宋体"/>
              </w:rPr>
              <w:t>本项目</w:t>
            </w:r>
            <w:r>
              <w:rPr>
                <w:rFonts w:hint="eastAsia" w:ascii="宋体" w:hAnsi="宋体" w:eastAsia="宋体" w:cs="宋体"/>
                <w:lang w:eastAsia="zh-CN"/>
              </w:rPr>
              <w:t>天然气燃烧废气</w:t>
            </w:r>
            <w:r>
              <w:rPr>
                <w:rFonts w:hint="eastAsia" w:ascii="宋体" w:hAnsi="宋体" w:eastAsia="宋体" w:cs="宋体"/>
              </w:rPr>
              <w:t>通过1个15米排气筒（DA00</w:t>
            </w:r>
            <w:r>
              <w:rPr>
                <w:rFonts w:hint="eastAsia" w:ascii="宋体" w:hAnsi="宋体" w:eastAsia="宋体" w:cs="宋体"/>
                <w:lang w:val="en-US" w:eastAsia="zh-CN"/>
              </w:rPr>
              <w:t>4</w:t>
            </w:r>
            <w:r>
              <w:rPr>
                <w:rFonts w:hint="eastAsia" w:ascii="宋体" w:hAnsi="宋体" w:eastAsia="宋体" w:cs="宋体"/>
              </w:rPr>
              <w:t>）排放</w:t>
            </w:r>
            <w:r>
              <w:rPr>
                <w:rFonts w:hint="eastAsia" w:ascii="宋体" w:hAnsi="宋体" w:eastAsia="宋体" w:cs="宋体"/>
                <w:lang w:eastAsia="zh-CN"/>
              </w:rPr>
              <w:t>，</w:t>
            </w:r>
            <w:r>
              <w:rPr>
                <w:rFonts w:hint="eastAsia" w:ascii="宋体" w:hAnsi="宋体" w:eastAsia="宋体" w:cs="宋体"/>
                <w:lang w:val="en-US" w:eastAsia="zh-CN"/>
              </w:rPr>
              <w:t>风机风量5000m</w:t>
            </w:r>
            <w:r>
              <w:rPr>
                <w:rFonts w:hint="eastAsia" w:ascii="宋体" w:hAnsi="宋体" w:eastAsia="宋体" w:cs="宋体"/>
                <w:vertAlign w:val="superscript"/>
                <w:lang w:val="en-US" w:eastAsia="zh-CN"/>
              </w:rPr>
              <w:t>3</w:t>
            </w:r>
            <w:r>
              <w:rPr>
                <w:rFonts w:hint="eastAsia" w:ascii="宋体" w:hAnsi="宋体" w:eastAsia="宋体" w:cs="宋体"/>
                <w:lang w:val="en-US" w:eastAsia="zh-CN"/>
              </w:rPr>
              <w:t>/h</w:t>
            </w:r>
            <w:r>
              <w:rPr>
                <w:rFonts w:hint="eastAsia" w:ascii="宋体" w:hAnsi="宋体" w:eastAsia="宋体" w:cs="宋体"/>
              </w:rPr>
              <w:t>。</w:t>
            </w:r>
            <w:r>
              <w:rPr>
                <w:rFonts w:hint="eastAsia" w:ascii="宋体" w:hAnsi="宋体" w:eastAsia="宋体" w:cs="宋体"/>
                <w:lang w:val="en-US" w:eastAsia="zh-CN"/>
              </w:rPr>
              <w:t>则</w:t>
            </w:r>
            <w:r>
              <w:rPr>
                <w:rFonts w:hint="eastAsia" w:ascii="宋体" w:hAnsi="宋体" w:eastAsia="宋体" w:cs="宋体"/>
                <w:lang w:eastAsia="zh-CN"/>
              </w:rPr>
              <w:t>颗粒物排放</w:t>
            </w:r>
            <w:r>
              <w:rPr>
                <w:rFonts w:hint="eastAsia" w:ascii="宋体" w:hAnsi="宋体" w:eastAsia="宋体" w:cs="宋体"/>
              </w:rPr>
              <w:t>量为</w:t>
            </w:r>
            <w:r>
              <w:rPr>
                <w:rFonts w:hint="eastAsia" w:ascii="宋体" w:hAnsi="宋体" w:eastAsia="宋体" w:cs="宋体"/>
                <w:lang w:val="en-US" w:eastAsia="zh-CN"/>
              </w:rPr>
              <w:t>0.028</w:t>
            </w:r>
            <w:r>
              <w:rPr>
                <w:rFonts w:hint="eastAsia" w:ascii="宋体" w:hAnsi="宋体" w:eastAsia="宋体" w:cs="宋体"/>
              </w:rPr>
              <w:t>t/a（0.</w:t>
            </w:r>
            <w:r>
              <w:rPr>
                <w:rFonts w:hint="eastAsia" w:ascii="宋体" w:hAnsi="宋体" w:eastAsia="宋体" w:cs="宋体"/>
                <w:lang w:val="en-US" w:eastAsia="zh-CN"/>
              </w:rPr>
              <w:t>014</w:t>
            </w:r>
            <w:r>
              <w:rPr>
                <w:rFonts w:hint="eastAsia" w:ascii="宋体" w:hAnsi="宋体" w:eastAsia="宋体" w:cs="宋体"/>
              </w:rPr>
              <w:t>kg/h）</w:t>
            </w:r>
            <w:r>
              <w:rPr>
                <w:rFonts w:hint="eastAsia" w:ascii="宋体" w:hAnsi="宋体" w:eastAsia="宋体" w:cs="宋体"/>
                <w:lang w:eastAsia="zh-CN"/>
              </w:rPr>
              <w:t>，</w:t>
            </w:r>
            <w:r>
              <w:rPr>
                <w:rFonts w:hint="eastAsia" w:ascii="宋体" w:hAnsi="宋体" w:eastAsia="宋体" w:cs="宋体"/>
              </w:rPr>
              <w:t>排放浓度为</w:t>
            </w:r>
            <w:r>
              <w:rPr>
                <w:rFonts w:hint="eastAsia" w:ascii="宋体" w:hAnsi="宋体" w:eastAsia="宋体" w:cs="宋体"/>
                <w:lang w:val="en-US" w:eastAsia="zh-CN"/>
              </w:rPr>
              <w:t>2.8</w:t>
            </w:r>
            <w:r>
              <w:rPr>
                <w:rFonts w:hint="eastAsia" w:ascii="宋体" w:hAnsi="宋体" w:eastAsia="宋体" w:cs="宋体"/>
              </w:rPr>
              <w:t>mg/m</w:t>
            </w:r>
            <w:r>
              <w:rPr>
                <w:rFonts w:hint="eastAsia" w:ascii="宋体" w:hAnsi="宋体" w:eastAsia="宋体" w:cs="宋体"/>
                <w:vertAlign w:val="superscript"/>
              </w:rPr>
              <w:t>3</w:t>
            </w:r>
            <w:r>
              <w:rPr>
                <w:rFonts w:hint="eastAsia" w:ascii="宋体" w:hAnsi="宋体" w:eastAsia="宋体" w:cs="宋体"/>
                <w:vertAlign w:val="baseline"/>
                <w:lang w:eastAsia="zh-CN"/>
              </w:rPr>
              <w:t>；</w:t>
            </w:r>
            <w:r>
              <w:rPr>
                <w:rFonts w:hint="eastAsia" w:ascii="宋体" w:hAnsi="宋体" w:eastAsia="宋体" w:cs="宋体"/>
                <w:lang w:eastAsia="zh-CN"/>
              </w:rPr>
              <w:t>二氧化硫排放</w:t>
            </w:r>
            <w:r>
              <w:rPr>
                <w:rFonts w:hint="eastAsia" w:ascii="宋体" w:hAnsi="宋体" w:eastAsia="宋体" w:cs="宋体"/>
              </w:rPr>
              <w:t>量为</w:t>
            </w:r>
            <w:r>
              <w:rPr>
                <w:rFonts w:hint="eastAsia" w:ascii="宋体" w:hAnsi="宋体" w:eastAsia="宋体" w:cs="宋体"/>
                <w:lang w:val="en-US" w:eastAsia="zh-CN"/>
              </w:rPr>
              <w:t>0.02</w:t>
            </w:r>
            <w:r>
              <w:rPr>
                <w:rFonts w:hint="eastAsia" w:ascii="宋体" w:hAnsi="宋体" w:eastAsia="宋体" w:cs="宋体"/>
              </w:rPr>
              <w:t>t/a（0.</w:t>
            </w:r>
            <w:r>
              <w:rPr>
                <w:rFonts w:hint="eastAsia" w:ascii="宋体" w:hAnsi="宋体" w:eastAsia="宋体" w:cs="宋体"/>
                <w:lang w:val="en-US" w:eastAsia="zh-CN"/>
              </w:rPr>
              <w:t>01</w:t>
            </w:r>
            <w:r>
              <w:rPr>
                <w:rFonts w:hint="eastAsia" w:ascii="宋体" w:hAnsi="宋体" w:eastAsia="宋体" w:cs="宋体"/>
              </w:rPr>
              <w:t>kg/h）</w:t>
            </w:r>
            <w:r>
              <w:rPr>
                <w:rFonts w:hint="eastAsia" w:ascii="宋体" w:hAnsi="宋体" w:eastAsia="宋体" w:cs="宋体"/>
                <w:lang w:eastAsia="zh-CN"/>
              </w:rPr>
              <w:t>，</w:t>
            </w:r>
            <w:r>
              <w:rPr>
                <w:rFonts w:hint="eastAsia" w:ascii="宋体" w:hAnsi="宋体" w:eastAsia="宋体" w:cs="宋体"/>
              </w:rPr>
              <w:t>排放浓度为</w:t>
            </w:r>
            <w:r>
              <w:rPr>
                <w:rFonts w:hint="eastAsia" w:ascii="宋体" w:hAnsi="宋体" w:eastAsia="宋体" w:cs="宋体"/>
                <w:lang w:val="en-US" w:eastAsia="zh-CN"/>
              </w:rPr>
              <w:t>2</w:t>
            </w:r>
            <w:r>
              <w:rPr>
                <w:rFonts w:hint="eastAsia" w:ascii="宋体" w:hAnsi="宋体" w:eastAsia="宋体" w:cs="宋体"/>
              </w:rPr>
              <w:t>mg/m</w:t>
            </w:r>
            <w:r>
              <w:rPr>
                <w:rFonts w:hint="eastAsia" w:ascii="宋体" w:hAnsi="宋体" w:eastAsia="宋体" w:cs="宋体"/>
                <w:vertAlign w:val="superscript"/>
              </w:rPr>
              <w:t>3</w:t>
            </w:r>
            <w:r>
              <w:rPr>
                <w:rFonts w:hint="eastAsia" w:ascii="宋体" w:hAnsi="宋体" w:eastAsia="宋体" w:cs="宋体"/>
                <w:vertAlign w:val="baseline"/>
                <w:lang w:eastAsia="zh-CN"/>
              </w:rPr>
              <w:t>；</w:t>
            </w:r>
            <w:r>
              <w:rPr>
                <w:rFonts w:hint="eastAsia" w:ascii="宋体" w:hAnsi="宋体" w:eastAsia="宋体" w:cs="宋体"/>
                <w:lang w:eastAsia="zh-CN"/>
              </w:rPr>
              <w:t>氮氧化物排放</w:t>
            </w:r>
            <w:r>
              <w:rPr>
                <w:rFonts w:hint="eastAsia" w:ascii="宋体" w:hAnsi="宋体" w:eastAsia="宋体" w:cs="宋体"/>
              </w:rPr>
              <w:t>量为</w:t>
            </w:r>
            <w:r>
              <w:rPr>
                <w:rFonts w:hint="eastAsia" w:ascii="宋体" w:hAnsi="宋体" w:eastAsia="宋体" w:cs="宋体"/>
                <w:lang w:val="en-US" w:eastAsia="zh-CN"/>
              </w:rPr>
              <w:t>0.187</w:t>
            </w:r>
            <w:r>
              <w:rPr>
                <w:rFonts w:hint="eastAsia" w:ascii="宋体" w:hAnsi="宋体" w:eastAsia="宋体" w:cs="宋体"/>
              </w:rPr>
              <w:t>t/a（0.</w:t>
            </w:r>
            <w:r>
              <w:rPr>
                <w:rFonts w:hint="eastAsia" w:ascii="宋体" w:hAnsi="宋体" w:eastAsia="宋体" w:cs="宋体"/>
                <w:lang w:val="en-US" w:eastAsia="zh-CN"/>
              </w:rPr>
              <w:t>1</w:t>
            </w:r>
            <w:r>
              <w:rPr>
                <w:rFonts w:hint="eastAsia" w:ascii="宋体" w:hAnsi="宋体" w:eastAsia="宋体" w:cs="宋体"/>
              </w:rPr>
              <w:t>kg/h）</w:t>
            </w:r>
            <w:r>
              <w:rPr>
                <w:rFonts w:hint="eastAsia" w:ascii="宋体" w:hAnsi="宋体" w:eastAsia="宋体" w:cs="宋体"/>
                <w:lang w:eastAsia="zh-CN"/>
              </w:rPr>
              <w:t>，</w:t>
            </w:r>
            <w:r>
              <w:rPr>
                <w:rFonts w:hint="eastAsia" w:ascii="宋体" w:hAnsi="宋体" w:eastAsia="宋体" w:cs="宋体"/>
              </w:rPr>
              <w:t>排放浓度为</w:t>
            </w:r>
            <w:r>
              <w:rPr>
                <w:rFonts w:hint="eastAsia" w:ascii="宋体" w:hAnsi="宋体" w:eastAsia="宋体" w:cs="宋体"/>
                <w:lang w:val="en-US" w:eastAsia="zh-CN"/>
              </w:rPr>
              <w:t>20</w:t>
            </w:r>
            <w:r>
              <w:rPr>
                <w:rFonts w:hint="eastAsia" w:ascii="宋体" w:hAnsi="宋体" w:eastAsia="宋体" w:cs="宋体"/>
              </w:rPr>
              <w:t>mg/m</w:t>
            </w:r>
            <w:r>
              <w:rPr>
                <w:rFonts w:hint="eastAsia" w:ascii="宋体" w:hAnsi="宋体" w:eastAsia="宋体" w:cs="宋体"/>
                <w:vertAlign w:val="superscript"/>
              </w:rPr>
              <w:t>3</w:t>
            </w:r>
            <w:r>
              <w:rPr>
                <w:rFonts w:hint="eastAsia" w:ascii="宋体" w:hAnsi="宋体" w:eastAsia="宋体" w:cs="宋体"/>
              </w:rPr>
              <w:t>。</w:t>
            </w:r>
          </w:p>
          <w:p w14:paraId="1F8DA674">
            <w:pPr>
              <w:pStyle w:val="2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jc w:val="center"/>
              <w:textAlignment w:val="auto"/>
              <w:rPr>
                <w:rFonts w:hint="eastAsia" w:ascii="宋体" w:hAnsi="宋体" w:eastAsia="宋体" w:cs="宋体"/>
                <w:b/>
                <w:bCs w:val="0"/>
                <w:sz w:val="24"/>
                <w:szCs w:val="24"/>
                <w:lang w:eastAsia="zh-CN"/>
              </w:rPr>
            </w:pPr>
          </w:p>
          <w:p w14:paraId="319BAB97">
            <w:pPr>
              <w:pStyle w:val="2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jc w:val="center"/>
              <w:textAlignment w:val="auto"/>
              <w:rPr>
                <w:rFonts w:hint="eastAsia" w:ascii="宋体" w:hAnsi="宋体" w:eastAsia="宋体" w:cs="宋体"/>
                <w:sz w:val="24"/>
                <w:szCs w:val="24"/>
                <w:lang w:val="en-US" w:eastAsia="zh-CN"/>
              </w:rPr>
            </w:pPr>
            <w:r>
              <w:rPr>
                <w:rFonts w:hint="eastAsia" w:ascii="宋体" w:hAnsi="宋体" w:eastAsia="宋体" w:cs="宋体"/>
                <w:b/>
                <w:bCs w:val="0"/>
                <w:sz w:val="24"/>
                <w:szCs w:val="24"/>
                <w:lang w:eastAsia="zh-CN"/>
              </w:rPr>
              <w:t>表</w:t>
            </w:r>
            <w:r>
              <w:rPr>
                <w:rFonts w:hint="eastAsia" w:ascii="宋体" w:hAnsi="宋体" w:eastAsia="宋体" w:cs="宋体"/>
                <w:b/>
                <w:bCs w:val="0"/>
                <w:sz w:val="24"/>
                <w:szCs w:val="24"/>
                <w:lang w:val="en-US" w:eastAsia="zh-CN"/>
              </w:rPr>
              <w:t>4-3 本项目有组织废气污染源产生及排放情况</w:t>
            </w:r>
          </w:p>
          <w:tbl>
            <w:tblPr>
              <w:tblStyle w:val="30"/>
              <w:tblW w:w="85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6"/>
              <w:gridCol w:w="580"/>
              <w:gridCol w:w="563"/>
              <w:gridCol w:w="566"/>
              <w:gridCol w:w="709"/>
              <w:gridCol w:w="648"/>
              <w:gridCol w:w="668"/>
              <w:gridCol w:w="730"/>
              <w:gridCol w:w="411"/>
              <w:gridCol w:w="667"/>
              <w:gridCol w:w="725"/>
              <w:gridCol w:w="734"/>
              <w:gridCol w:w="441"/>
              <w:gridCol w:w="510"/>
            </w:tblGrid>
            <w:tr w14:paraId="03699C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6" w:type="dxa"/>
                  <w:vMerge w:val="restart"/>
                  <w:tcBorders>
                    <w:tl2br w:val="nil"/>
                    <w:tr2bl w:val="nil"/>
                  </w:tcBorders>
                  <w:noWrap w:val="0"/>
                  <w:vAlign w:val="center"/>
                </w:tcPr>
                <w:p w14:paraId="557F06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b/>
                      <w:bCs/>
                      <w:sz w:val="18"/>
                      <w:szCs w:val="18"/>
                    </w:rPr>
                  </w:pPr>
                  <w:r>
                    <w:rPr>
                      <w:rFonts w:hint="eastAsia" w:ascii="宋体" w:hAnsi="宋体" w:eastAsia="宋体" w:cs="宋体"/>
                      <w:b/>
                      <w:bCs/>
                      <w:sz w:val="18"/>
                      <w:szCs w:val="18"/>
                    </w:rPr>
                    <w:t>排气筒序号</w:t>
                  </w:r>
                </w:p>
              </w:tc>
              <w:tc>
                <w:tcPr>
                  <w:tcW w:w="580" w:type="dxa"/>
                  <w:vMerge w:val="restart"/>
                  <w:tcBorders>
                    <w:tl2br w:val="nil"/>
                    <w:tr2bl w:val="nil"/>
                  </w:tcBorders>
                  <w:noWrap w:val="0"/>
                  <w:vAlign w:val="center"/>
                </w:tcPr>
                <w:p w14:paraId="0CB33D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b/>
                      <w:bCs/>
                      <w:sz w:val="18"/>
                      <w:szCs w:val="18"/>
                    </w:rPr>
                  </w:pPr>
                  <w:r>
                    <w:rPr>
                      <w:rFonts w:hint="eastAsia" w:ascii="宋体" w:hAnsi="宋体" w:eastAsia="宋体" w:cs="宋体"/>
                      <w:b/>
                      <w:bCs/>
                      <w:sz w:val="18"/>
                      <w:szCs w:val="18"/>
                    </w:rPr>
                    <w:t>污染源</w:t>
                  </w:r>
                </w:p>
              </w:tc>
              <w:tc>
                <w:tcPr>
                  <w:tcW w:w="563" w:type="dxa"/>
                  <w:vMerge w:val="restart"/>
                  <w:tcBorders>
                    <w:tl2br w:val="nil"/>
                    <w:tr2bl w:val="nil"/>
                  </w:tcBorders>
                  <w:noWrap w:val="0"/>
                  <w:vAlign w:val="center"/>
                </w:tcPr>
                <w:p w14:paraId="45BD24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b/>
                      <w:bCs/>
                      <w:sz w:val="18"/>
                      <w:szCs w:val="18"/>
                    </w:rPr>
                  </w:pPr>
                  <w:r>
                    <w:rPr>
                      <w:rFonts w:hint="eastAsia" w:ascii="宋体" w:hAnsi="宋体" w:eastAsia="宋体" w:cs="宋体"/>
                      <w:b/>
                      <w:bCs/>
                      <w:sz w:val="18"/>
                      <w:szCs w:val="18"/>
                    </w:rPr>
                    <w:t>污染物</w:t>
                  </w:r>
                </w:p>
              </w:tc>
              <w:tc>
                <w:tcPr>
                  <w:tcW w:w="566" w:type="dxa"/>
                  <w:vMerge w:val="restart"/>
                  <w:tcBorders>
                    <w:tl2br w:val="nil"/>
                    <w:tr2bl w:val="nil"/>
                  </w:tcBorders>
                  <w:noWrap w:val="0"/>
                  <w:vAlign w:val="center"/>
                </w:tcPr>
                <w:p w14:paraId="61E58F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b/>
                      <w:bCs/>
                      <w:sz w:val="18"/>
                      <w:szCs w:val="18"/>
                    </w:rPr>
                  </w:pPr>
                  <w:r>
                    <w:rPr>
                      <w:rFonts w:hint="eastAsia" w:ascii="宋体" w:hAnsi="宋体" w:eastAsia="宋体" w:cs="宋体"/>
                      <w:b/>
                      <w:bCs/>
                      <w:sz w:val="18"/>
                      <w:szCs w:val="18"/>
                    </w:rPr>
                    <w:t>废气量Nm</w:t>
                  </w:r>
                  <w:r>
                    <w:rPr>
                      <w:rFonts w:hint="eastAsia" w:ascii="宋体" w:hAnsi="宋体" w:eastAsia="宋体" w:cs="宋体"/>
                      <w:b/>
                      <w:bCs/>
                      <w:sz w:val="18"/>
                      <w:szCs w:val="18"/>
                      <w:vertAlign w:val="superscript"/>
                    </w:rPr>
                    <w:t>3</w:t>
                  </w:r>
                  <w:r>
                    <w:rPr>
                      <w:rFonts w:hint="eastAsia" w:ascii="宋体" w:hAnsi="宋体" w:eastAsia="宋体" w:cs="宋体"/>
                      <w:b/>
                      <w:bCs/>
                      <w:sz w:val="18"/>
                      <w:szCs w:val="18"/>
                    </w:rPr>
                    <w:t>/h</w:t>
                  </w:r>
                </w:p>
              </w:tc>
              <w:tc>
                <w:tcPr>
                  <w:tcW w:w="2025" w:type="dxa"/>
                  <w:gridSpan w:val="3"/>
                  <w:tcBorders>
                    <w:tl2br w:val="nil"/>
                    <w:tr2bl w:val="nil"/>
                  </w:tcBorders>
                  <w:noWrap w:val="0"/>
                  <w:vAlign w:val="center"/>
                </w:tcPr>
                <w:p w14:paraId="5AC190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b/>
                      <w:bCs/>
                      <w:sz w:val="18"/>
                      <w:szCs w:val="18"/>
                    </w:rPr>
                  </w:pPr>
                  <w:r>
                    <w:rPr>
                      <w:rFonts w:hint="eastAsia" w:ascii="宋体" w:hAnsi="宋体" w:eastAsia="宋体" w:cs="宋体"/>
                      <w:b/>
                      <w:bCs/>
                      <w:sz w:val="18"/>
                      <w:szCs w:val="18"/>
                    </w:rPr>
                    <w:t>污染物产生量</w:t>
                  </w:r>
                </w:p>
              </w:tc>
              <w:tc>
                <w:tcPr>
                  <w:tcW w:w="730" w:type="dxa"/>
                  <w:vMerge w:val="restart"/>
                  <w:tcBorders>
                    <w:tl2br w:val="nil"/>
                    <w:tr2bl w:val="nil"/>
                  </w:tcBorders>
                  <w:noWrap w:val="0"/>
                  <w:vAlign w:val="center"/>
                </w:tcPr>
                <w:p w14:paraId="3D0314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b/>
                      <w:bCs/>
                      <w:sz w:val="18"/>
                      <w:szCs w:val="18"/>
                    </w:rPr>
                  </w:pPr>
                  <w:r>
                    <w:rPr>
                      <w:rFonts w:hint="eastAsia" w:ascii="宋体" w:hAnsi="宋体" w:eastAsia="宋体" w:cs="宋体"/>
                      <w:b/>
                      <w:bCs/>
                      <w:sz w:val="18"/>
                      <w:szCs w:val="18"/>
                    </w:rPr>
                    <w:t>治理措施</w:t>
                  </w:r>
                </w:p>
              </w:tc>
              <w:tc>
                <w:tcPr>
                  <w:tcW w:w="411" w:type="dxa"/>
                  <w:vMerge w:val="restart"/>
                  <w:tcBorders>
                    <w:tl2br w:val="nil"/>
                    <w:tr2bl w:val="nil"/>
                  </w:tcBorders>
                  <w:noWrap w:val="0"/>
                  <w:vAlign w:val="center"/>
                </w:tcPr>
                <w:p w14:paraId="22D9B3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b/>
                      <w:bCs/>
                      <w:sz w:val="18"/>
                      <w:szCs w:val="18"/>
                    </w:rPr>
                  </w:pPr>
                  <w:r>
                    <w:rPr>
                      <w:rFonts w:hint="eastAsia" w:ascii="宋体" w:hAnsi="宋体" w:eastAsia="宋体" w:cs="宋体"/>
                      <w:b/>
                      <w:bCs/>
                      <w:sz w:val="18"/>
                      <w:szCs w:val="18"/>
                    </w:rPr>
                    <w:t>去除率%</w:t>
                  </w:r>
                </w:p>
              </w:tc>
              <w:tc>
                <w:tcPr>
                  <w:tcW w:w="2126" w:type="dxa"/>
                  <w:gridSpan w:val="3"/>
                  <w:tcBorders>
                    <w:tl2br w:val="nil"/>
                    <w:tr2bl w:val="nil"/>
                  </w:tcBorders>
                  <w:noWrap w:val="0"/>
                  <w:vAlign w:val="center"/>
                </w:tcPr>
                <w:p w14:paraId="090CCC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b/>
                      <w:bCs/>
                      <w:sz w:val="18"/>
                      <w:szCs w:val="18"/>
                    </w:rPr>
                  </w:pPr>
                  <w:r>
                    <w:rPr>
                      <w:rFonts w:hint="eastAsia" w:ascii="宋体" w:hAnsi="宋体" w:eastAsia="宋体" w:cs="宋体"/>
                      <w:b/>
                      <w:bCs/>
                      <w:sz w:val="18"/>
                      <w:szCs w:val="18"/>
                    </w:rPr>
                    <w:t>污染物排放量</w:t>
                  </w:r>
                </w:p>
              </w:tc>
              <w:tc>
                <w:tcPr>
                  <w:tcW w:w="951" w:type="dxa"/>
                  <w:gridSpan w:val="2"/>
                  <w:tcBorders>
                    <w:tl2br w:val="nil"/>
                    <w:tr2bl w:val="nil"/>
                  </w:tcBorders>
                  <w:noWrap w:val="0"/>
                  <w:vAlign w:val="center"/>
                </w:tcPr>
                <w:p w14:paraId="2D4533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b/>
                      <w:bCs/>
                      <w:sz w:val="18"/>
                      <w:szCs w:val="18"/>
                    </w:rPr>
                  </w:pPr>
                  <w:r>
                    <w:rPr>
                      <w:rFonts w:hint="eastAsia" w:ascii="宋体" w:hAnsi="宋体" w:eastAsia="宋体" w:cs="宋体"/>
                      <w:b/>
                      <w:bCs/>
                      <w:sz w:val="18"/>
                      <w:szCs w:val="18"/>
                    </w:rPr>
                    <w:t>排气筒</w:t>
                  </w:r>
                </w:p>
              </w:tc>
            </w:tr>
            <w:tr w14:paraId="2DBA32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6" w:type="dxa"/>
                  <w:vMerge w:val="continue"/>
                  <w:tcBorders>
                    <w:tl2br w:val="nil"/>
                    <w:tr2bl w:val="nil"/>
                  </w:tcBorders>
                  <w:noWrap w:val="0"/>
                  <w:vAlign w:val="center"/>
                </w:tcPr>
                <w:p w14:paraId="2267F2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b/>
                      <w:bCs/>
                      <w:sz w:val="18"/>
                      <w:szCs w:val="18"/>
                    </w:rPr>
                  </w:pPr>
                </w:p>
              </w:tc>
              <w:tc>
                <w:tcPr>
                  <w:tcW w:w="580" w:type="dxa"/>
                  <w:vMerge w:val="continue"/>
                  <w:tcBorders>
                    <w:tl2br w:val="nil"/>
                    <w:tr2bl w:val="nil"/>
                  </w:tcBorders>
                  <w:noWrap w:val="0"/>
                  <w:vAlign w:val="center"/>
                </w:tcPr>
                <w:p w14:paraId="7EE373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b/>
                      <w:bCs/>
                      <w:sz w:val="18"/>
                      <w:szCs w:val="18"/>
                    </w:rPr>
                  </w:pPr>
                </w:p>
              </w:tc>
              <w:tc>
                <w:tcPr>
                  <w:tcW w:w="563" w:type="dxa"/>
                  <w:vMerge w:val="continue"/>
                  <w:tcBorders>
                    <w:tl2br w:val="nil"/>
                    <w:tr2bl w:val="nil"/>
                  </w:tcBorders>
                  <w:noWrap w:val="0"/>
                  <w:vAlign w:val="center"/>
                </w:tcPr>
                <w:p w14:paraId="19BA58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b/>
                      <w:bCs/>
                      <w:sz w:val="18"/>
                      <w:szCs w:val="18"/>
                    </w:rPr>
                  </w:pPr>
                </w:p>
              </w:tc>
              <w:tc>
                <w:tcPr>
                  <w:tcW w:w="566" w:type="dxa"/>
                  <w:vMerge w:val="continue"/>
                  <w:tcBorders>
                    <w:tl2br w:val="nil"/>
                    <w:tr2bl w:val="nil"/>
                  </w:tcBorders>
                  <w:noWrap w:val="0"/>
                  <w:vAlign w:val="center"/>
                </w:tcPr>
                <w:p w14:paraId="5EC3E0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b/>
                      <w:bCs/>
                      <w:sz w:val="18"/>
                      <w:szCs w:val="18"/>
                    </w:rPr>
                  </w:pPr>
                </w:p>
              </w:tc>
              <w:tc>
                <w:tcPr>
                  <w:tcW w:w="709" w:type="dxa"/>
                  <w:tcBorders>
                    <w:tl2br w:val="nil"/>
                    <w:tr2bl w:val="nil"/>
                  </w:tcBorders>
                  <w:noWrap w:val="0"/>
                  <w:vAlign w:val="center"/>
                </w:tcPr>
                <w:p w14:paraId="1982BA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b/>
                      <w:bCs/>
                      <w:sz w:val="18"/>
                      <w:szCs w:val="18"/>
                    </w:rPr>
                  </w:pPr>
                  <w:r>
                    <w:rPr>
                      <w:rFonts w:hint="eastAsia" w:ascii="宋体" w:hAnsi="宋体" w:eastAsia="宋体" w:cs="宋体"/>
                      <w:b/>
                      <w:bCs/>
                      <w:sz w:val="18"/>
                      <w:szCs w:val="18"/>
                    </w:rPr>
                    <w:t>产生</w:t>
                  </w:r>
                </w:p>
                <w:p w14:paraId="4576E8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b/>
                      <w:bCs/>
                      <w:sz w:val="18"/>
                      <w:szCs w:val="18"/>
                    </w:rPr>
                  </w:pPr>
                  <w:r>
                    <w:rPr>
                      <w:rFonts w:hint="eastAsia" w:ascii="宋体" w:hAnsi="宋体" w:eastAsia="宋体" w:cs="宋体"/>
                      <w:b/>
                      <w:bCs/>
                      <w:sz w:val="18"/>
                      <w:szCs w:val="18"/>
                    </w:rPr>
                    <w:t>浓度mg/m</w:t>
                  </w:r>
                  <w:r>
                    <w:rPr>
                      <w:rFonts w:hint="eastAsia" w:ascii="宋体" w:hAnsi="宋体" w:eastAsia="宋体" w:cs="宋体"/>
                      <w:b/>
                      <w:bCs/>
                      <w:sz w:val="18"/>
                      <w:szCs w:val="18"/>
                      <w:vertAlign w:val="superscript"/>
                    </w:rPr>
                    <w:t>3</w:t>
                  </w:r>
                </w:p>
              </w:tc>
              <w:tc>
                <w:tcPr>
                  <w:tcW w:w="648" w:type="dxa"/>
                  <w:tcBorders>
                    <w:tl2br w:val="nil"/>
                    <w:tr2bl w:val="nil"/>
                  </w:tcBorders>
                  <w:noWrap w:val="0"/>
                  <w:vAlign w:val="center"/>
                </w:tcPr>
                <w:p w14:paraId="574929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b/>
                      <w:bCs/>
                      <w:sz w:val="18"/>
                      <w:szCs w:val="18"/>
                    </w:rPr>
                  </w:pPr>
                  <w:r>
                    <w:rPr>
                      <w:rFonts w:hint="eastAsia" w:ascii="宋体" w:hAnsi="宋体" w:eastAsia="宋体" w:cs="宋体"/>
                      <w:b/>
                      <w:bCs/>
                      <w:sz w:val="18"/>
                      <w:szCs w:val="18"/>
                    </w:rPr>
                    <w:t>产生</w:t>
                  </w:r>
                </w:p>
                <w:p w14:paraId="31A5F1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b/>
                      <w:bCs/>
                      <w:sz w:val="18"/>
                      <w:szCs w:val="18"/>
                    </w:rPr>
                  </w:pPr>
                  <w:r>
                    <w:rPr>
                      <w:rFonts w:hint="eastAsia" w:ascii="宋体" w:hAnsi="宋体" w:eastAsia="宋体" w:cs="宋体"/>
                      <w:b/>
                      <w:bCs/>
                      <w:sz w:val="18"/>
                      <w:szCs w:val="18"/>
                    </w:rPr>
                    <w:t>速率kg/h</w:t>
                  </w:r>
                </w:p>
              </w:tc>
              <w:tc>
                <w:tcPr>
                  <w:tcW w:w="668" w:type="dxa"/>
                  <w:tcBorders>
                    <w:tl2br w:val="nil"/>
                    <w:tr2bl w:val="nil"/>
                  </w:tcBorders>
                  <w:noWrap w:val="0"/>
                  <w:vAlign w:val="center"/>
                </w:tcPr>
                <w:p w14:paraId="2A6CED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b/>
                      <w:bCs/>
                      <w:sz w:val="18"/>
                      <w:szCs w:val="18"/>
                    </w:rPr>
                  </w:pPr>
                  <w:r>
                    <w:rPr>
                      <w:rFonts w:hint="eastAsia" w:ascii="宋体" w:hAnsi="宋体" w:eastAsia="宋体" w:cs="宋体"/>
                      <w:b/>
                      <w:bCs/>
                      <w:sz w:val="18"/>
                      <w:szCs w:val="18"/>
                    </w:rPr>
                    <w:t>产生量t/a</w:t>
                  </w:r>
                </w:p>
              </w:tc>
              <w:tc>
                <w:tcPr>
                  <w:tcW w:w="730" w:type="dxa"/>
                  <w:vMerge w:val="continue"/>
                  <w:tcBorders>
                    <w:tl2br w:val="nil"/>
                    <w:tr2bl w:val="nil"/>
                  </w:tcBorders>
                  <w:noWrap w:val="0"/>
                  <w:vAlign w:val="center"/>
                </w:tcPr>
                <w:p w14:paraId="6B2891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b/>
                      <w:bCs/>
                      <w:sz w:val="18"/>
                      <w:szCs w:val="18"/>
                    </w:rPr>
                  </w:pPr>
                </w:p>
              </w:tc>
              <w:tc>
                <w:tcPr>
                  <w:tcW w:w="411" w:type="dxa"/>
                  <w:vMerge w:val="continue"/>
                  <w:tcBorders>
                    <w:tl2br w:val="nil"/>
                    <w:tr2bl w:val="nil"/>
                  </w:tcBorders>
                  <w:noWrap w:val="0"/>
                  <w:vAlign w:val="center"/>
                </w:tcPr>
                <w:p w14:paraId="38AC96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b/>
                      <w:bCs/>
                      <w:sz w:val="18"/>
                      <w:szCs w:val="18"/>
                    </w:rPr>
                  </w:pPr>
                </w:p>
              </w:tc>
              <w:tc>
                <w:tcPr>
                  <w:tcW w:w="667" w:type="dxa"/>
                  <w:tcBorders>
                    <w:tl2br w:val="nil"/>
                    <w:tr2bl w:val="nil"/>
                  </w:tcBorders>
                  <w:noWrap w:val="0"/>
                  <w:vAlign w:val="center"/>
                </w:tcPr>
                <w:p w14:paraId="71FE25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b/>
                      <w:bCs/>
                      <w:sz w:val="18"/>
                      <w:szCs w:val="18"/>
                    </w:rPr>
                  </w:pPr>
                  <w:r>
                    <w:rPr>
                      <w:rFonts w:hint="eastAsia" w:ascii="宋体" w:hAnsi="宋体" w:eastAsia="宋体" w:cs="宋体"/>
                      <w:b/>
                      <w:bCs/>
                      <w:sz w:val="18"/>
                      <w:szCs w:val="18"/>
                    </w:rPr>
                    <w:t>排放</w:t>
                  </w:r>
                </w:p>
                <w:p w14:paraId="6E348F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b/>
                      <w:bCs/>
                      <w:sz w:val="18"/>
                      <w:szCs w:val="18"/>
                    </w:rPr>
                  </w:pPr>
                  <w:r>
                    <w:rPr>
                      <w:rFonts w:hint="eastAsia" w:ascii="宋体" w:hAnsi="宋体" w:eastAsia="宋体" w:cs="宋体"/>
                      <w:b/>
                      <w:bCs/>
                      <w:sz w:val="18"/>
                      <w:szCs w:val="18"/>
                    </w:rPr>
                    <w:t>浓度mg/m</w:t>
                  </w:r>
                  <w:r>
                    <w:rPr>
                      <w:rFonts w:hint="eastAsia" w:ascii="宋体" w:hAnsi="宋体" w:eastAsia="宋体" w:cs="宋体"/>
                      <w:b/>
                      <w:bCs/>
                      <w:sz w:val="18"/>
                      <w:szCs w:val="18"/>
                      <w:vertAlign w:val="superscript"/>
                    </w:rPr>
                    <w:t>3</w:t>
                  </w:r>
                </w:p>
              </w:tc>
              <w:tc>
                <w:tcPr>
                  <w:tcW w:w="725" w:type="dxa"/>
                  <w:tcBorders>
                    <w:tl2br w:val="nil"/>
                    <w:tr2bl w:val="nil"/>
                  </w:tcBorders>
                  <w:noWrap w:val="0"/>
                  <w:vAlign w:val="center"/>
                </w:tcPr>
                <w:p w14:paraId="68FB43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b/>
                      <w:bCs/>
                      <w:sz w:val="18"/>
                      <w:szCs w:val="18"/>
                    </w:rPr>
                  </w:pPr>
                  <w:r>
                    <w:rPr>
                      <w:rFonts w:hint="eastAsia" w:ascii="宋体" w:hAnsi="宋体" w:eastAsia="宋体" w:cs="宋体"/>
                      <w:b/>
                      <w:bCs/>
                      <w:sz w:val="18"/>
                      <w:szCs w:val="18"/>
                    </w:rPr>
                    <w:t>排放</w:t>
                  </w:r>
                </w:p>
                <w:p w14:paraId="0D9AD2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b/>
                      <w:bCs/>
                      <w:sz w:val="18"/>
                      <w:szCs w:val="18"/>
                    </w:rPr>
                  </w:pPr>
                  <w:r>
                    <w:rPr>
                      <w:rFonts w:hint="eastAsia" w:ascii="宋体" w:hAnsi="宋体" w:eastAsia="宋体" w:cs="宋体"/>
                      <w:b/>
                      <w:bCs/>
                      <w:sz w:val="18"/>
                      <w:szCs w:val="18"/>
                    </w:rPr>
                    <w:t>速率kg/h</w:t>
                  </w:r>
                </w:p>
              </w:tc>
              <w:tc>
                <w:tcPr>
                  <w:tcW w:w="734" w:type="dxa"/>
                  <w:tcBorders>
                    <w:tl2br w:val="nil"/>
                    <w:tr2bl w:val="nil"/>
                  </w:tcBorders>
                  <w:noWrap w:val="0"/>
                  <w:vAlign w:val="center"/>
                </w:tcPr>
                <w:p w14:paraId="02F3D3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b/>
                      <w:bCs/>
                      <w:sz w:val="18"/>
                      <w:szCs w:val="18"/>
                    </w:rPr>
                  </w:pPr>
                  <w:r>
                    <w:rPr>
                      <w:rFonts w:hint="eastAsia" w:ascii="宋体" w:hAnsi="宋体" w:eastAsia="宋体" w:cs="宋体"/>
                      <w:b/>
                      <w:bCs/>
                      <w:sz w:val="18"/>
                      <w:szCs w:val="18"/>
                    </w:rPr>
                    <w:t>排放量t/a</w:t>
                  </w:r>
                </w:p>
              </w:tc>
              <w:tc>
                <w:tcPr>
                  <w:tcW w:w="441" w:type="dxa"/>
                  <w:tcBorders>
                    <w:tl2br w:val="nil"/>
                    <w:tr2bl w:val="nil"/>
                  </w:tcBorders>
                  <w:noWrap w:val="0"/>
                  <w:vAlign w:val="center"/>
                </w:tcPr>
                <w:p w14:paraId="43F264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b/>
                      <w:bCs/>
                      <w:sz w:val="18"/>
                      <w:szCs w:val="18"/>
                    </w:rPr>
                  </w:pPr>
                  <w:r>
                    <w:rPr>
                      <w:rFonts w:hint="eastAsia" w:ascii="宋体" w:hAnsi="宋体" w:eastAsia="宋体" w:cs="宋体"/>
                      <w:b/>
                      <w:bCs/>
                      <w:sz w:val="18"/>
                      <w:szCs w:val="18"/>
                    </w:rPr>
                    <w:t>高度m</w:t>
                  </w:r>
                </w:p>
              </w:tc>
              <w:tc>
                <w:tcPr>
                  <w:tcW w:w="510" w:type="dxa"/>
                  <w:tcBorders>
                    <w:tl2br w:val="nil"/>
                    <w:tr2bl w:val="nil"/>
                  </w:tcBorders>
                  <w:noWrap w:val="0"/>
                  <w:vAlign w:val="center"/>
                </w:tcPr>
                <w:p w14:paraId="6CD14C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b/>
                      <w:bCs/>
                      <w:sz w:val="18"/>
                      <w:szCs w:val="18"/>
                    </w:rPr>
                  </w:pPr>
                  <w:r>
                    <w:rPr>
                      <w:rFonts w:hint="eastAsia" w:ascii="宋体" w:hAnsi="宋体" w:eastAsia="宋体" w:cs="宋体"/>
                      <w:b/>
                      <w:bCs/>
                      <w:sz w:val="18"/>
                      <w:szCs w:val="18"/>
                    </w:rPr>
                    <w:t>内径m</w:t>
                  </w:r>
                </w:p>
              </w:tc>
            </w:tr>
            <w:tr w14:paraId="69F811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6" w:type="dxa"/>
                  <w:tcBorders>
                    <w:tl2br w:val="nil"/>
                    <w:tr2bl w:val="nil"/>
                  </w:tcBorders>
                  <w:noWrap w:val="0"/>
                  <w:vAlign w:val="center"/>
                </w:tcPr>
                <w:p w14:paraId="77EEDB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val="en-US"/>
                    </w:rPr>
                  </w:pPr>
                  <w:r>
                    <w:rPr>
                      <w:rFonts w:hint="eastAsia" w:ascii="宋体" w:hAnsi="宋体" w:eastAsia="宋体" w:cs="宋体"/>
                      <w:sz w:val="18"/>
                      <w:szCs w:val="18"/>
                      <w:lang w:val="en-US" w:eastAsia="zh-CN"/>
                    </w:rPr>
                    <w:t>DA001</w:t>
                  </w:r>
                </w:p>
              </w:tc>
              <w:tc>
                <w:tcPr>
                  <w:tcW w:w="580" w:type="dxa"/>
                  <w:tcBorders>
                    <w:tl2br w:val="nil"/>
                    <w:tr2bl w:val="nil"/>
                  </w:tcBorders>
                  <w:noWrap w:val="0"/>
                  <w:vAlign w:val="center"/>
                </w:tcPr>
                <w:p w14:paraId="551A1F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lang w:val="en-US" w:eastAsia="zh-CN"/>
                    </w:rPr>
                    <w:t>喷塑</w:t>
                  </w:r>
                </w:p>
              </w:tc>
              <w:tc>
                <w:tcPr>
                  <w:tcW w:w="563" w:type="dxa"/>
                  <w:tcBorders>
                    <w:tl2br w:val="nil"/>
                    <w:tr2bl w:val="nil"/>
                  </w:tcBorders>
                  <w:noWrap w:val="0"/>
                  <w:vAlign w:val="center"/>
                </w:tcPr>
                <w:p w14:paraId="2A6AE3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lang w:val="en-US" w:eastAsia="zh-CN"/>
                    </w:rPr>
                    <w:t>颗粒物</w:t>
                  </w:r>
                </w:p>
              </w:tc>
              <w:tc>
                <w:tcPr>
                  <w:tcW w:w="566" w:type="dxa"/>
                  <w:tcBorders>
                    <w:tl2br w:val="nil"/>
                    <w:tr2bl w:val="nil"/>
                  </w:tcBorders>
                  <w:noWrap w:val="0"/>
                  <w:vAlign w:val="center"/>
                </w:tcPr>
                <w:p w14:paraId="5A89D0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12000</w:t>
                  </w:r>
                </w:p>
              </w:tc>
              <w:tc>
                <w:tcPr>
                  <w:tcW w:w="709" w:type="dxa"/>
                  <w:tcBorders>
                    <w:tl2br w:val="nil"/>
                    <w:tr2bl w:val="nil"/>
                  </w:tcBorders>
                  <w:noWrap w:val="0"/>
                  <w:vAlign w:val="center"/>
                </w:tcPr>
                <w:p w14:paraId="2C03CB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164.1</w:t>
                  </w:r>
                </w:p>
              </w:tc>
              <w:tc>
                <w:tcPr>
                  <w:tcW w:w="648" w:type="dxa"/>
                  <w:tcBorders>
                    <w:tl2br w:val="nil"/>
                    <w:tr2bl w:val="nil"/>
                  </w:tcBorders>
                  <w:noWrap w:val="0"/>
                  <w:vAlign w:val="center"/>
                </w:tcPr>
                <w:p w14:paraId="2AE94D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1.97</w:t>
                  </w:r>
                </w:p>
              </w:tc>
              <w:tc>
                <w:tcPr>
                  <w:tcW w:w="668" w:type="dxa"/>
                  <w:tcBorders>
                    <w:tl2br w:val="nil"/>
                    <w:tr2bl w:val="nil"/>
                  </w:tcBorders>
                  <w:noWrap w:val="0"/>
                  <w:vAlign w:val="center"/>
                </w:tcPr>
                <w:p w14:paraId="34DDAC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3.9455</w:t>
                  </w:r>
                </w:p>
              </w:tc>
              <w:tc>
                <w:tcPr>
                  <w:tcW w:w="730" w:type="dxa"/>
                  <w:tcBorders>
                    <w:tl2br w:val="nil"/>
                    <w:tr2bl w:val="nil"/>
                  </w:tcBorders>
                  <w:noWrap w:val="0"/>
                  <w:vAlign w:val="center"/>
                </w:tcPr>
                <w:p w14:paraId="362474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旋风除尘+布袋除尘</w:t>
                  </w:r>
                </w:p>
              </w:tc>
              <w:tc>
                <w:tcPr>
                  <w:tcW w:w="411" w:type="dxa"/>
                  <w:tcBorders>
                    <w:tl2br w:val="nil"/>
                    <w:tr2bl w:val="nil"/>
                  </w:tcBorders>
                  <w:noWrap w:val="0"/>
                  <w:vAlign w:val="center"/>
                </w:tcPr>
                <w:p w14:paraId="0538BC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95</w:t>
                  </w:r>
                </w:p>
              </w:tc>
              <w:tc>
                <w:tcPr>
                  <w:tcW w:w="667" w:type="dxa"/>
                  <w:tcBorders>
                    <w:tl2br w:val="nil"/>
                    <w:tr2bl w:val="nil"/>
                  </w:tcBorders>
                  <w:noWrap w:val="0"/>
                  <w:vAlign w:val="center"/>
                </w:tcPr>
                <w:p w14:paraId="154C4E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8.3</w:t>
                  </w:r>
                </w:p>
              </w:tc>
              <w:tc>
                <w:tcPr>
                  <w:tcW w:w="725" w:type="dxa"/>
                  <w:tcBorders>
                    <w:tl2br w:val="nil"/>
                    <w:tr2bl w:val="nil"/>
                  </w:tcBorders>
                  <w:noWrap w:val="0"/>
                  <w:vAlign w:val="center"/>
                </w:tcPr>
                <w:p w14:paraId="28C36E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0.1</w:t>
                  </w:r>
                </w:p>
              </w:tc>
              <w:tc>
                <w:tcPr>
                  <w:tcW w:w="734" w:type="dxa"/>
                  <w:tcBorders>
                    <w:tl2br w:val="nil"/>
                    <w:tr2bl w:val="nil"/>
                  </w:tcBorders>
                  <w:noWrap w:val="0"/>
                  <w:vAlign w:val="center"/>
                </w:tcPr>
                <w:p w14:paraId="7E64BA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0.197</w:t>
                  </w:r>
                </w:p>
              </w:tc>
              <w:tc>
                <w:tcPr>
                  <w:tcW w:w="441" w:type="dxa"/>
                  <w:tcBorders>
                    <w:tl2br w:val="nil"/>
                    <w:tr2bl w:val="nil"/>
                  </w:tcBorders>
                  <w:noWrap w:val="0"/>
                  <w:vAlign w:val="center"/>
                </w:tcPr>
                <w:p w14:paraId="5087BB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15</w:t>
                  </w:r>
                </w:p>
              </w:tc>
              <w:tc>
                <w:tcPr>
                  <w:tcW w:w="510" w:type="dxa"/>
                  <w:tcBorders>
                    <w:tl2br w:val="nil"/>
                    <w:tr2bl w:val="nil"/>
                  </w:tcBorders>
                  <w:noWrap w:val="0"/>
                  <w:vAlign w:val="center"/>
                </w:tcPr>
                <w:p w14:paraId="23EE81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rPr>
                  </w:pPr>
                  <w:r>
                    <w:rPr>
                      <w:rFonts w:hint="eastAsia" w:ascii="宋体" w:hAnsi="宋体" w:eastAsia="宋体" w:cs="宋体"/>
                      <w:sz w:val="18"/>
                      <w:szCs w:val="18"/>
                      <w:lang w:val="en-US" w:eastAsia="zh-CN"/>
                    </w:rPr>
                    <w:t>0.4</w:t>
                  </w:r>
                </w:p>
              </w:tc>
            </w:tr>
            <w:tr w14:paraId="22F8B7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6" w:type="dxa"/>
                  <w:tcBorders>
                    <w:tl2br w:val="nil"/>
                    <w:tr2bl w:val="nil"/>
                  </w:tcBorders>
                  <w:noWrap w:val="0"/>
                  <w:vAlign w:val="center"/>
                </w:tcPr>
                <w:p w14:paraId="764B3D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DA002</w:t>
                  </w:r>
                </w:p>
              </w:tc>
              <w:tc>
                <w:tcPr>
                  <w:tcW w:w="580" w:type="dxa"/>
                  <w:tcBorders>
                    <w:tl2br w:val="nil"/>
                    <w:tr2bl w:val="nil"/>
                  </w:tcBorders>
                  <w:noWrap w:val="0"/>
                  <w:vAlign w:val="center"/>
                </w:tcPr>
                <w:p w14:paraId="57D036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lang w:val="en-US" w:eastAsia="zh-CN"/>
                    </w:rPr>
                    <w:t>喷塑</w:t>
                  </w:r>
                </w:p>
              </w:tc>
              <w:tc>
                <w:tcPr>
                  <w:tcW w:w="563" w:type="dxa"/>
                  <w:tcBorders>
                    <w:tl2br w:val="nil"/>
                    <w:tr2bl w:val="nil"/>
                  </w:tcBorders>
                  <w:noWrap w:val="0"/>
                  <w:vAlign w:val="center"/>
                </w:tcPr>
                <w:p w14:paraId="15D83B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lang w:val="en-US" w:eastAsia="zh-CN"/>
                    </w:rPr>
                    <w:t>颗粒物</w:t>
                  </w:r>
                </w:p>
              </w:tc>
              <w:tc>
                <w:tcPr>
                  <w:tcW w:w="566" w:type="dxa"/>
                  <w:tcBorders>
                    <w:tl2br w:val="nil"/>
                    <w:tr2bl w:val="nil"/>
                  </w:tcBorders>
                  <w:noWrap w:val="0"/>
                  <w:vAlign w:val="center"/>
                </w:tcPr>
                <w:p w14:paraId="249305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12000</w:t>
                  </w:r>
                </w:p>
              </w:tc>
              <w:tc>
                <w:tcPr>
                  <w:tcW w:w="709" w:type="dxa"/>
                  <w:tcBorders>
                    <w:tl2br w:val="nil"/>
                    <w:tr2bl w:val="nil"/>
                  </w:tcBorders>
                  <w:noWrap w:val="0"/>
                  <w:vAlign w:val="center"/>
                </w:tcPr>
                <w:p w14:paraId="42EB3F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164.1</w:t>
                  </w:r>
                </w:p>
              </w:tc>
              <w:tc>
                <w:tcPr>
                  <w:tcW w:w="648" w:type="dxa"/>
                  <w:tcBorders>
                    <w:tl2br w:val="nil"/>
                    <w:tr2bl w:val="nil"/>
                  </w:tcBorders>
                  <w:noWrap w:val="0"/>
                  <w:vAlign w:val="center"/>
                </w:tcPr>
                <w:p w14:paraId="2A022B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1.97</w:t>
                  </w:r>
                </w:p>
              </w:tc>
              <w:tc>
                <w:tcPr>
                  <w:tcW w:w="668" w:type="dxa"/>
                  <w:tcBorders>
                    <w:tl2br w:val="nil"/>
                    <w:tr2bl w:val="nil"/>
                  </w:tcBorders>
                  <w:noWrap w:val="0"/>
                  <w:vAlign w:val="center"/>
                </w:tcPr>
                <w:p w14:paraId="05F381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3.9455</w:t>
                  </w:r>
                </w:p>
              </w:tc>
              <w:tc>
                <w:tcPr>
                  <w:tcW w:w="730" w:type="dxa"/>
                  <w:tcBorders>
                    <w:tl2br w:val="nil"/>
                    <w:tr2bl w:val="nil"/>
                  </w:tcBorders>
                  <w:noWrap w:val="0"/>
                  <w:vAlign w:val="center"/>
                </w:tcPr>
                <w:p w14:paraId="04999F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lang w:val="en-US" w:eastAsia="zh-CN"/>
                    </w:rPr>
                    <w:t>旋风除尘+布袋除尘</w:t>
                  </w:r>
                </w:p>
              </w:tc>
              <w:tc>
                <w:tcPr>
                  <w:tcW w:w="411" w:type="dxa"/>
                  <w:tcBorders>
                    <w:tl2br w:val="nil"/>
                    <w:tr2bl w:val="nil"/>
                  </w:tcBorders>
                  <w:noWrap w:val="0"/>
                  <w:vAlign w:val="center"/>
                </w:tcPr>
                <w:p w14:paraId="2F7F0D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95</w:t>
                  </w:r>
                </w:p>
              </w:tc>
              <w:tc>
                <w:tcPr>
                  <w:tcW w:w="667" w:type="dxa"/>
                  <w:tcBorders>
                    <w:tl2br w:val="nil"/>
                    <w:tr2bl w:val="nil"/>
                  </w:tcBorders>
                  <w:noWrap w:val="0"/>
                  <w:vAlign w:val="center"/>
                </w:tcPr>
                <w:p w14:paraId="64F7A2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8.3</w:t>
                  </w:r>
                </w:p>
              </w:tc>
              <w:tc>
                <w:tcPr>
                  <w:tcW w:w="725" w:type="dxa"/>
                  <w:tcBorders>
                    <w:tl2br w:val="nil"/>
                    <w:tr2bl w:val="nil"/>
                  </w:tcBorders>
                  <w:noWrap w:val="0"/>
                  <w:vAlign w:val="center"/>
                </w:tcPr>
                <w:p w14:paraId="1BFA4E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0.1</w:t>
                  </w:r>
                </w:p>
              </w:tc>
              <w:tc>
                <w:tcPr>
                  <w:tcW w:w="734" w:type="dxa"/>
                  <w:tcBorders>
                    <w:tl2br w:val="nil"/>
                    <w:tr2bl w:val="nil"/>
                  </w:tcBorders>
                  <w:noWrap w:val="0"/>
                  <w:vAlign w:val="center"/>
                </w:tcPr>
                <w:p w14:paraId="4F50D9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0.197</w:t>
                  </w:r>
                </w:p>
              </w:tc>
              <w:tc>
                <w:tcPr>
                  <w:tcW w:w="441" w:type="dxa"/>
                  <w:tcBorders>
                    <w:tl2br w:val="nil"/>
                    <w:tr2bl w:val="nil"/>
                  </w:tcBorders>
                  <w:noWrap w:val="0"/>
                  <w:vAlign w:val="center"/>
                </w:tcPr>
                <w:p w14:paraId="733F25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15</w:t>
                  </w:r>
                </w:p>
              </w:tc>
              <w:tc>
                <w:tcPr>
                  <w:tcW w:w="510" w:type="dxa"/>
                  <w:tcBorders>
                    <w:tl2br w:val="nil"/>
                    <w:tr2bl w:val="nil"/>
                  </w:tcBorders>
                  <w:noWrap w:val="0"/>
                  <w:vAlign w:val="center"/>
                </w:tcPr>
                <w:p w14:paraId="7BBFE1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0.4</w:t>
                  </w:r>
                </w:p>
              </w:tc>
            </w:tr>
            <w:tr w14:paraId="217B2F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6" w:type="dxa"/>
                  <w:tcBorders>
                    <w:tl2br w:val="nil"/>
                    <w:tr2bl w:val="nil"/>
                  </w:tcBorders>
                  <w:noWrap w:val="0"/>
                  <w:vAlign w:val="center"/>
                </w:tcPr>
                <w:p w14:paraId="718245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DA003</w:t>
                  </w:r>
                </w:p>
              </w:tc>
              <w:tc>
                <w:tcPr>
                  <w:tcW w:w="580" w:type="dxa"/>
                  <w:tcBorders>
                    <w:tl2br w:val="nil"/>
                    <w:tr2bl w:val="nil"/>
                  </w:tcBorders>
                  <w:noWrap w:val="0"/>
                  <w:vAlign w:val="center"/>
                </w:tcPr>
                <w:p w14:paraId="6D5A86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喷砂、打磨</w:t>
                  </w:r>
                </w:p>
              </w:tc>
              <w:tc>
                <w:tcPr>
                  <w:tcW w:w="563" w:type="dxa"/>
                  <w:tcBorders>
                    <w:tl2br w:val="nil"/>
                    <w:tr2bl w:val="nil"/>
                  </w:tcBorders>
                  <w:noWrap w:val="0"/>
                  <w:vAlign w:val="center"/>
                </w:tcPr>
                <w:p w14:paraId="4944B1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颗粒物</w:t>
                  </w:r>
                </w:p>
              </w:tc>
              <w:tc>
                <w:tcPr>
                  <w:tcW w:w="566" w:type="dxa"/>
                  <w:tcBorders>
                    <w:tl2br w:val="nil"/>
                    <w:tr2bl w:val="nil"/>
                  </w:tcBorders>
                  <w:noWrap w:val="0"/>
                  <w:vAlign w:val="center"/>
                </w:tcPr>
                <w:p w14:paraId="4CB5E0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6000</w:t>
                  </w:r>
                </w:p>
              </w:tc>
              <w:tc>
                <w:tcPr>
                  <w:tcW w:w="709" w:type="dxa"/>
                  <w:tcBorders>
                    <w:tl2br w:val="nil"/>
                    <w:tr2bl w:val="nil"/>
                  </w:tcBorders>
                  <w:noWrap w:val="0"/>
                  <w:vAlign w:val="center"/>
                </w:tcPr>
                <w:p w14:paraId="2CAAC8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173.3</w:t>
                  </w:r>
                </w:p>
              </w:tc>
              <w:tc>
                <w:tcPr>
                  <w:tcW w:w="648" w:type="dxa"/>
                  <w:tcBorders>
                    <w:tl2br w:val="nil"/>
                    <w:tr2bl w:val="nil"/>
                  </w:tcBorders>
                  <w:noWrap w:val="0"/>
                  <w:vAlign w:val="center"/>
                </w:tcPr>
                <w:p w14:paraId="4415CD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1.04</w:t>
                  </w:r>
                </w:p>
              </w:tc>
              <w:tc>
                <w:tcPr>
                  <w:tcW w:w="668" w:type="dxa"/>
                  <w:tcBorders>
                    <w:tl2br w:val="nil"/>
                    <w:tr2bl w:val="nil"/>
                  </w:tcBorders>
                  <w:noWrap w:val="0"/>
                  <w:vAlign w:val="center"/>
                </w:tcPr>
                <w:p w14:paraId="1C01AD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2.08</w:t>
                  </w:r>
                </w:p>
              </w:tc>
              <w:tc>
                <w:tcPr>
                  <w:tcW w:w="730" w:type="dxa"/>
                  <w:tcBorders>
                    <w:tl2br w:val="nil"/>
                    <w:tr2bl w:val="nil"/>
                  </w:tcBorders>
                  <w:noWrap w:val="0"/>
                  <w:vAlign w:val="center"/>
                </w:tcPr>
                <w:p w14:paraId="19913D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脉冲式布袋除尘</w:t>
                  </w:r>
                </w:p>
              </w:tc>
              <w:tc>
                <w:tcPr>
                  <w:tcW w:w="411" w:type="dxa"/>
                  <w:tcBorders>
                    <w:tl2br w:val="nil"/>
                    <w:tr2bl w:val="nil"/>
                  </w:tcBorders>
                  <w:noWrap w:val="0"/>
                  <w:vAlign w:val="center"/>
                </w:tcPr>
                <w:p w14:paraId="0CB817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95</w:t>
                  </w:r>
                </w:p>
              </w:tc>
              <w:tc>
                <w:tcPr>
                  <w:tcW w:w="667" w:type="dxa"/>
                  <w:tcBorders>
                    <w:tl2br w:val="nil"/>
                    <w:tr2bl w:val="nil"/>
                  </w:tcBorders>
                  <w:noWrap w:val="0"/>
                  <w:vAlign w:val="center"/>
                </w:tcPr>
                <w:p w14:paraId="7EDF62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8.6</w:t>
                  </w:r>
                </w:p>
              </w:tc>
              <w:tc>
                <w:tcPr>
                  <w:tcW w:w="725" w:type="dxa"/>
                  <w:tcBorders>
                    <w:tl2br w:val="nil"/>
                    <w:tr2bl w:val="nil"/>
                  </w:tcBorders>
                  <w:noWrap w:val="0"/>
                  <w:vAlign w:val="center"/>
                </w:tcPr>
                <w:p w14:paraId="2A2E84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0.052</w:t>
                  </w:r>
                </w:p>
              </w:tc>
              <w:tc>
                <w:tcPr>
                  <w:tcW w:w="734" w:type="dxa"/>
                  <w:tcBorders>
                    <w:tl2br w:val="nil"/>
                    <w:tr2bl w:val="nil"/>
                  </w:tcBorders>
                  <w:noWrap w:val="0"/>
                  <w:vAlign w:val="center"/>
                </w:tcPr>
                <w:p w14:paraId="453778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0.104</w:t>
                  </w:r>
                </w:p>
              </w:tc>
              <w:tc>
                <w:tcPr>
                  <w:tcW w:w="441" w:type="dxa"/>
                  <w:tcBorders>
                    <w:tl2br w:val="nil"/>
                    <w:tr2bl w:val="nil"/>
                  </w:tcBorders>
                  <w:noWrap w:val="0"/>
                  <w:vAlign w:val="center"/>
                </w:tcPr>
                <w:p w14:paraId="75E211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15</w:t>
                  </w:r>
                </w:p>
              </w:tc>
              <w:tc>
                <w:tcPr>
                  <w:tcW w:w="510" w:type="dxa"/>
                  <w:tcBorders>
                    <w:tl2br w:val="nil"/>
                    <w:tr2bl w:val="nil"/>
                  </w:tcBorders>
                  <w:noWrap w:val="0"/>
                  <w:vAlign w:val="center"/>
                </w:tcPr>
                <w:p w14:paraId="74AB42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0.6</w:t>
                  </w:r>
                </w:p>
              </w:tc>
            </w:tr>
            <w:tr w14:paraId="7A6AEA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566" w:type="dxa"/>
                  <w:vMerge w:val="restart"/>
                  <w:tcBorders>
                    <w:tl2br w:val="nil"/>
                    <w:tr2bl w:val="nil"/>
                  </w:tcBorders>
                  <w:noWrap w:val="0"/>
                  <w:vAlign w:val="center"/>
                </w:tcPr>
                <w:p w14:paraId="7061DE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val="en-US"/>
                    </w:rPr>
                  </w:pPr>
                  <w:r>
                    <w:rPr>
                      <w:rFonts w:hint="eastAsia" w:ascii="宋体" w:hAnsi="宋体" w:eastAsia="宋体" w:cs="宋体"/>
                      <w:sz w:val="18"/>
                      <w:szCs w:val="18"/>
                      <w:lang w:val="en-US" w:eastAsia="zh-CN"/>
                    </w:rPr>
                    <w:t>DA004</w:t>
                  </w:r>
                </w:p>
              </w:tc>
              <w:tc>
                <w:tcPr>
                  <w:tcW w:w="580" w:type="dxa"/>
                  <w:vMerge w:val="restart"/>
                  <w:tcBorders>
                    <w:tl2br w:val="nil"/>
                    <w:tr2bl w:val="nil"/>
                  </w:tcBorders>
                  <w:noWrap w:val="0"/>
                  <w:vAlign w:val="center"/>
                </w:tcPr>
                <w:p w14:paraId="112EE0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lang w:eastAsia="zh-CN"/>
                    </w:rPr>
                    <w:t>天然气燃烧</w:t>
                  </w:r>
                </w:p>
              </w:tc>
              <w:tc>
                <w:tcPr>
                  <w:tcW w:w="563" w:type="dxa"/>
                  <w:tcBorders>
                    <w:tl2br w:val="nil"/>
                    <w:tr2bl w:val="nil"/>
                  </w:tcBorders>
                  <w:noWrap w:val="0"/>
                  <w:vAlign w:val="center"/>
                </w:tcPr>
                <w:p w14:paraId="023F28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kern w:val="2"/>
                      <w:sz w:val="18"/>
                      <w:szCs w:val="18"/>
                      <w:lang w:val="en-US" w:eastAsia="zh-CN" w:bidi="ar-SA"/>
                    </w:rPr>
                  </w:pPr>
                  <w:r>
                    <w:rPr>
                      <w:rFonts w:hint="eastAsia" w:ascii="宋体" w:hAnsi="宋体" w:eastAsia="宋体" w:cs="宋体"/>
                      <w:sz w:val="18"/>
                      <w:szCs w:val="18"/>
                      <w:lang w:eastAsia="zh-CN"/>
                    </w:rPr>
                    <w:t>颗粒物</w:t>
                  </w:r>
                </w:p>
              </w:tc>
              <w:tc>
                <w:tcPr>
                  <w:tcW w:w="566" w:type="dxa"/>
                  <w:vMerge w:val="restart"/>
                  <w:tcBorders>
                    <w:tl2br w:val="nil"/>
                    <w:tr2bl w:val="nil"/>
                  </w:tcBorders>
                  <w:noWrap w:val="0"/>
                  <w:vAlign w:val="center"/>
                </w:tcPr>
                <w:p w14:paraId="0D8A5E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5000</w:t>
                  </w:r>
                </w:p>
              </w:tc>
              <w:tc>
                <w:tcPr>
                  <w:tcW w:w="709" w:type="dxa"/>
                  <w:tcBorders>
                    <w:tl2br w:val="nil"/>
                    <w:tr2bl w:val="nil"/>
                  </w:tcBorders>
                  <w:noWrap w:val="0"/>
                  <w:vAlign w:val="center"/>
                </w:tcPr>
                <w:p w14:paraId="055920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2.8</w:t>
                  </w:r>
                </w:p>
              </w:tc>
              <w:tc>
                <w:tcPr>
                  <w:tcW w:w="648" w:type="dxa"/>
                  <w:tcBorders>
                    <w:tl2br w:val="nil"/>
                    <w:tr2bl w:val="nil"/>
                  </w:tcBorders>
                  <w:noWrap w:val="0"/>
                  <w:vAlign w:val="center"/>
                </w:tcPr>
                <w:p w14:paraId="573CC9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0.014</w:t>
                  </w:r>
                </w:p>
              </w:tc>
              <w:tc>
                <w:tcPr>
                  <w:tcW w:w="668" w:type="dxa"/>
                  <w:tcBorders>
                    <w:tl2br w:val="nil"/>
                    <w:tr2bl w:val="nil"/>
                  </w:tcBorders>
                  <w:noWrap w:val="0"/>
                  <w:vAlign w:val="center"/>
                </w:tcPr>
                <w:p w14:paraId="54B03E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0.028</w:t>
                  </w:r>
                </w:p>
              </w:tc>
              <w:tc>
                <w:tcPr>
                  <w:tcW w:w="730" w:type="dxa"/>
                  <w:tcBorders>
                    <w:tl2br w:val="nil"/>
                    <w:tr2bl w:val="nil"/>
                  </w:tcBorders>
                  <w:noWrap w:val="0"/>
                  <w:vAlign w:val="center"/>
                </w:tcPr>
                <w:p w14:paraId="5790BA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c>
                <w:tcPr>
                  <w:tcW w:w="411" w:type="dxa"/>
                  <w:tcBorders>
                    <w:tl2br w:val="nil"/>
                    <w:tr2bl w:val="nil"/>
                  </w:tcBorders>
                  <w:noWrap w:val="0"/>
                  <w:vAlign w:val="center"/>
                </w:tcPr>
                <w:p w14:paraId="79DFB3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c>
                <w:tcPr>
                  <w:tcW w:w="667" w:type="dxa"/>
                  <w:tcBorders>
                    <w:tl2br w:val="nil"/>
                    <w:tr2bl w:val="nil"/>
                  </w:tcBorders>
                  <w:noWrap w:val="0"/>
                  <w:vAlign w:val="center"/>
                </w:tcPr>
                <w:p w14:paraId="75FBF1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2.8</w:t>
                  </w:r>
                </w:p>
              </w:tc>
              <w:tc>
                <w:tcPr>
                  <w:tcW w:w="725" w:type="dxa"/>
                  <w:tcBorders>
                    <w:tl2br w:val="nil"/>
                    <w:tr2bl w:val="nil"/>
                  </w:tcBorders>
                  <w:noWrap w:val="0"/>
                  <w:vAlign w:val="center"/>
                </w:tcPr>
                <w:p w14:paraId="566F54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0.014</w:t>
                  </w:r>
                </w:p>
              </w:tc>
              <w:tc>
                <w:tcPr>
                  <w:tcW w:w="734" w:type="dxa"/>
                  <w:tcBorders>
                    <w:tl2br w:val="nil"/>
                    <w:tr2bl w:val="nil"/>
                  </w:tcBorders>
                  <w:noWrap w:val="0"/>
                  <w:vAlign w:val="center"/>
                </w:tcPr>
                <w:p w14:paraId="3D49C6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0.028</w:t>
                  </w:r>
                </w:p>
              </w:tc>
              <w:tc>
                <w:tcPr>
                  <w:tcW w:w="441" w:type="dxa"/>
                  <w:vMerge w:val="restart"/>
                  <w:tcBorders>
                    <w:tl2br w:val="nil"/>
                    <w:tr2bl w:val="nil"/>
                  </w:tcBorders>
                  <w:noWrap w:val="0"/>
                  <w:vAlign w:val="center"/>
                </w:tcPr>
                <w:p w14:paraId="37F866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15</w:t>
                  </w:r>
                </w:p>
              </w:tc>
              <w:tc>
                <w:tcPr>
                  <w:tcW w:w="510" w:type="dxa"/>
                  <w:vMerge w:val="restart"/>
                  <w:tcBorders>
                    <w:tl2br w:val="nil"/>
                    <w:tr2bl w:val="nil"/>
                  </w:tcBorders>
                  <w:noWrap w:val="0"/>
                  <w:vAlign w:val="center"/>
                </w:tcPr>
                <w:p w14:paraId="023E82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0.8</w:t>
                  </w:r>
                </w:p>
              </w:tc>
            </w:tr>
            <w:tr w14:paraId="7A3A1F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566" w:type="dxa"/>
                  <w:vMerge w:val="continue"/>
                  <w:tcBorders>
                    <w:tl2br w:val="nil"/>
                    <w:tr2bl w:val="nil"/>
                  </w:tcBorders>
                  <w:noWrap w:val="0"/>
                  <w:vAlign w:val="center"/>
                </w:tcPr>
                <w:p w14:paraId="410376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rPr>
                  </w:pPr>
                </w:p>
              </w:tc>
              <w:tc>
                <w:tcPr>
                  <w:tcW w:w="580" w:type="dxa"/>
                  <w:vMerge w:val="continue"/>
                  <w:tcBorders>
                    <w:tl2br w:val="nil"/>
                    <w:tr2bl w:val="nil"/>
                  </w:tcBorders>
                  <w:noWrap w:val="0"/>
                  <w:vAlign w:val="center"/>
                </w:tcPr>
                <w:p w14:paraId="444D79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rPr>
                  </w:pPr>
                </w:p>
              </w:tc>
              <w:tc>
                <w:tcPr>
                  <w:tcW w:w="563" w:type="dxa"/>
                  <w:tcBorders>
                    <w:tl2br w:val="nil"/>
                    <w:tr2bl w:val="nil"/>
                  </w:tcBorders>
                  <w:noWrap w:val="0"/>
                  <w:vAlign w:val="center"/>
                </w:tcPr>
                <w:p w14:paraId="3D197B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kern w:val="2"/>
                      <w:sz w:val="18"/>
                      <w:szCs w:val="18"/>
                      <w:vertAlign w:val="subscript"/>
                      <w:lang w:val="en-US" w:eastAsia="zh-CN" w:bidi="ar-SA"/>
                    </w:rPr>
                  </w:pPr>
                  <w:r>
                    <w:rPr>
                      <w:rFonts w:hint="eastAsia" w:ascii="宋体" w:hAnsi="宋体" w:eastAsia="宋体" w:cs="宋体"/>
                      <w:sz w:val="18"/>
                      <w:szCs w:val="18"/>
                      <w:lang w:val="en-US" w:eastAsia="zh-CN"/>
                    </w:rPr>
                    <w:t>SO</w:t>
                  </w:r>
                  <w:r>
                    <w:rPr>
                      <w:rFonts w:hint="eastAsia" w:ascii="宋体" w:hAnsi="宋体" w:eastAsia="宋体" w:cs="宋体"/>
                      <w:sz w:val="18"/>
                      <w:szCs w:val="18"/>
                      <w:vertAlign w:val="subscript"/>
                      <w:lang w:val="en-US" w:eastAsia="zh-CN"/>
                    </w:rPr>
                    <w:t>2</w:t>
                  </w:r>
                </w:p>
              </w:tc>
              <w:tc>
                <w:tcPr>
                  <w:tcW w:w="566" w:type="dxa"/>
                  <w:vMerge w:val="continue"/>
                  <w:tcBorders>
                    <w:tl2br w:val="nil"/>
                    <w:tr2bl w:val="nil"/>
                  </w:tcBorders>
                  <w:noWrap w:val="0"/>
                  <w:vAlign w:val="center"/>
                </w:tcPr>
                <w:p w14:paraId="7802FA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eastAsia="zh-CN"/>
                    </w:rPr>
                  </w:pPr>
                </w:p>
              </w:tc>
              <w:tc>
                <w:tcPr>
                  <w:tcW w:w="709" w:type="dxa"/>
                  <w:tcBorders>
                    <w:tl2br w:val="nil"/>
                    <w:tr2bl w:val="nil"/>
                  </w:tcBorders>
                  <w:noWrap w:val="0"/>
                  <w:vAlign w:val="center"/>
                </w:tcPr>
                <w:p w14:paraId="3FF758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2</w:t>
                  </w:r>
                </w:p>
              </w:tc>
              <w:tc>
                <w:tcPr>
                  <w:tcW w:w="648" w:type="dxa"/>
                  <w:tcBorders>
                    <w:tl2br w:val="nil"/>
                    <w:tr2bl w:val="nil"/>
                  </w:tcBorders>
                  <w:noWrap w:val="0"/>
                  <w:vAlign w:val="center"/>
                </w:tcPr>
                <w:p w14:paraId="762E09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0.01</w:t>
                  </w:r>
                </w:p>
              </w:tc>
              <w:tc>
                <w:tcPr>
                  <w:tcW w:w="668" w:type="dxa"/>
                  <w:tcBorders>
                    <w:tl2br w:val="nil"/>
                    <w:tr2bl w:val="nil"/>
                  </w:tcBorders>
                  <w:noWrap w:val="0"/>
                  <w:vAlign w:val="center"/>
                </w:tcPr>
                <w:p w14:paraId="3E9703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0.02</w:t>
                  </w:r>
                </w:p>
              </w:tc>
              <w:tc>
                <w:tcPr>
                  <w:tcW w:w="730" w:type="dxa"/>
                  <w:tcBorders>
                    <w:tl2br w:val="nil"/>
                    <w:tr2bl w:val="nil"/>
                  </w:tcBorders>
                  <w:noWrap w:val="0"/>
                  <w:vAlign w:val="center"/>
                </w:tcPr>
                <w:p w14:paraId="4F2E70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c>
                <w:tcPr>
                  <w:tcW w:w="411" w:type="dxa"/>
                  <w:tcBorders>
                    <w:tl2br w:val="nil"/>
                    <w:tr2bl w:val="nil"/>
                  </w:tcBorders>
                  <w:noWrap w:val="0"/>
                  <w:vAlign w:val="center"/>
                </w:tcPr>
                <w:p w14:paraId="47FA4F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c>
                <w:tcPr>
                  <w:tcW w:w="667" w:type="dxa"/>
                  <w:tcBorders>
                    <w:tl2br w:val="nil"/>
                    <w:tr2bl w:val="nil"/>
                  </w:tcBorders>
                  <w:noWrap w:val="0"/>
                  <w:vAlign w:val="center"/>
                </w:tcPr>
                <w:p w14:paraId="49A650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2</w:t>
                  </w:r>
                </w:p>
              </w:tc>
              <w:tc>
                <w:tcPr>
                  <w:tcW w:w="725" w:type="dxa"/>
                  <w:tcBorders>
                    <w:tl2br w:val="nil"/>
                    <w:tr2bl w:val="nil"/>
                  </w:tcBorders>
                  <w:noWrap w:val="0"/>
                  <w:vAlign w:val="center"/>
                </w:tcPr>
                <w:p w14:paraId="1E721F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0.01</w:t>
                  </w:r>
                </w:p>
              </w:tc>
              <w:tc>
                <w:tcPr>
                  <w:tcW w:w="734" w:type="dxa"/>
                  <w:tcBorders>
                    <w:tl2br w:val="nil"/>
                    <w:tr2bl w:val="nil"/>
                  </w:tcBorders>
                  <w:noWrap w:val="0"/>
                  <w:vAlign w:val="center"/>
                </w:tcPr>
                <w:p w14:paraId="3DF3FB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0.02</w:t>
                  </w:r>
                </w:p>
              </w:tc>
              <w:tc>
                <w:tcPr>
                  <w:tcW w:w="441" w:type="dxa"/>
                  <w:vMerge w:val="continue"/>
                  <w:tcBorders>
                    <w:tl2br w:val="nil"/>
                    <w:tr2bl w:val="nil"/>
                  </w:tcBorders>
                  <w:noWrap w:val="0"/>
                  <w:vAlign w:val="center"/>
                </w:tcPr>
                <w:p w14:paraId="447C19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eastAsia="zh-CN"/>
                    </w:rPr>
                  </w:pPr>
                </w:p>
              </w:tc>
              <w:tc>
                <w:tcPr>
                  <w:tcW w:w="510" w:type="dxa"/>
                  <w:vMerge w:val="continue"/>
                  <w:tcBorders>
                    <w:tl2br w:val="nil"/>
                    <w:tr2bl w:val="nil"/>
                  </w:tcBorders>
                  <w:noWrap w:val="0"/>
                  <w:vAlign w:val="center"/>
                </w:tcPr>
                <w:p w14:paraId="69602B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eastAsia="zh-CN"/>
                    </w:rPr>
                  </w:pPr>
                </w:p>
              </w:tc>
            </w:tr>
            <w:tr w14:paraId="2E9744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566" w:type="dxa"/>
                  <w:vMerge w:val="continue"/>
                  <w:tcBorders>
                    <w:tl2br w:val="nil"/>
                    <w:tr2bl w:val="nil"/>
                  </w:tcBorders>
                  <w:noWrap w:val="0"/>
                  <w:vAlign w:val="center"/>
                </w:tcPr>
                <w:p w14:paraId="7112F0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eastAsia="zh-CN"/>
                    </w:rPr>
                  </w:pPr>
                </w:p>
              </w:tc>
              <w:tc>
                <w:tcPr>
                  <w:tcW w:w="580" w:type="dxa"/>
                  <w:vMerge w:val="continue"/>
                  <w:tcBorders>
                    <w:tl2br w:val="nil"/>
                    <w:tr2bl w:val="nil"/>
                  </w:tcBorders>
                  <w:noWrap w:val="0"/>
                  <w:vAlign w:val="center"/>
                </w:tcPr>
                <w:p w14:paraId="6253E2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eastAsia="zh-CN"/>
                    </w:rPr>
                  </w:pPr>
                </w:p>
              </w:tc>
              <w:tc>
                <w:tcPr>
                  <w:tcW w:w="563" w:type="dxa"/>
                  <w:tcBorders>
                    <w:tl2br w:val="nil"/>
                    <w:tr2bl w:val="nil"/>
                  </w:tcBorders>
                  <w:noWrap w:val="0"/>
                  <w:vAlign w:val="center"/>
                </w:tcPr>
                <w:p w14:paraId="46F780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NOx</w:t>
                  </w:r>
                </w:p>
              </w:tc>
              <w:tc>
                <w:tcPr>
                  <w:tcW w:w="566" w:type="dxa"/>
                  <w:vMerge w:val="continue"/>
                  <w:tcBorders>
                    <w:tl2br w:val="nil"/>
                    <w:tr2bl w:val="nil"/>
                  </w:tcBorders>
                  <w:noWrap w:val="0"/>
                  <w:vAlign w:val="center"/>
                </w:tcPr>
                <w:p w14:paraId="6CA913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eastAsia="zh-CN"/>
                    </w:rPr>
                  </w:pPr>
                </w:p>
              </w:tc>
              <w:tc>
                <w:tcPr>
                  <w:tcW w:w="709" w:type="dxa"/>
                  <w:tcBorders>
                    <w:tl2br w:val="nil"/>
                    <w:tr2bl w:val="nil"/>
                  </w:tcBorders>
                  <w:noWrap w:val="0"/>
                  <w:vAlign w:val="center"/>
                </w:tcPr>
                <w:p w14:paraId="258582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20</w:t>
                  </w:r>
                </w:p>
              </w:tc>
              <w:tc>
                <w:tcPr>
                  <w:tcW w:w="648" w:type="dxa"/>
                  <w:tcBorders>
                    <w:tl2br w:val="nil"/>
                    <w:tr2bl w:val="nil"/>
                  </w:tcBorders>
                  <w:noWrap w:val="0"/>
                  <w:vAlign w:val="center"/>
                </w:tcPr>
                <w:p w14:paraId="47DAA2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0.1</w:t>
                  </w:r>
                </w:p>
              </w:tc>
              <w:tc>
                <w:tcPr>
                  <w:tcW w:w="668" w:type="dxa"/>
                  <w:tcBorders>
                    <w:tl2br w:val="nil"/>
                    <w:tr2bl w:val="nil"/>
                  </w:tcBorders>
                  <w:noWrap w:val="0"/>
                  <w:vAlign w:val="center"/>
                </w:tcPr>
                <w:p w14:paraId="7A8DFC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0.187</w:t>
                  </w:r>
                </w:p>
              </w:tc>
              <w:tc>
                <w:tcPr>
                  <w:tcW w:w="730" w:type="dxa"/>
                  <w:tcBorders>
                    <w:tl2br w:val="nil"/>
                    <w:tr2bl w:val="nil"/>
                  </w:tcBorders>
                  <w:noWrap w:val="0"/>
                  <w:vAlign w:val="center"/>
                </w:tcPr>
                <w:p w14:paraId="207B37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c>
                <w:tcPr>
                  <w:tcW w:w="411" w:type="dxa"/>
                  <w:tcBorders>
                    <w:tl2br w:val="nil"/>
                    <w:tr2bl w:val="nil"/>
                  </w:tcBorders>
                  <w:noWrap w:val="0"/>
                  <w:vAlign w:val="center"/>
                </w:tcPr>
                <w:p w14:paraId="134B40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c>
                <w:tcPr>
                  <w:tcW w:w="667" w:type="dxa"/>
                  <w:tcBorders>
                    <w:tl2br w:val="nil"/>
                    <w:tr2bl w:val="nil"/>
                  </w:tcBorders>
                  <w:noWrap w:val="0"/>
                  <w:vAlign w:val="center"/>
                </w:tcPr>
                <w:p w14:paraId="3E1223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20</w:t>
                  </w:r>
                </w:p>
              </w:tc>
              <w:tc>
                <w:tcPr>
                  <w:tcW w:w="725" w:type="dxa"/>
                  <w:tcBorders>
                    <w:tl2br w:val="nil"/>
                    <w:tr2bl w:val="nil"/>
                  </w:tcBorders>
                  <w:noWrap w:val="0"/>
                  <w:vAlign w:val="center"/>
                </w:tcPr>
                <w:p w14:paraId="6016A3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0.1</w:t>
                  </w:r>
                </w:p>
              </w:tc>
              <w:tc>
                <w:tcPr>
                  <w:tcW w:w="734" w:type="dxa"/>
                  <w:tcBorders>
                    <w:tl2br w:val="nil"/>
                    <w:tr2bl w:val="nil"/>
                  </w:tcBorders>
                  <w:noWrap w:val="0"/>
                  <w:vAlign w:val="center"/>
                </w:tcPr>
                <w:p w14:paraId="196A6F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0.187</w:t>
                  </w:r>
                </w:p>
              </w:tc>
              <w:tc>
                <w:tcPr>
                  <w:tcW w:w="441" w:type="dxa"/>
                  <w:vMerge w:val="continue"/>
                  <w:tcBorders>
                    <w:tl2br w:val="nil"/>
                    <w:tr2bl w:val="nil"/>
                  </w:tcBorders>
                  <w:noWrap w:val="0"/>
                  <w:vAlign w:val="center"/>
                </w:tcPr>
                <w:p w14:paraId="0C6F36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eastAsia="zh-CN"/>
                    </w:rPr>
                  </w:pPr>
                </w:p>
              </w:tc>
              <w:tc>
                <w:tcPr>
                  <w:tcW w:w="510" w:type="dxa"/>
                  <w:vMerge w:val="continue"/>
                  <w:tcBorders>
                    <w:tl2br w:val="nil"/>
                    <w:tr2bl w:val="nil"/>
                  </w:tcBorders>
                  <w:noWrap w:val="0"/>
                  <w:vAlign w:val="center"/>
                </w:tcPr>
                <w:p w14:paraId="0EBF8E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eastAsia="zh-CN"/>
                    </w:rPr>
                  </w:pPr>
                </w:p>
              </w:tc>
            </w:tr>
            <w:tr w14:paraId="3B3AA0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6" w:type="dxa"/>
                  <w:tcBorders>
                    <w:tl2br w:val="nil"/>
                    <w:tr2bl w:val="nil"/>
                  </w:tcBorders>
                  <w:noWrap w:val="0"/>
                  <w:vAlign w:val="center"/>
                </w:tcPr>
                <w:p w14:paraId="513D80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rPr>
                  </w:pPr>
                  <w:r>
                    <w:rPr>
                      <w:rFonts w:hint="eastAsia" w:ascii="宋体" w:hAnsi="宋体" w:eastAsia="宋体" w:cs="宋体"/>
                      <w:sz w:val="18"/>
                      <w:szCs w:val="18"/>
                      <w:lang w:val="en-US" w:eastAsia="zh-CN"/>
                    </w:rPr>
                    <w:t>DA005</w:t>
                  </w:r>
                </w:p>
              </w:tc>
              <w:tc>
                <w:tcPr>
                  <w:tcW w:w="580" w:type="dxa"/>
                  <w:tcBorders>
                    <w:tl2br w:val="nil"/>
                    <w:tr2bl w:val="nil"/>
                  </w:tcBorders>
                  <w:noWrap w:val="0"/>
                  <w:vAlign w:val="center"/>
                </w:tcPr>
                <w:p w14:paraId="6FF7E4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lang w:val="en-US" w:eastAsia="zh-CN"/>
                    </w:rPr>
                    <w:t>固化</w:t>
                  </w:r>
                </w:p>
              </w:tc>
              <w:tc>
                <w:tcPr>
                  <w:tcW w:w="563" w:type="dxa"/>
                  <w:tcBorders>
                    <w:tl2br w:val="nil"/>
                    <w:tr2bl w:val="nil"/>
                  </w:tcBorders>
                  <w:noWrap w:val="0"/>
                  <w:vAlign w:val="center"/>
                </w:tcPr>
                <w:p w14:paraId="29F18F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lang w:val="en-US" w:eastAsia="zh-CN"/>
                    </w:rPr>
                    <w:t>非甲烷总烃</w:t>
                  </w:r>
                </w:p>
              </w:tc>
              <w:tc>
                <w:tcPr>
                  <w:tcW w:w="566" w:type="dxa"/>
                  <w:tcBorders>
                    <w:tl2br w:val="nil"/>
                    <w:tr2bl w:val="nil"/>
                  </w:tcBorders>
                  <w:noWrap w:val="0"/>
                  <w:vAlign w:val="center"/>
                </w:tcPr>
                <w:p w14:paraId="279FFE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10000</w:t>
                  </w:r>
                </w:p>
              </w:tc>
              <w:tc>
                <w:tcPr>
                  <w:tcW w:w="709" w:type="dxa"/>
                  <w:tcBorders>
                    <w:tl2br w:val="nil"/>
                    <w:tr2bl w:val="nil"/>
                  </w:tcBorders>
                  <w:noWrap w:val="0"/>
                  <w:vAlign w:val="center"/>
                </w:tcPr>
                <w:p w14:paraId="5DE397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p>
              </w:tc>
              <w:tc>
                <w:tcPr>
                  <w:tcW w:w="648" w:type="dxa"/>
                  <w:tcBorders>
                    <w:tl2br w:val="nil"/>
                    <w:tr2bl w:val="nil"/>
                  </w:tcBorders>
                  <w:noWrap w:val="0"/>
                  <w:vAlign w:val="center"/>
                </w:tcPr>
                <w:p w14:paraId="22DE3A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0.011</w:t>
                  </w:r>
                </w:p>
              </w:tc>
              <w:tc>
                <w:tcPr>
                  <w:tcW w:w="668" w:type="dxa"/>
                  <w:tcBorders>
                    <w:tl2br w:val="nil"/>
                    <w:tr2bl w:val="nil"/>
                  </w:tcBorders>
                  <w:noWrap w:val="0"/>
                  <w:vAlign w:val="center"/>
                </w:tcPr>
                <w:p w14:paraId="7B243D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0.022</w:t>
                  </w:r>
                </w:p>
              </w:tc>
              <w:tc>
                <w:tcPr>
                  <w:tcW w:w="730" w:type="dxa"/>
                  <w:tcBorders>
                    <w:tl2br w:val="nil"/>
                    <w:tr2bl w:val="nil"/>
                  </w:tcBorders>
                  <w:noWrap w:val="0"/>
                  <w:vAlign w:val="center"/>
                </w:tcPr>
                <w:p w14:paraId="1C31DD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水喷淋+二级活性炭吸附</w:t>
                  </w:r>
                </w:p>
              </w:tc>
              <w:tc>
                <w:tcPr>
                  <w:tcW w:w="411" w:type="dxa"/>
                  <w:tcBorders>
                    <w:tl2br w:val="nil"/>
                    <w:tr2bl w:val="nil"/>
                  </w:tcBorders>
                  <w:noWrap w:val="0"/>
                  <w:vAlign w:val="center"/>
                </w:tcPr>
                <w:p w14:paraId="058B89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90</w:t>
                  </w:r>
                </w:p>
              </w:tc>
              <w:tc>
                <w:tcPr>
                  <w:tcW w:w="667" w:type="dxa"/>
                  <w:tcBorders>
                    <w:tl2br w:val="nil"/>
                    <w:tr2bl w:val="nil"/>
                  </w:tcBorders>
                  <w:noWrap w:val="0"/>
                  <w:vAlign w:val="center"/>
                </w:tcPr>
                <w:p w14:paraId="6F7384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0.1</w:t>
                  </w:r>
                </w:p>
              </w:tc>
              <w:tc>
                <w:tcPr>
                  <w:tcW w:w="725" w:type="dxa"/>
                  <w:tcBorders>
                    <w:tl2br w:val="nil"/>
                    <w:tr2bl w:val="nil"/>
                  </w:tcBorders>
                  <w:noWrap w:val="0"/>
                  <w:vAlign w:val="center"/>
                </w:tcPr>
                <w:p w14:paraId="1D7513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0.001</w:t>
                  </w:r>
                </w:p>
              </w:tc>
              <w:tc>
                <w:tcPr>
                  <w:tcW w:w="734" w:type="dxa"/>
                  <w:tcBorders>
                    <w:tl2br w:val="nil"/>
                    <w:tr2bl w:val="nil"/>
                  </w:tcBorders>
                  <w:noWrap w:val="0"/>
                  <w:vAlign w:val="center"/>
                </w:tcPr>
                <w:p w14:paraId="3B1B38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0.002</w:t>
                  </w:r>
                </w:p>
              </w:tc>
              <w:tc>
                <w:tcPr>
                  <w:tcW w:w="441" w:type="dxa"/>
                  <w:tcBorders>
                    <w:tl2br w:val="nil"/>
                    <w:tr2bl w:val="nil"/>
                  </w:tcBorders>
                  <w:noWrap w:val="0"/>
                  <w:vAlign w:val="center"/>
                </w:tcPr>
                <w:p w14:paraId="02116A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15</w:t>
                  </w:r>
                </w:p>
              </w:tc>
              <w:tc>
                <w:tcPr>
                  <w:tcW w:w="510" w:type="dxa"/>
                  <w:tcBorders>
                    <w:tl2br w:val="nil"/>
                    <w:tr2bl w:val="nil"/>
                  </w:tcBorders>
                  <w:noWrap w:val="0"/>
                  <w:vAlign w:val="center"/>
                </w:tcPr>
                <w:p w14:paraId="580300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0.5</w:t>
                  </w:r>
                </w:p>
              </w:tc>
            </w:tr>
          </w:tbl>
          <w:p w14:paraId="22D48EE7">
            <w:pPr>
              <w:keepNext w:val="0"/>
              <w:keepLines w:val="0"/>
              <w:pageBreakBefore w:val="0"/>
              <w:suppressLineNumbers w:val="0"/>
              <w:kinsoku/>
              <w:overflowPunct/>
              <w:bidi w:val="0"/>
              <w:adjustRightInd w:val="0"/>
              <w:snapToGrid w:val="0"/>
              <w:spacing w:before="0" w:beforeAutospacing="0" w:after="0" w:afterAutospacing="0" w:line="360" w:lineRule="auto"/>
              <w:ind w:left="0" w:right="0" w:firstLine="0"/>
              <w:jc w:val="center"/>
              <w:rPr>
                <w:rFonts w:hint="eastAsia" w:ascii="宋体" w:hAnsi="宋体" w:eastAsia="宋体" w:cs="宋体"/>
                <w:sz w:val="24"/>
                <w:szCs w:val="24"/>
              </w:rPr>
            </w:pPr>
            <w:r>
              <w:rPr>
                <w:rFonts w:hint="eastAsia" w:ascii="宋体" w:hAnsi="宋体" w:eastAsia="宋体" w:cs="宋体"/>
                <w:b/>
                <w:bCs/>
                <w:sz w:val="24"/>
                <w:szCs w:val="24"/>
                <w:lang w:val="en-US" w:eastAsia="zh-CN"/>
              </w:rPr>
              <w:t xml:space="preserve">表4-4 </w:t>
            </w:r>
            <w:r>
              <w:rPr>
                <w:rFonts w:hint="eastAsia" w:ascii="宋体" w:hAnsi="宋体" w:eastAsia="宋体" w:cs="宋体"/>
                <w:b/>
                <w:bCs/>
                <w:sz w:val="24"/>
                <w:szCs w:val="24"/>
                <w:lang w:eastAsia="zh-CN"/>
              </w:rPr>
              <w:t>本</w:t>
            </w:r>
            <w:r>
              <w:rPr>
                <w:rFonts w:hint="eastAsia" w:ascii="宋体" w:hAnsi="宋体" w:eastAsia="宋体" w:cs="宋体"/>
                <w:b/>
                <w:bCs/>
                <w:sz w:val="24"/>
                <w:szCs w:val="24"/>
              </w:rPr>
              <w:t>项目无组织废气污染源产生及排放情况</w:t>
            </w:r>
          </w:p>
          <w:tbl>
            <w:tblPr>
              <w:tblStyle w:val="30"/>
              <w:tblW w:w="836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5"/>
              <w:gridCol w:w="991"/>
              <w:gridCol w:w="874"/>
              <w:gridCol w:w="1093"/>
              <w:gridCol w:w="797"/>
              <w:gridCol w:w="1024"/>
              <w:gridCol w:w="1113"/>
              <w:gridCol w:w="1194"/>
              <w:gridCol w:w="807"/>
            </w:tblGrid>
            <w:tr w14:paraId="2CC94A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5" w:type="dxa"/>
                  <w:noWrap w:val="0"/>
                  <w:vAlign w:val="center"/>
                </w:tcPr>
                <w:p w14:paraId="2ACEA6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序号</w:t>
                  </w:r>
                </w:p>
              </w:tc>
              <w:tc>
                <w:tcPr>
                  <w:tcW w:w="991" w:type="dxa"/>
                  <w:noWrap w:val="0"/>
                  <w:vAlign w:val="center"/>
                </w:tcPr>
                <w:p w14:paraId="01B581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污染源位置</w:t>
                  </w:r>
                </w:p>
              </w:tc>
              <w:tc>
                <w:tcPr>
                  <w:tcW w:w="874" w:type="dxa"/>
                  <w:noWrap w:val="0"/>
                  <w:vAlign w:val="center"/>
                </w:tcPr>
                <w:p w14:paraId="33EA6A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污染物名称</w:t>
                  </w:r>
                </w:p>
              </w:tc>
              <w:tc>
                <w:tcPr>
                  <w:tcW w:w="1093" w:type="dxa"/>
                  <w:noWrap w:val="0"/>
                  <w:vAlign w:val="center"/>
                </w:tcPr>
                <w:p w14:paraId="30ED86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产生量</w:t>
                  </w:r>
                  <w:r>
                    <w:rPr>
                      <w:rFonts w:hint="eastAsia" w:ascii="宋体" w:hAnsi="宋体" w:eastAsia="宋体" w:cs="宋体"/>
                      <w:sz w:val="21"/>
                      <w:szCs w:val="21"/>
                    </w:rPr>
                    <w:t>（t/a）</w:t>
                  </w:r>
                </w:p>
              </w:tc>
              <w:tc>
                <w:tcPr>
                  <w:tcW w:w="797" w:type="dxa"/>
                  <w:noWrap w:val="0"/>
                  <w:vAlign w:val="center"/>
                </w:tcPr>
                <w:p w14:paraId="535E7E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防治措施</w:t>
                  </w:r>
                </w:p>
              </w:tc>
              <w:tc>
                <w:tcPr>
                  <w:tcW w:w="1024" w:type="dxa"/>
                  <w:noWrap w:val="0"/>
                  <w:vAlign w:val="center"/>
                </w:tcPr>
                <w:p w14:paraId="4E66A7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排放量（t/a）</w:t>
                  </w:r>
                </w:p>
              </w:tc>
              <w:tc>
                <w:tcPr>
                  <w:tcW w:w="1113" w:type="dxa"/>
                  <w:noWrap w:val="0"/>
                  <w:vAlign w:val="center"/>
                </w:tcPr>
                <w:p w14:paraId="7245CF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排放速率（kg/h）</w:t>
                  </w:r>
                </w:p>
              </w:tc>
              <w:tc>
                <w:tcPr>
                  <w:tcW w:w="1194" w:type="dxa"/>
                  <w:noWrap w:val="0"/>
                  <w:vAlign w:val="center"/>
                </w:tcPr>
                <w:p w14:paraId="57B135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面源面积（m</w:t>
                  </w:r>
                  <w:r>
                    <w:rPr>
                      <w:rFonts w:hint="eastAsia" w:ascii="宋体" w:hAnsi="宋体" w:eastAsia="宋体" w:cs="宋体"/>
                      <w:sz w:val="21"/>
                      <w:szCs w:val="21"/>
                      <w:vertAlign w:val="superscript"/>
                    </w:rPr>
                    <w:t>2</w:t>
                  </w:r>
                  <w:r>
                    <w:rPr>
                      <w:rFonts w:hint="eastAsia" w:ascii="宋体" w:hAnsi="宋体" w:eastAsia="宋体" w:cs="宋体"/>
                      <w:sz w:val="21"/>
                      <w:szCs w:val="21"/>
                    </w:rPr>
                    <w:t>）</w:t>
                  </w:r>
                </w:p>
              </w:tc>
              <w:tc>
                <w:tcPr>
                  <w:tcW w:w="807" w:type="dxa"/>
                  <w:noWrap w:val="0"/>
                  <w:vAlign w:val="center"/>
                </w:tcPr>
                <w:p w14:paraId="5E2FA4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面源高度 (m)</w:t>
                  </w:r>
                </w:p>
              </w:tc>
            </w:tr>
            <w:tr w14:paraId="3BC764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5" w:type="dxa"/>
                  <w:vMerge w:val="restart"/>
                  <w:noWrap w:val="0"/>
                  <w:vAlign w:val="center"/>
                </w:tcPr>
                <w:p w14:paraId="6A9835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991" w:type="dxa"/>
                  <w:vMerge w:val="restart"/>
                  <w:noWrap w:val="0"/>
                  <w:vAlign w:val="center"/>
                </w:tcPr>
                <w:p w14:paraId="6ABC59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生产</w:t>
                  </w:r>
                </w:p>
                <w:p w14:paraId="68D111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车间</w:t>
                  </w:r>
                </w:p>
              </w:tc>
              <w:tc>
                <w:tcPr>
                  <w:tcW w:w="874" w:type="dxa"/>
                  <w:noWrap w:val="0"/>
                  <w:vAlign w:val="center"/>
                </w:tcPr>
                <w:p w14:paraId="3D1B89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颗粒物</w:t>
                  </w:r>
                </w:p>
              </w:tc>
              <w:tc>
                <w:tcPr>
                  <w:tcW w:w="1093" w:type="dxa"/>
                  <w:noWrap w:val="0"/>
                  <w:vAlign w:val="center"/>
                </w:tcPr>
                <w:p w14:paraId="510938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0.524</w:t>
                  </w:r>
                </w:p>
              </w:tc>
              <w:tc>
                <w:tcPr>
                  <w:tcW w:w="797" w:type="dxa"/>
                  <w:vMerge w:val="restart"/>
                  <w:noWrap w:val="0"/>
                  <w:vAlign w:val="center"/>
                </w:tcPr>
                <w:p w14:paraId="58B76A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车间</w:t>
                  </w:r>
                </w:p>
                <w:p w14:paraId="3B7362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通风</w:t>
                  </w:r>
                </w:p>
              </w:tc>
              <w:tc>
                <w:tcPr>
                  <w:tcW w:w="1024" w:type="dxa"/>
                  <w:noWrap w:val="0"/>
                  <w:vAlign w:val="center"/>
                </w:tcPr>
                <w:p w14:paraId="6209E9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0.524</w:t>
                  </w:r>
                </w:p>
              </w:tc>
              <w:tc>
                <w:tcPr>
                  <w:tcW w:w="1113" w:type="dxa"/>
                  <w:noWrap w:val="0"/>
                  <w:vAlign w:val="center"/>
                </w:tcPr>
                <w:p w14:paraId="49B550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0.262</w:t>
                  </w:r>
                </w:p>
              </w:tc>
              <w:tc>
                <w:tcPr>
                  <w:tcW w:w="1194" w:type="dxa"/>
                  <w:vMerge w:val="restart"/>
                  <w:noWrap w:val="0"/>
                  <w:vAlign w:val="center"/>
                </w:tcPr>
                <w:p w14:paraId="6BDBEB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2000</w:t>
                  </w:r>
                </w:p>
              </w:tc>
              <w:tc>
                <w:tcPr>
                  <w:tcW w:w="807" w:type="dxa"/>
                  <w:vMerge w:val="restart"/>
                  <w:noWrap w:val="0"/>
                  <w:vAlign w:val="center"/>
                </w:tcPr>
                <w:p w14:paraId="523A1C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p>
              </w:tc>
            </w:tr>
            <w:tr w14:paraId="0CA525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5" w:type="dxa"/>
                  <w:vMerge w:val="continue"/>
                  <w:noWrap w:val="0"/>
                  <w:vAlign w:val="center"/>
                </w:tcPr>
                <w:p w14:paraId="111B74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lang w:val="en-US" w:eastAsia="zh-CN"/>
                    </w:rPr>
                  </w:pPr>
                </w:p>
              </w:tc>
              <w:tc>
                <w:tcPr>
                  <w:tcW w:w="991" w:type="dxa"/>
                  <w:vMerge w:val="continue"/>
                  <w:noWrap w:val="0"/>
                  <w:vAlign w:val="center"/>
                </w:tcPr>
                <w:p w14:paraId="06A643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lang w:eastAsia="zh-CN"/>
                    </w:rPr>
                  </w:pPr>
                </w:p>
              </w:tc>
              <w:tc>
                <w:tcPr>
                  <w:tcW w:w="874" w:type="dxa"/>
                  <w:noWrap w:val="0"/>
                  <w:vAlign w:val="center"/>
                </w:tcPr>
                <w:p w14:paraId="64CBAF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非甲烷总烃</w:t>
                  </w:r>
                </w:p>
              </w:tc>
              <w:tc>
                <w:tcPr>
                  <w:tcW w:w="1093" w:type="dxa"/>
                  <w:noWrap w:val="0"/>
                  <w:vAlign w:val="center"/>
                </w:tcPr>
                <w:p w14:paraId="045444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0.002</w:t>
                  </w:r>
                </w:p>
              </w:tc>
              <w:tc>
                <w:tcPr>
                  <w:tcW w:w="797" w:type="dxa"/>
                  <w:vMerge w:val="continue"/>
                  <w:noWrap w:val="0"/>
                  <w:vAlign w:val="center"/>
                </w:tcPr>
                <w:p w14:paraId="7E0D5E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p>
              </w:tc>
              <w:tc>
                <w:tcPr>
                  <w:tcW w:w="1024" w:type="dxa"/>
                  <w:noWrap w:val="0"/>
                  <w:vAlign w:val="center"/>
                </w:tcPr>
                <w:p w14:paraId="027684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0.002</w:t>
                  </w:r>
                </w:p>
              </w:tc>
              <w:tc>
                <w:tcPr>
                  <w:tcW w:w="1113" w:type="dxa"/>
                  <w:noWrap w:val="0"/>
                  <w:vAlign w:val="center"/>
                </w:tcPr>
                <w:p w14:paraId="230EBC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0.001</w:t>
                  </w:r>
                </w:p>
              </w:tc>
              <w:tc>
                <w:tcPr>
                  <w:tcW w:w="1194" w:type="dxa"/>
                  <w:vMerge w:val="continue"/>
                  <w:noWrap w:val="0"/>
                  <w:vAlign w:val="center"/>
                </w:tcPr>
                <w:p w14:paraId="0B5067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lang w:val="en-US" w:eastAsia="zh-CN"/>
                    </w:rPr>
                  </w:pPr>
                </w:p>
              </w:tc>
              <w:tc>
                <w:tcPr>
                  <w:tcW w:w="807" w:type="dxa"/>
                  <w:vMerge w:val="continue"/>
                  <w:noWrap w:val="0"/>
                  <w:vAlign w:val="center"/>
                </w:tcPr>
                <w:p w14:paraId="7AFDCF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lang w:val="en-US" w:eastAsia="zh-CN"/>
                    </w:rPr>
                  </w:pPr>
                </w:p>
              </w:tc>
            </w:tr>
          </w:tbl>
          <w:p w14:paraId="357065DC">
            <w:pPr>
              <w:pStyle w:val="16"/>
              <w:keepNext w:val="0"/>
              <w:keepLines w:val="0"/>
              <w:numPr>
                <w:ilvl w:val="0"/>
                <w:numId w:val="0"/>
              </w:numPr>
              <w:suppressLineNumbers w:val="0"/>
              <w:adjustRightInd w:val="0"/>
              <w:snapToGrid w:val="0"/>
              <w:spacing w:before="0" w:beforeAutospacing="0" w:after="0" w:afterAutospacing="0"/>
              <w:ind w:left="0" w:right="0"/>
              <w:rPr>
                <w:rFonts w:hint="eastAsia" w:ascii="宋体" w:hAnsi="宋体" w:eastAsia="宋体" w:cs="宋体"/>
              </w:rPr>
            </w:pPr>
            <w:r>
              <w:rPr>
                <w:rFonts w:hint="eastAsia" w:ascii="宋体" w:hAnsi="宋体" w:eastAsia="宋体" w:cs="宋体"/>
              </w:rPr>
              <w:t>2、污防设施</w:t>
            </w:r>
          </w:p>
          <w:p w14:paraId="652F2599">
            <w:pPr>
              <w:pStyle w:val="3"/>
              <w:keepNext/>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right="0" w:firstLine="480" w:firstLineChars="200"/>
              <w:jc w:val="left"/>
              <w:textAlignment w:val="baseline"/>
              <w:rPr>
                <w:rFonts w:hint="eastAsia" w:ascii="宋体" w:hAnsi="宋体" w:eastAsia="宋体" w:cs="宋体"/>
                <w:b w:val="0"/>
                <w:bCs/>
                <w:sz w:val="24"/>
                <w:szCs w:val="24"/>
                <w:lang w:eastAsia="zh-CN"/>
              </w:rPr>
            </w:pPr>
            <w:r>
              <w:rPr>
                <w:rFonts w:hint="eastAsia" w:ascii="宋体" w:hAnsi="宋体" w:eastAsia="宋体" w:cs="宋体"/>
                <w:b w:val="0"/>
                <w:bCs w:val="0"/>
                <w:sz w:val="24"/>
                <w:szCs w:val="24"/>
              </w:rPr>
              <w:t>⑴</w:t>
            </w:r>
            <w:r>
              <w:rPr>
                <w:rFonts w:hint="eastAsia" w:ascii="宋体" w:hAnsi="宋体" w:eastAsia="宋体" w:cs="宋体"/>
                <w:b w:val="0"/>
                <w:bCs/>
                <w:sz w:val="24"/>
                <w:szCs w:val="24"/>
              </w:rPr>
              <w:t>喷</w:t>
            </w:r>
            <w:r>
              <w:rPr>
                <w:rFonts w:hint="eastAsia" w:ascii="宋体" w:hAnsi="宋体" w:eastAsia="宋体" w:cs="宋体"/>
                <w:b w:val="0"/>
                <w:bCs/>
                <w:sz w:val="24"/>
                <w:szCs w:val="24"/>
                <w:lang w:val="en-US" w:eastAsia="zh-CN"/>
              </w:rPr>
              <w:t>塑</w:t>
            </w:r>
            <w:r>
              <w:rPr>
                <w:rFonts w:hint="eastAsia" w:ascii="宋体" w:hAnsi="宋体" w:eastAsia="宋体" w:cs="宋体"/>
                <w:b w:val="0"/>
                <w:bCs/>
                <w:sz w:val="24"/>
                <w:szCs w:val="24"/>
                <w:lang w:eastAsia="zh-CN"/>
              </w:rPr>
              <w:t>废气</w:t>
            </w:r>
          </w:p>
          <w:p w14:paraId="2B4D9B9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firstLine="480" w:firstLineChars="200"/>
              <w:rPr>
                <w:rFonts w:hint="eastAsia" w:ascii="宋体" w:hAnsi="宋体" w:eastAsia="宋体" w:cs="宋体"/>
                <w:lang w:eastAsia="zh-CN"/>
              </w:rPr>
            </w:pPr>
            <w:r>
              <w:rPr>
                <w:rFonts w:hint="eastAsia" w:ascii="宋体" w:hAnsi="宋体" w:eastAsia="宋体" w:cs="宋体"/>
                <w:b w:val="0"/>
                <w:bCs/>
                <w:sz w:val="24"/>
                <w:szCs w:val="24"/>
                <w:lang w:eastAsia="zh-CN"/>
              </w:rPr>
              <w:t>本项目喷</w:t>
            </w:r>
            <w:r>
              <w:rPr>
                <w:rFonts w:hint="eastAsia" w:ascii="宋体" w:hAnsi="宋体" w:eastAsia="宋体" w:cs="宋体"/>
                <w:b w:val="0"/>
                <w:bCs/>
                <w:sz w:val="24"/>
                <w:szCs w:val="24"/>
                <w:lang w:val="en-US" w:eastAsia="zh-CN"/>
              </w:rPr>
              <w:t>塑房采用静电粉末喷涂设备，喷粉箱按防爆要求</w:t>
            </w:r>
            <w:r>
              <w:rPr>
                <w:rFonts w:hint="eastAsia" w:ascii="宋体" w:hAnsi="宋体" w:eastAsia="宋体" w:cs="宋体"/>
                <w:b w:val="0"/>
                <w:bCs/>
                <w:sz w:val="24"/>
                <w:szCs w:val="24"/>
              </w:rPr>
              <w:t>，配一级旋风除尘器</w:t>
            </w:r>
            <w:r>
              <w:rPr>
                <w:rFonts w:hint="eastAsia" w:ascii="宋体" w:hAnsi="宋体" w:eastAsia="宋体" w:cs="宋体"/>
                <w:b w:val="0"/>
                <w:bCs/>
                <w:sz w:val="24"/>
                <w:szCs w:val="24"/>
                <w:lang w:val="en-US" w:eastAsia="zh-CN"/>
              </w:rPr>
              <w:t>+</w:t>
            </w:r>
            <w:r>
              <w:rPr>
                <w:rFonts w:hint="eastAsia" w:ascii="宋体" w:hAnsi="宋体" w:eastAsia="宋体" w:cs="宋体"/>
                <w:b w:val="0"/>
                <w:bCs/>
                <w:sz w:val="24"/>
                <w:szCs w:val="24"/>
              </w:rPr>
              <w:t>二级</w:t>
            </w:r>
            <w:r>
              <w:rPr>
                <w:rFonts w:hint="eastAsia" w:ascii="宋体" w:hAnsi="宋体" w:eastAsia="宋体" w:cs="宋体"/>
                <w:b w:val="0"/>
                <w:bCs/>
                <w:sz w:val="24"/>
                <w:szCs w:val="24"/>
                <w:lang w:val="en-US" w:eastAsia="zh-CN"/>
              </w:rPr>
              <w:t>布袋</w:t>
            </w:r>
            <w:r>
              <w:rPr>
                <w:rFonts w:hint="eastAsia" w:ascii="宋体" w:hAnsi="宋体" w:eastAsia="宋体" w:cs="宋体"/>
                <w:b w:val="0"/>
                <w:bCs/>
                <w:sz w:val="24"/>
                <w:szCs w:val="24"/>
              </w:rPr>
              <w:t>除尘器</w:t>
            </w:r>
            <w:r>
              <w:rPr>
                <w:rFonts w:hint="eastAsia" w:ascii="宋体" w:hAnsi="宋体" w:eastAsia="宋体" w:cs="宋体"/>
                <w:b w:val="0"/>
                <w:bCs/>
                <w:sz w:val="24"/>
                <w:szCs w:val="24"/>
                <w:lang w:val="en-US" w:eastAsia="zh-CN"/>
              </w:rPr>
              <w:t>处理，</w:t>
            </w:r>
            <w:r>
              <w:rPr>
                <w:rFonts w:hint="eastAsia" w:ascii="宋体" w:hAnsi="宋体" w:eastAsia="宋体" w:cs="宋体"/>
                <w:b w:val="0"/>
                <w:bCs/>
                <w:sz w:val="24"/>
                <w:szCs w:val="24"/>
                <w:lang w:eastAsia="zh-CN"/>
              </w:rPr>
              <w:t>其中</w:t>
            </w:r>
            <w:r>
              <w:rPr>
                <w:rFonts w:hint="eastAsia" w:ascii="宋体" w:hAnsi="宋体" w:eastAsia="宋体" w:cs="宋体"/>
                <w:b w:val="0"/>
                <w:bCs/>
                <w:sz w:val="24"/>
                <w:szCs w:val="24"/>
              </w:rPr>
              <w:t>一级处理设备采用旋风</w:t>
            </w:r>
            <w:r>
              <w:rPr>
                <w:rFonts w:hint="eastAsia" w:ascii="宋体" w:hAnsi="宋体" w:eastAsia="宋体" w:cs="宋体"/>
                <w:b w:val="0"/>
                <w:bCs/>
                <w:sz w:val="24"/>
                <w:szCs w:val="24"/>
                <w:lang w:val="en-US" w:eastAsia="zh-CN"/>
              </w:rPr>
              <w:t>分离器</w:t>
            </w:r>
            <w:r>
              <w:rPr>
                <w:rFonts w:hint="eastAsia" w:ascii="宋体" w:hAnsi="宋体" w:eastAsia="宋体" w:cs="宋体"/>
                <w:b w:val="0"/>
                <w:bCs/>
                <w:sz w:val="24"/>
                <w:szCs w:val="24"/>
              </w:rPr>
              <w:t>对大颗粒粉尘进行过滤处理</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rPr>
              <w:t>二级处理设备采用</w:t>
            </w:r>
            <w:r>
              <w:rPr>
                <w:rFonts w:hint="eastAsia" w:ascii="宋体" w:hAnsi="宋体" w:eastAsia="宋体" w:cs="宋体"/>
                <w:b w:val="0"/>
                <w:bCs/>
                <w:sz w:val="24"/>
                <w:szCs w:val="24"/>
                <w:lang w:val="en-US" w:eastAsia="zh-CN"/>
              </w:rPr>
              <w:t>布袋</w:t>
            </w:r>
            <w:r>
              <w:rPr>
                <w:rFonts w:hint="eastAsia" w:ascii="宋体" w:hAnsi="宋体" w:eastAsia="宋体" w:cs="宋体"/>
                <w:b w:val="0"/>
                <w:bCs/>
                <w:sz w:val="24"/>
                <w:szCs w:val="24"/>
              </w:rPr>
              <w:t>式除尘器对粉尘进行过滤处理</w:t>
            </w:r>
            <w:r>
              <w:rPr>
                <w:rFonts w:hint="eastAsia" w:ascii="宋体" w:hAnsi="宋体" w:eastAsia="宋体" w:cs="宋体"/>
                <w:b w:val="0"/>
                <w:bCs/>
                <w:sz w:val="24"/>
                <w:szCs w:val="24"/>
                <w:lang w:eastAsia="zh-CN"/>
              </w:rPr>
              <w:t>，最后</w:t>
            </w:r>
            <w:r>
              <w:rPr>
                <w:rFonts w:hint="eastAsia" w:ascii="宋体" w:hAnsi="宋体" w:eastAsia="宋体" w:cs="宋体"/>
                <w:b w:val="0"/>
                <w:bCs/>
                <w:sz w:val="24"/>
                <w:szCs w:val="24"/>
              </w:rPr>
              <w:t>通过</w:t>
            </w:r>
            <w:r>
              <w:rPr>
                <w:rFonts w:hint="eastAsia" w:ascii="宋体" w:hAnsi="宋体" w:eastAsia="宋体" w:cs="宋体"/>
                <w:b w:val="0"/>
                <w:bCs/>
                <w:sz w:val="24"/>
                <w:szCs w:val="24"/>
                <w:lang w:val="en-US" w:eastAsia="zh-CN"/>
              </w:rPr>
              <w:t>15m排气筒（DA001、DA002）</w:t>
            </w:r>
            <w:r>
              <w:rPr>
                <w:rFonts w:hint="eastAsia" w:ascii="宋体" w:hAnsi="宋体" w:eastAsia="宋体" w:cs="宋体"/>
                <w:b w:val="0"/>
                <w:bCs/>
                <w:sz w:val="24"/>
                <w:szCs w:val="24"/>
              </w:rPr>
              <w:t>排放。</w:t>
            </w:r>
            <w:r>
              <w:rPr>
                <w:rFonts w:hint="eastAsia" w:ascii="宋体" w:hAnsi="宋体" w:eastAsia="宋体" w:cs="宋体"/>
                <w:b w:val="0"/>
                <w:sz w:val="24"/>
                <w:szCs w:val="24"/>
                <w:lang w:eastAsia="zh-CN"/>
              </w:rPr>
              <w:t>该废气治理设施参考《排污许可证申请与核发技术规范</w:t>
            </w:r>
            <w:r>
              <w:rPr>
                <w:rFonts w:hint="eastAsia" w:ascii="宋体" w:hAnsi="宋体" w:eastAsia="宋体" w:cs="宋体"/>
                <w:b w:val="0"/>
                <w:sz w:val="24"/>
                <w:szCs w:val="24"/>
                <w:lang w:val="en-US" w:eastAsia="zh-CN"/>
              </w:rPr>
              <w:t xml:space="preserve"> 铁路、船舶、航空航天和其他运输设备制造业</w:t>
            </w:r>
            <w:r>
              <w:rPr>
                <w:rFonts w:hint="eastAsia" w:ascii="宋体" w:hAnsi="宋体" w:eastAsia="宋体" w:cs="宋体"/>
                <w:b w:val="0"/>
                <w:sz w:val="24"/>
                <w:szCs w:val="24"/>
                <w:lang w:eastAsia="zh-CN"/>
              </w:rPr>
              <w:t>》（</w:t>
            </w:r>
            <w:r>
              <w:rPr>
                <w:rFonts w:hint="eastAsia" w:ascii="宋体" w:hAnsi="宋体" w:eastAsia="宋体" w:cs="宋体"/>
                <w:b w:val="0"/>
                <w:sz w:val="24"/>
                <w:szCs w:val="24"/>
                <w:lang w:val="en-US" w:eastAsia="zh-CN"/>
              </w:rPr>
              <w:t>HJ1124-2020</w:t>
            </w:r>
            <w:r>
              <w:rPr>
                <w:rFonts w:hint="eastAsia" w:ascii="宋体" w:hAnsi="宋体" w:eastAsia="宋体" w:cs="宋体"/>
                <w:b w:val="0"/>
                <w:sz w:val="24"/>
                <w:szCs w:val="24"/>
                <w:lang w:eastAsia="zh-CN"/>
              </w:rPr>
              <w:t>）附录</w:t>
            </w:r>
            <w:r>
              <w:rPr>
                <w:rFonts w:hint="eastAsia" w:ascii="宋体" w:hAnsi="宋体" w:eastAsia="宋体" w:cs="宋体"/>
                <w:b w:val="0"/>
                <w:sz w:val="24"/>
                <w:szCs w:val="24"/>
                <w:lang w:val="en-US" w:eastAsia="zh-CN"/>
              </w:rPr>
              <w:t>C</w:t>
            </w:r>
            <w:r>
              <w:rPr>
                <w:rFonts w:hint="eastAsia" w:ascii="宋体" w:hAnsi="宋体" w:eastAsia="宋体" w:cs="宋体"/>
                <w:b w:val="0"/>
                <w:sz w:val="24"/>
                <w:szCs w:val="24"/>
              </w:rPr>
              <w:t>中</w:t>
            </w:r>
            <w:r>
              <w:rPr>
                <w:rFonts w:hint="eastAsia" w:ascii="宋体" w:hAnsi="宋体" w:eastAsia="宋体" w:cs="宋体"/>
                <w:b w:val="0"/>
                <w:sz w:val="24"/>
                <w:szCs w:val="24"/>
                <w:lang w:eastAsia="zh-CN"/>
              </w:rPr>
              <w:t>的</w:t>
            </w:r>
            <w:r>
              <w:rPr>
                <w:rFonts w:hint="eastAsia" w:ascii="宋体" w:hAnsi="宋体" w:eastAsia="宋体" w:cs="宋体"/>
                <w:b w:val="0"/>
                <w:sz w:val="24"/>
                <w:szCs w:val="24"/>
              </w:rPr>
              <w:t>可行技术（</w:t>
            </w:r>
            <w:r>
              <w:rPr>
                <w:rFonts w:hint="eastAsia" w:ascii="宋体" w:hAnsi="宋体" w:eastAsia="宋体" w:cs="宋体"/>
                <w:b w:val="0"/>
                <w:sz w:val="24"/>
                <w:szCs w:val="24"/>
                <w:lang w:val="en-US" w:eastAsia="zh-CN"/>
              </w:rPr>
              <w:t>粉末喷涂室-袋式除尘</w:t>
            </w:r>
            <w:r>
              <w:rPr>
                <w:rFonts w:hint="eastAsia" w:ascii="宋体" w:hAnsi="宋体" w:eastAsia="宋体" w:cs="宋体"/>
                <w:b w:val="0"/>
                <w:sz w:val="24"/>
                <w:szCs w:val="24"/>
              </w:rPr>
              <w:t>），</w:t>
            </w:r>
            <w:r>
              <w:rPr>
                <w:rFonts w:hint="eastAsia" w:ascii="宋体" w:hAnsi="宋体" w:eastAsia="宋体" w:cs="宋体"/>
                <w:b w:val="0"/>
                <w:bCs/>
                <w:sz w:val="24"/>
                <w:szCs w:val="24"/>
                <w:lang w:eastAsia="zh-CN"/>
              </w:rPr>
              <w:t>该</w:t>
            </w:r>
            <w:r>
              <w:rPr>
                <w:rFonts w:hint="eastAsia" w:ascii="宋体" w:hAnsi="宋体" w:eastAsia="宋体" w:cs="宋体"/>
                <w:b w:val="0"/>
                <w:bCs/>
                <w:sz w:val="24"/>
                <w:szCs w:val="24"/>
              </w:rPr>
              <w:t>废气</w:t>
            </w:r>
            <w:r>
              <w:rPr>
                <w:rFonts w:hint="eastAsia" w:ascii="宋体" w:hAnsi="宋体" w:eastAsia="宋体" w:cs="宋体"/>
                <w:b w:val="0"/>
                <w:bCs/>
                <w:sz w:val="24"/>
                <w:szCs w:val="24"/>
                <w:lang w:eastAsia="zh-CN"/>
              </w:rPr>
              <w:t>治理</w:t>
            </w:r>
            <w:r>
              <w:rPr>
                <w:rFonts w:hint="eastAsia" w:ascii="宋体" w:hAnsi="宋体" w:eastAsia="宋体" w:cs="宋体"/>
                <w:b w:val="0"/>
                <w:bCs/>
                <w:sz w:val="24"/>
                <w:szCs w:val="24"/>
              </w:rPr>
              <w:t>措施是可行的。</w:t>
            </w:r>
          </w:p>
          <w:p w14:paraId="78174E0F">
            <w:pPr>
              <w:pStyle w:val="3"/>
              <w:keepNext/>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right="0" w:firstLine="480" w:firstLineChars="200"/>
              <w:jc w:val="left"/>
              <w:textAlignment w:val="baseline"/>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⑵固化废气</w:t>
            </w:r>
          </w:p>
          <w:p w14:paraId="2275F4BD">
            <w:pPr>
              <w:pStyle w:val="3"/>
              <w:keepNext/>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right="0" w:firstLine="480" w:firstLineChars="200"/>
              <w:jc w:val="left"/>
              <w:textAlignment w:val="baseline"/>
              <w:rPr>
                <w:rFonts w:hint="eastAsia" w:ascii="宋体" w:hAnsi="宋体" w:eastAsia="宋体" w:cs="宋体"/>
                <w:b w:val="0"/>
                <w:bCs/>
                <w:sz w:val="24"/>
                <w:szCs w:val="24"/>
              </w:rPr>
            </w:pPr>
            <w:r>
              <w:rPr>
                <w:rFonts w:hint="eastAsia" w:ascii="宋体" w:hAnsi="宋体" w:eastAsia="宋体" w:cs="宋体"/>
                <w:b w:val="0"/>
                <w:bCs/>
                <w:sz w:val="24"/>
                <w:szCs w:val="24"/>
              </w:rPr>
              <w:t>本项目</w:t>
            </w:r>
            <w:r>
              <w:rPr>
                <w:rFonts w:hint="eastAsia" w:ascii="宋体" w:hAnsi="宋体" w:eastAsia="宋体" w:cs="宋体"/>
                <w:b w:val="0"/>
                <w:bCs/>
                <w:sz w:val="24"/>
                <w:szCs w:val="24"/>
                <w:lang w:eastAsia="zh-CN"/>
              </w:rPr>
              <w:t>喷</w:t>
            </w:r>
            <w:r>
              <w:rPr>
                <w:rFonts w:hint="eastAsia" w:ascii="宋体" w:hAnsi="宋体" w:eastAsia="宋体" w:cs="宋体"/>
                <w:b w:val="0"/>
                <w:bCs/>
                <w:sz w:val="24"/>
                <w:szCs w:val="24"/>
                <w:lang w:val="en-US" w:eastAsia="zh-CN"/>
              </w:rPr>
              <w:t>塑</w:t>
            </w:r>
            <w:r>
              <w:rPr>
                <w:rFonts w:hint="eastAsia" w:ascii="宋体" w:hAnsi="宋体" w:eastAsia="宋体" w:cs="宋体"/>
                <w:b w:val="0"/>
                <w:bCs/>
                <w:sz w:val="24"/>
                <w:szCs w:val="24"/>
                <w:lang w:eastAsia="zh-CN"/>
              </w:rPr>
              <w:t>后固化产生的非甲烷总烃废气经</w:t>
            </w:r>
            <w:r>
              <w:rPr>
                <w:rFonts w:hint="eastAsia" w:ascii="宋体" w:hAnsi="宋体" w:eastAsia="宋体" w:cs="宋体"/>
                <w:b w:val="0"/>
                <w:bCs/>
                <w:sz w:val="24"/>
                <w:szCs w:val="24"/>
                <w:lang w:val="en-US" w:eastAsia="zh-CN"/>
              </w:rPr>
              <w:t>二级活性炭处理后</w:t>
            </w:r>
            <w:r>
              <w:rPr>
                <w:rFonts w:hint="eastAsia" w:ascii="宋体" w:hAnsi="宋体" w:eastAsia="宋体" w:cs="宋体"/>
                <w:b w:val="0"/>
                <w:bCs/>
                <w:sz w:val="24"/>
                <w:szCs w:val="24"/>
              </w:rPr>
              <w:t>通过</w:t>
            </w:r>
            <w:r>
              <w:rPr>
                <w:rFonts w:hint="eastAsia" w:ascii="宋体" w:hAnsi="宋体" w:eastAsia="宋体" w:cs="宋体"/>
                <w:b w:val="0"/>
                <w:bCs/>
                <w:sz w:val="24"/>
                <w:szCs w:val="24"/>
                <w:lang w:val="en-US" w:eastAsia="zh-CN"/>
              </w:rPr>
              <w:t>15m排气筒（DA005）</w:t>
            </w:r>
            <w:r>
              <w:rPr>
                <w:rFonts w:hint="eastAsia" w:ascii="宋体" w:hAnsi="宋体" w:eastAsia="宋体" w:cs="宋体"/>
                <w:b w:val="0"/>
                <w:bCs/>
                <w:sz w:val="24"/>
                <w:szCs w:val="24"/>
              </w:rPr>
              <w:t>排放。</w:t>
            </w:r>
            <w:r>
              <w:rPr>
                <w:rFonts w:hint="eastAsia" w:ascii="宋体" w:hAnsi="宋体" w:eastAsia="宋体" w:cs="宋体"/>
                <w:b w:val="0"/>
                <w:sz w:val="24"/>
                <w:szCs w:val="24"/>
                <w:lang w:eastAsia="zh-CN"/>
              </w:rPr>
              <w:t>该废气治理设施参考《排污许可证申请与核发技术规范</w:t>
            </w:r>
            <w:r>
              <w:rPr>
                <w:rFonts w:hint="eastAsia" w:ascii="宋体" w:hAnsi="宋体" w:eastAsia="宋体" w:cs="宋体"/>
                <w:b w:val="0"/>
                <w:sz w:val="24"/>
                <w:szCs w:val="24"/>
                <w:lang w:val="en-US" w:eastAsia="zh-CN"/>
              </w:rPr>
              <w:t xml:space="preserve"> 铁路、船舶、航空航天和其他运输设备制造业</w:t>
            </w:r>
            <w:r>
              <w:rPr>
                <w:rFonts w:hint="eastAsia" w:ascii="宋体" w:hAnsi="宋体" w:eastAsia="宋体" w:cs="宋体"/>
                <w:b w:val="0"/>
                <w:sz w:val="24"/>
                <w:szCs w:val="24"/>
                <w:lang w:eastAsia="zh-CN"/>
              </w:rPr>
              <w:t>》（</w:t>
            </w:r>
            <w:r>
              <w:rPr>
                <w:rFonts w:hint="eastAsia" w:ascii="宋体" w:hAnsi="宋体" w:eastAsia="宋体" w:cs="宋体"/>
                <w:b w:val="0"/>
                <w:sz w:val="24"/>
                <w:szCs w:val="24"/>
                <w:lang w:val="en-US" w:eastAsia="zh-CN"/>
              </w:rPr>
              <w:t>HJ1124-2020</w:t>
            </w:r>
            <w:r>
              <w:rPr>
                <w:rFonts w:hint="eastAsia" w:ascii="宋体" w:hAnsi="宋体" w:eastAsia="宋体" w:cs="宋体"/>
                <w:b w:val="0"/>
                <w:sz w:val="24"/>
                <w:szCs w:val="24"/>
                <w:lang w:eastAsia="zh-CN"/>
              </w:rPr>
              <w:t>）附录</w:t>
            </w:r>
            <w:r>
              <w:rPr>
                <w:rFonts w:hint="eastAsia" w:ascii="宋体" w:hAnsi="宋体" w:eastAsia="宋体" w:cs="宋体"/>
                <w:b w:val="0"/>
                <w:sz w:val="24"/>
                <w:szCs w:val="24"/>
                <w:lang w:val="en-US" w:eastAsia="zh-CN"/>
              </w:rPr>
              <w:t>C</w:t>
            </w:r>
            <w:r>
              <w:rPr>
                <w:rFonts w:hint="eastAsia" w:ascii="宋体" w:hAnsi="宋体" w:eastAsia="宋体" w:cs="宋体"/>
                <w:b w:val="0"/>
                <w:sz w:val="24"/>
                <w:szCs w:val="24"/>
              </w:rPr>
              <w:t>中</w:t>
            </w:r>
            <w:r>
              <w:rPr>
                <w:rFonts w:hint="eastAsia" w:ascii="宋体" w:hAnsi="宋体" w:eastAsia="宋体" w:cs="宋体"/>
                <w:b w:val="0"/>
                <w:sz w:val="24"/>
                <w:szCs w:val="24"/>
                <w:lang w:eastAsia="zh-CN"/>
              </w:rPr>
              <w:t>的</w:t>
            </w:r>
            <w:r>
              <w:rPr>
                <w:rFonts w:hint="eastAsia" w:ascii="宋体" w:hAnsi="宋体" w:eastAsia="宋体" w:cs="宋体"/>
                <w:b w:val="0"/>
                <w:sz w:val="24"/>
                <w:szCs w:val="24"/>
              </w:rPr>
              <w:t>可行技术（</w:t>
            </w:r>
            <w:r>
              <w:rPr>
                <w:rFonts w:hint="eastAsia" w:ascii="宋体" w:hAnsi="宋体" w:eastAsia="宋体" w:cs="宋体"/>
                <w:b w:val="0"/>
                <w:sz w:val="24"/>
                <w:szCs w:val="24"/>
                <w:lang w:eastAsia="zh-CN"/>
              </w:rPr>
              <w:t>烘干</w:t>
            </w:r>
            <w:r>
              <w:rPr>
                <w:rFonts w:hint="eastAsia" w:ascii="宋体" w:hAnsi="宋体" w:eastAsia="宋体" w:cs="宋体"/>
                <w:b w:val="0"/>
                <w:sz w:val="24"/>
                <w:szCs w:val="24"/>
                <w:lang w:val="en-US" w:eastAsia="zh-CN"/>
              </w:rPr>
              <w:t>-活性炭吸附</w:t>
            </w:r>
            <w:r>
              <w:rPr>
                <w:rFonts w:hint="eastAsia" w:ascii="宋体" w:hAnsi="宋体" w:eastAsia="宋体" w:cs="宋体"/>
                <w:b w:val="0"/>
                <w:sz w:val="24"/>
                <w:szCs w:val="24"/>
              </w:rPr>
              <w:t>），</w:t>
            </w:r>
            <w:r>
              <w:rPr>
                <w:rFonts w:hint="eastAsia" w:ascii="宋体" w:hAnsi="宋体" w:eastAsia="宋体" w:cs="宋体"/>
                <w:b w:val="0"/>
                <w:bCs/>
                <w:sz w:val="24"/>
                <w:szCs w:val="24"/>
                <w:lang w:eastAsia="zh-CN"/>
              </w:rPr>
              <w:t>该</w:t>
            </w:r>
            <w:r>
              <w:rPr>
                <w:rFonts w:hint="eastAsia" w:ascii="宋体" w:hAnsi="宋体" w:eastAsia="宋体" w:cs="宋体"/>
                <w:b w:val="0"/>
                <w:bCs/>
                <w:sz w:val="24"/>
                <w:szCs w:val="24"/>
              </w:rPr>
              <w:t>废气</w:t>
            </w:r>
            <w:r>
              <w:rPr>
                <w:rFonts w:hint="eastAsia" w:ascii="宋体" w:hAnsi="宋体" w:eastAsia="宋体" w:cs="宋体"/>
                <w:b w:val="0"/>
                <w:bCs/>
                <w:sz w:val="24"/>
                <w:szCs w:val="24"/>
                <w:lang w:eastAsia="zh-CN"/>
              </w:rPr>
              <w:t>治理</w:t>
            </w:r>
            <w:r>
              <w:rPr>
                <w:rFonts w:hint="eastAsia" w:ascii="宋体" w:hAnsi="宋体" w:eastAsia="宋体" w:cs="宋体"/>
                <w:b w:val="0"/>
                <w:bCs/>
                <w:sz w:val="24"/>
                <w:szCs w:val="24"/>
              </w:rPr>
              <w:t>措施是可行的。</w:t>
            </w:r>
          </w:p>
          <w:p w14:paraId="034DF05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2" w:firstLineChars="200"/>
              <w:rPr>
                <w:rFonts w:hint="eastAsia" w:ascii="宋体" w:hAnsi="宋体" w:eastAsia="宋体" w:cs="宋体"/>
                <w:b/>
                <w:bCs/>
                <w:color w:val="auto"/>
                <w:sz w:val="24"/>
                <w:lang w:val="en-US" w:eastAsia="zh-CN"/>
              </w:rPr>
            </w:pPr>
            <w:r>
              <w:rPr>
                <w:rFonts w:hint="eastAsia" w:ascii="宋体" w:hAnsi="宋体" w:eastAsia="宋体" w:cs="宋体"/>
                <w:b/>
                <w:bCs/>
                <w:color w:val="auto"/>
                <w:sz w:val="24"/>
                <w:szCs w:val="24"/>
                <w:u w:val="single"/>
                <w:vertAlign w:val="baseline"/>
                <w:lang w:val="en-US" w:eastAsia="zh-CN"/>
              </w:rPr>
              <w:t>活性炭装填量与风量匹配性分析：</w:t>
            </w:r>
          </w:p>
          <w:p w14:paraId="0DA490A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baseline"/>
              <w:rPr>
                <w:rFonts w:hint="eastAsia" w:ascii="宋体" w:hAnsi="宋体" w:eastAsia="宋体" w:cs="宋体"/>
                <w:snapToGrid w:val="0"/>
                <w:color w:val="auto"/>
                <w:spacing w:val="0"/>
                <w:kern w:val="0"/>
                <w:sz w:val="24"/>
                <w:szCs w:val="24"/>
                <w:lang w:bidi="ar"/>
              </w:rPr>
            </w:pPr>
            <w:r>
              <w:rPr>
                <w:rFonts w:hint="eastAsia" w:ascii="宋体" w:hAnsi="宋体" w:eastAsia="宋体" w:cs="宋体"/>
                <w:snapToGrid w:val="0"/>
                <w:color w:val="auto"/>
                <w:spacing w:val="0"/>
                <w:kern w:val="0"/>
                <w:sz w:val="24"/>
                <w:szCs w:val="24"/>
                <w:lang w:val="en-US" w:eastAsia="zh-CN" w:bidi="ar"/>
              </w:rPr>
              <w:t>项目在购买蜂窝活性炭时需选择横向抗压强度不小于1.0MPa、纵向抗压强度不小于0.4MPa、比表面积不小于750m</w:t>
            </w:r>
            <w:r>
              <w:rPr>
                <w:rFonts w:hint="eastAsia" w:ascii="宋体" w:hAnsi="宋体" w:eastAsia="宋体" w:cs="宋体"/>
                <w:snapToGrid w:val="0"/>
                <w:color w:val="auto"/>
                <w:spacing w:val="0"/>
                <w:kern w:val="0"/>
                <w:sz w:val="24"/>
                <w:szCs w:val="24"/>
                <w:vertAlign w:val="superscript"/>
                <w:lang w:val="en-US" w:eastAsia="zh-CN" w:bidi="ar"/>
              </w:rPr>
              <w:t>2</w:t>
            </w:r>
            <w:r>
              <w:rPr>
                <w:rFonts w:hint="eastAsia" w:ascii="宋体" w:hAnsi="宋体" w:eastAsia="宋体" w:cs="宋体"/>
                <w:snapToGrid w:val="0"/>
                <w:color w:val="auto"/>
                <w:spacing w:val="0"/>
                <w:kern w:val="0"/>
                <w:sz w:val="24"/>
                <w:szCs w:val="24"/>
                <w:lang w:val="en-US" w:eastAsia="zh-CN" w:bidi="ar"/>
              </w:rPr>
              <w:t>/g；另外，蜂窝活性炭密度一般在0.35～0.6g/cm</w:t>
            </w:r>
            <w:r>
              <w:rPr>
                <w:rFonts w:hint="eastAsia" w:ascii="宋体" w:hAnsi="宋体" w:eastAsia="宋体" w:cs="宋体"/>
                <w:snapToGrid w:val="0"/>
                <w:color w:val="auto"/>
                <w:spacing w:val="0"/>
                <w:kern w:val="0"/>
                <w:sz w:val="24"/>
                <w:szCs w:val="24"/>
                <w:vertAlign w:val="superscript"/>
                <w:lang w:val="en-US" w:eastAsia="zh-CN" w:bidi="ar"/>
              </w:rPr>
              <w:t>3</w:t>
            </w:r>
            <w:r>
              <w:rPr>
                <w:rFonts w:hint="eastAsia" w:ascii="宋体" w:hAnsi="宋体" w:eastAsia="宋体" w:cs="宋体"/>
                <w:snapToGrid w:val="0"/>
                <w:color w:val="auto"/>
                <w:spacing w:val="0"/>
                <w:kern w:val="0"/>
                <w:sz w:val="24"/>
                <w:szCs w:val="24"/>
                <w:lang w:val="en-US" w:eastAsia="zh-CN" w:bidi="ar"/>
              </w:rPr>
              <w:t>之间（本次环评按0.5g/cm</w:t>
            </w:r>
            <w:r>
              <w:rPr>
                <w:rFonts w:hint="eastAsia" w:ascii="宋体" w:hAnsi="宋体" w:eastAsia="宋体" w:cs="宋体"/>
                <w:snapToGrid w:val="0"/>
                <w:color w:val="auto"/>
                <w:spacing w:val="0"/>
                <w:kern w:val="0"/>
                <w:sz w:val="24"/>
                <w:szCs w:val="24"/>
                <w:vertAlign w:val="superscript"/>
                <w:lang w:val="en-US" w:eastAsia="zh-CN" w:bidi="ar"/>
              </w:rPr>
              <w:t>3</w:t>
            </w:r>
            <w:r>
              <w:rPr>
                <w:rFonts w:hint="eastAsia" w:ascii="宋体" w:hAnsi="宋体" w:eastAsia="宋体" w:cs="宋体"/>
                <w:snapToGrid w:val="0"/>
                <w:color w:val="auto"/>
                <w:spacing w:val="0"/>
                <w:kern w:val="0"/>
                <w:sz w:val="24"/>
                <w:szCs w:val="24"/>
                <w:lang w:val="en-US" w:eastAsia="zh-CN" w:bidi="ar"/>
              </w:rPr>
              <w:t>计）。</w:t>
            </w:r>
          </w:p>
          <w:p w14:paraId="760F32EB">
            <w:pPr>
              <w:pStyle w:val="2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firstLine="480" w:firstLineChars="200"/>
              <w:jc w:val="both"/>
              <w:rPr>
                <w:rFonts w:hint="eastAsia" w:ascii="宋体" w:hAnsi="宋体" w:eastAsia="宋体" w:cs="宋体"/>
                <w:snapToGrid w:val="0"/>
                <w:color w:val="auto"/>
                <w:spacing w:val="0"/>
                <w:kern w:val="0"/>
                <w:sz w:val="24"/>
                <w:szCs w:val="24"/>
                <w:lang w:val="en-US" w:eastAsia="zh-CN"/>
              </w:rPr>
            </w:pPr>
            <w:r>
              <w:rPr>
                <w:rFonts w:hint="eastAsia" w:ascii="宋体" w:hAnsi="宋体" w:eastAsia="宋体" w:cs="宋体"/>
                <w:snapToGrid w:val="0"/>
                <w:color w:val="auto"/>
                <w:spacing w:val="0"/>
                <w:kern w:val="0"/>
                <w:sz w:val="24"/>
                <w:szCs w:val="24"/>
                <w:lang w:eastAsia="zh-CN"/>
              </w:rPr>
              <w:t>本项目活性炭吸附装置风量为</w:t>
            </w:r>
            <w:r>
              <w:rPr>
                <w:rFonts w:hint="eastAsia" w:ascii="宋体" w:hAnsi="宋体" w:eastAsia="宋体" w:cs="宋体"/>
                <w:snapToGrid w:val="0"/>
                <w:color w:val="auto"/>
                <w:spacing w:val="0"/>
                <w:kern w:val="0"/>
                <w:sz w:val="24"/>
                <w:szCs w:val="24"/>
                <w:lang w:val="en-US" w:eastAsia="zh-CN"/>
              </w:rPr>
              <w:t>10000m</w:t>
            </w:r>
            <w:r>
              <w:rPr>
                <w:rFonts w:hint="eastAsia" w:ascii="宋体" w:hAnsi="宋体" w:eastAsia="宋体" w:cs="宋体"/>
                <w:snapToGrid w:val="0"/>
                <w:color w:val="auto"/>
                <w:spacing w:val="0"/>
                <w:kern w:val="0"/>
                <w:sz w:val="24"/>
                <w:szCs w:val="24"/>
                <w:vertAlign w:val="superscript"/>
                <w:lang w:val="en-US" w:eastAsia="zh-CN"/>
              </w:rPr>
              <w:t>3</w:t>
            </w:r>
            <w:r>
              <w:rPr>
                <w:rFonts w:hint="eastAsia" w:ascii="宋体" w:hAnsi="宋体" w:eastAsia="宋体" w:cs="宋体"/>
                <w:snapToGrid w:val="0"/>
                <w:color w:val="auto"/>
                <w:spacing w:val="0"/>
                <w:kern w:val="0"/>
                <w:sz w:val="24"/>
                <w:szCs w:val="24"/>
                <w:lang w:val="en-US" w:eastAsia="zh-CN"/>
              </w:rPr>
              <w:t>/h=2.77m</w:t>
            </w:r>
            <w:r>
              <w:rPr>
                <w:rFonts w:hint="eastAsia" w:ascii="宋体" w:hAnsi="宋体" w:eastAsia="宋体" w:cs="宋体"/>
                <w:snapToGrid w:val="0"/>
                <w:color w:val="auto"/>
                <w:spacing w:val="0"/>
                <w:kern w:val="0"/>
                <w:sz w:val="24"/>
                <w:szCs w:val="24"/>
                <w:vertAlign w:val="superscript"/>
                <w:lang w:val="en-US" w:eastAsia="zh-CN"/>
              </w:rPr>
              <w:t>3</w:t>
            </w:r>
            <w:r>
              <w:rPr>
                <w:rFonts w:hint="eastAsia" w:ascii="宋体" w:hAnsi="宋体" w:eastAsia="宋体" w:cs="宋体"/>
                <w:snapToGrid w:val="0"/>
                <w:color w:val="auto"/>
                <w:spacing w:val="0"/>
                <w:kern w:val="0"/>
                <w:sz w:val="24"/>
                <w:szCs w:val="24"/>
                <w:lang w:val="en-US" w:eastAsia="zh-CN"/>
              </w:rPr>
              <w:t>/s；项目活性炭吸附装置单级规格为活性炭体宽度1m，活性炭体长度1m，活性炭有效填充厚度为0.1m，单级装置内放置2层，活性炭密度为0.5g/cm</w:t>
            </w:r>
            <w:r>
              <w:rPr>
                <w:rFonts w:hint="eastAsia" w:ascii="宋体" w:hAnsi="宋体" w:eastAsia="宋体" w:cs="宋体"/>
                <w:snapToGrid w:val="0"/>
                <w:color w:val="auto"/>
                <w:spacing w:val="0"/>
                <w:kern w:val="0"/>
                <w:sz w:val="24"/>
                <w:szCs w:val="24"/>
                <w:vertAlign w:val="superscript"/>
                <w:lang w:val="en-US" w:eastAsia="zh-CN"/>
              </w:rPr>
              <w:t>3</w:t>
            </w:r>
            <w:r>
              <w:rPr>
                <w:rFonts w:hint="eastAsia" w:ascii="宋体" w:hAnsi="宋体" w:eastAsia="宋体" w:cs="宋体"/>
                <w:snapToGrid w:val="0"/>
                <w:color w:val="auto"/>
                <w:spacing w:val="0"/>
                <w:kern w:val="0"/>
                <w:sz w:val="24"/>
                <w:szCs w:val="24"/>
                <w:vertAlign w:val="baseline"/>
                <w:lang w:val="en-US" w:eastAsia="zh-CN"/>
              </w:rPr>
              <w:t>。活性炭吸附装置有效容积=有效长度×有效宽度×有效厚度=1m×1m×0.2m=0.2m</w:t>
            </w:r>
            <w:r>
              <w:rPr>
                <w:rFonts w:hint="eastAsia" w:ascii="宋体" w:hAnsi="宋体" w:eastAsia="宋体" w:cs="宋体"/>
                <w:snapToGrid w:val="0"/>
                <w:color w:val="auto"/>
                <w:spacing w:val="0"/>
                <w:kern w:val="0"/>
                <w:sz w:val="24"/>
                <w:szCs w:val="24"/>
                <w:vertAlign w:val="superscript"/>
                <w:lang w:val="en-US" w:eastAsia="zh-CN"/>
              </w:rPr>
              <w:t>3</w:t>
            </w:r>
            <w:r>
              <w:rPr>
                <w:rFonts w:hint="eastAsia" w:ascii="宋体" w:hAnsi="宋体" w:eastAsia="宋体" w:cs="宋体"/>
                <w:snapToGrid w:val="0"/>
                <w:color w:val="auto"/>
                <w:spacing w:val="0"/>
                <w:kern w:val="0"/>
                <w:sz w:val="24"/>
                <w:szCs w:val="24"/>
                <w:vertAlign w:val="baseline"/>
                <w:lang w:val="en-US" w:eastAsia="zh-CN"/>
              </w:rPr>
              <w:t>，则每级活性炭填充量经计算=0.2×0.5=0.1t。项目活性炭孔隙率取0.75，过滤风速=2.77</w:t>
            </w:r>
            <w:r>
              <w:rPr>
                <w:rFonts w:hint="eastAsia" w:ascii="宋体" w:hAnsi="宋体" w:eastAsia="宋体" w:cs="宋体"/>
                <w:snapToGrid w:val="0"/>
                <w:color w:val="auto"/>
                <w:spacing w:val="0"/>
                <w:kern w:val="0"/>
                <w:sz w:val="24"/>
                <w:szCs w:val="24"/>
                <w:lang w:val="en-US" w:eastAsia="zh-CN"/>
              </w:rPr>
              <w:t>m</w:t>
            </w:r>
            <w:r>
              <w:rPr>
                <w:rFonts w:hint="eastAsia" w:ascii="宋体" w:hAnsi="宋体" w:eastAsia="宋体" w:cs="宋体"/>
                <w:snapToGrid w:val="0"/>
                <w:color w:val="auto"/>
                <w:spacing w:val="0"/>
                <w:kern w:val="0"/>
                <w:sz w:val="24"/>
                <w:szCs w:val="24"/>
                <w:vertAlign w:val="superscript"/>
                <w:lang w:val="en-US" w:eastAsia="zh-CN"/>
              </w:rPr>
              <w:t>3</w:t>
            </w:r>
            <w:r>
              <w:rPr>
                <w:rFonts w:hint="eastAsia" w:ascii="宋体" w:hAnsi="宋体" w:eastAsia="宋体" w:cs="宋体"/>
                <w:snapToGrid w:val="0"/>
                <w:color w:val="auto"/>
                <w:spacing w:val="0"/>
                <w:kern w:val="0"/>
                <w:sz w:val="24"/>
                <w:szCs w:val="24"/>
                <w:lang w:val="en-US" w:eastAsia="zh-CN"/>
              </w:rPr>
              <w:t>/s</w:t>
            </w:r>
            <w:r>
              <w:rPr>
                <w:rFonts w:hint="eastAsia" w:ascii="宋体" w:hAnsi="宋体" w:eastAsia="宋体" w:cs="宋体"/>
                <w:snapToGrid w:val="0"/>
                <w:color w:val="auto"/>
                <w:spacing w:val="0"/>
                <w:kern w:val="0"/>
                <w:sz w:val="24"/>
                <w:szCs w:val="24"/>
                <w:vertAlign w:val="baseline"/>
                <w:lang w:val="en-US" w:eastAsia="zh-CN"/>
              </w:rPr>
              <w:t>÷1</w:t>
            </w:r>
            <w:r>
              <w:rPr>
                <w:rFonts w:hint="eastAsia" w:ascii="宋体" w:hAnsi="宋体" w:eastAsia="宋体" w:cs="宋体"/>
                <w:snapToGrid w:val="0"/>
                <w:color w:val="auto"/>
                <w:spacing w:val="0"/>
                <w:kern w:val="0"/>
                <w:sz w:val="24"/>
                <w:szCs w:val="24"/>
                <w:lang w:val="en-US" w:eastAsia="zh-CN"/>
              </w:rPr>
              <w:t>m</w:t>
            </w:r>
            <w:r>
              <w:rPr>
                <w:rFonts w:hint="eastAsia" w:ascii="宋体" w:hAnsi="宋体" w:eastAsia="宋体" w:cs="宋体"/>
                <w:snapToGrid w:val="0"/>
                <w:color w:val="auto"/>
                <w:spacing w:val="0"/>
                <w:kern w:val="0"/>
                <w:sz w:val="24"/>
                <w:szCs w:val="24"/>
                <w:vertAlign w:val="baseline"/>
                <w:lang w:val="en-US" w:eastAsia="zh-CN"/>
              </w:rPr>
              <w:t>÷1</w:t>
            </w:r>
            <w:r>
              <w:rPr>
                <w:rFonts w:hint="eastAsia" w:ascii="宋体" w:hAnsi="宋体" w:eastAsia="宋体" w:cs="宋体"/>
                <w:snapToGrid w:val="0"/>
                <w:color w:val="auto"/>
                <w:spacing w:val="0"/>
                <w:kern w:val="0"/>
                <w:sz w:val="24"/>
                <w:szCs w:val="24"/>
                <w:lang w:val="en-US" w:eastAsia="zh-CN"/>
              </w:rPr>
              <w:t>m</w:t>
            </w:r>
            <w:r>
              <w:rPr>
                <w:rFonts w:hint="eastAsia" w:ascii="宋体" w:hAnsi="宋体" w:eastAsia="宋体" w:cs="宋体"/>
                <w:snapToGrid w:val="0"/>
                <w:color w:val="auto"/>
                <w:spacing w:val="0"/>
                <w:kern w:val="0"/>
                <w:sz w:val="24"/>
                <w:szCs w:val="24"/>
                <w:vertAlign w:val="baseline"/>
                <w:lang w:val="en-US" w:eastAsia="zh-CN"/>
              </w:rPr>
              <w:t>÷4层÷0.75=0.92m/s，</w:t>
            </w:r>
            <w:r>
              <w:rPr>
                <w:rFonts w:hint="eastAsia" w:ascii="宋体" w:hAnsi="宋体" w:eastAsia="宋体" w:cs="宋体"/>
                <w:snapToGrid w:val="0"/>
                <w:color w:val="auto"/>
                <w:spacing w:val="0"/>
                <w:kern w:val="0"/>
                <w:sz w:val="24"/>
                <w:szCs w:val="24"/>
                <w:lang w:val="en-US" w:eastAsia="zh-CN"/>
              </w:rPr>
              <w:t>满足《吸附法工业有机废气治理工程技术规范》（理工程技术规范》（HJ2026-2013）中“采用蜂窝状吸附剂时，气体流速宜低于1.2m/s”的要求。</w:t>
            </w:r>
            <w:r>
              <w:rPr>
                <w:rFonts w:hint="eastAsia" w:ascii="宋体" w:hAnsi="宋体" w:eastAsia="宋体" w:cs="宋体"/>
                <w:snapToGrid w:val="0"/>
                <w:color w:val="auto"/>
                <w:spacing w:val="0"/>
                <w:kern w:val="0"/>
                <w:sz w:val="24"/>
                <w:szCs w:val="24"/>
                <w:vertAlign w:val="baseline"/>
                <w:lang w:val="en-US" w:eastAsia="zh-CN"/>
              </w:rPr>
              <w:t>停留时间=0.4m/0.92m/s=0.43s，活性炭过滤停留时间一般为0.2～2s符合吸附工程设计要求。</w:t>
            </w:r>
          </w:p>
          <w:p w14:paraId="681EC3F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baseline"/>
              <w:rPr>
                <w:rFonts w:hint="eastAsia" w:ascii="宋体" w:hAnsi="宋体" w:eastAsia="宋体" w:cs="宋体"/>
                <w:b/>
                <w:bCs/>
                <w:snapToGrid w:val="0"/>
                <w:color w:val="auto"/>
                <w:spacing w:val="0"/>
                <w:kern w:val="0"/>
                <w:sz w:val="24"/>
                <w:szCs w:val="24"/>
              </w:rPr>
            </w:pPr>
            <w:r>
              <w:rPr>
                <w:rFonts w:hint="eastAsia" w:ascii="宋体" w:hAnsi="宋体" w:eastAsia="宋体" w:cs="宋体"/>
                <w:snapToGrid w:val="0"/>
                <w:color w:val="auto"/>
                <w:spacing w:val="0"/>
                <w:kern w:val="0"/>
                <w:sz w:val="24"/>
                <w:szCs w:val="24"/>
              </w:rPr>
              <w:t>本项目活性炭吸附装置参数见表4-</w:t>
            </w:r>
            <w:r>
              <w:rPr>
                <w:rFonts w:hint="eastAsia" w:ascii="宋体" w:hAnsi="宋体" w:eastAsia="宋体" w:cs="宋体"/>
                <w:snapToGrid w:val="0"/>
                <w:color w:val="auto"/>
                <w:spacing w:val="0"/>
                <w:kern w:val="0"/>
                <w:sz w:val="24"/>
                <w:szCs w:val="24"/>
                <w:lang w:val="en-US" w:eastAsia="zh-CN"/>
              </w:rPr>
              <w:t>5</w:t>
            </w:r>
            <w:r>
              <w:rPr>
                <w:rFonts w:hint="eastAsia" w:ascii="宋体" w:hAnsi="宋体" w:eastAsia="宋体" w:cs="宋体"/>
                <w:snapToGrid w:val="0"/>
                <w:color w:val="auto"/>
                <w:spacing w:val="0"/>
                <w:kern w:val="0"/>
                <w:sz w:val="24"/>
                <w:szCs w:val="24"/>
              </w:rPr>
              <w:t>。</w:t>
            </w:r>
          </w:p>
          <w:p w14:paraId="3ACA770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2" w:firstLineChars="200"/>
              <w:jc w:val="center"/>
              <w:rPr>
                <w:rFonts w:hint="eastAsia" w:ascii="Times New Roman" w:hAnsi="Times New Roman" w:eastAsia="宋体" w:cs="Times New Roman"/>
                <w:b/>
                <w:bCs/>
                <w:color w:val="auto"/>
                <w:sz w:val="21"/>
                <w:szCs w:val="21"/>
              </w:rPr>
            </w:pPr>
            <w:r>
              <w:rPr>
                <w:rFonts w:hint="eastAsia" w:ascii="宋体" w:hAnsi="宋体" w:eastAsia="宋体" w:cs="宋体"/>
                <w:b/>
                <w:bCs/>
                <w:snapToGrid w:val="0"/>
                <w:color w:val="auto"/>
                <w:spacing w:val="0"/>
                <w:kern w:val="0"/>
                <w:sz w:val="24"/>
                <w:szCs w:val="24"/>
              </w:rPr>
              <w:t>表4-</w:t>
            </w:r>
            <w:r>
              <w:rPr>
                <w:rFonts w:hint="eastAsia" w:ascii="宋体" w:hAnsi="宋体" w:eastAsia="宋体" w:cs="宋体"/>
                <w:b/>
                <w:bCs/>
                <w:snapToGrid w:val="0"/>
                <w:color w:val="auto"/>
                <w:spacing w:val="0"/>
                <w:kern w:val="0"/>
                <w:sz w:val="24"/>
                <w:szCs w:val="24"/>
                <w:lang w:val="en-US" w:eastAsia="zh-CN"/>
              </w:rPr>
              <w:t>5</w:t>
            </w:r>
            <w:r>
              <w:rPr>
                <w:rFonts w:hint="eastAsia" w:ascii="宋体" w:hAnsi="宋体" w:eastAsia="宋体" w:cs="宋体"/>
                <w:b/>
                <w:bCs/>
                <w:snapToGrid w:val="0"/>
                <w:color w:val="auto"/>
                <w:spacing w:val="0"/>
                <w:kern w:val="0"/>
                <w:sz w:val="24"/>
                <w:szCs w:val="24"/>
              </w:rPr>
              <w:t xml:space="preserve">  活性炭吸附装置参数表</w:t>
            </w:r>
          </w:p>
          <w:tbl>
            <w:tblPr>
              <w:tblStyle w:val="30"/>
              <w:tblW w:w="79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2268"/>
              <w:gridCol w:w="4110"/>
            </w:tblGrid>
            <w:tr w14:paraId="19AD2D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tcBorders>
                    <w:tl2br w:val="nil"/>
                    <w:tr2bl w:val="nil"/>
                  </w:tcBorders>
                  <w:noWrap w:val="0"/>
                  <w:vAlign w:val="center"/>
                </w:tcPr>
                <w:p w14:paraId="176219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序号</w:t>
                  </w:r>
                </w:p>
              </w:tc>
              <w:tc>
                <w:tcPr>
                  <w:tcW w:w="2268" w:type="dxa"/>
                  <w:tcBorders>
                    <w:tl2br w:val="nil"/>
                    <w:tr2bl w:val="nil"/>
                  </w:tcBorders>
                  <w:noWrap w:val="0"/>
                  <w:vAlign w:val="center"/>
                </w:tcPr>
                <w:p w14:paraId="442124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项目</w:t>
                  </w:r>
                </w:p>
              </w:tc>
              <w:tc>
                <w:tcPr>
                  <w:tcW w:w="4110" w:type="dxa"/>
                  <w:tcBorders>
                    <w:tl2br w:val="nil"/>
                    <w:tr2bl w:val="nil"/>
                  </w:tcBorders>
                  <w:noWrap w:val="0"/>
                  <w:vAlign w:val="center"/>
                </w:tcPr>
                <w:p w14:paraId="344818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技术指标参数</w:t>
                  </w:r>
                </w:p>
              </w:tc>
            </w:tr>
            <w:tr w14:paraId="254094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tcBorders>
                    <w:tl2br w:val="nil"/>
                    <w:tr2bl w:val="nil"/>
                  </w:tcBorders>
                  <w:noWrap w:val="0"/>
                  <w:vAlign w:val="center"/>
                </w:tcPr>
                <w:p w14:paraId="381338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1</w:t>
                  </w:r>
                </w:p>
              </w:tc>
              <w:tc>
                <w:tcPr>
                  <w:tcW w:w="2268" w:type="dxa"/>
                  <w:tcBorders>
                    <w:tl2br w:val="nil"/>
                    <w:tr2bl w:val="nil"/>
                  </w:tcBorders>
                  <w:noWrap w:val="0"/>
                  <w:vAlign w:val="center"/>
                </w:tcPr>
                <w:p w14:paraId="71EF34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装置名称</w:t>
                  </w:r>
                </w:p>
              </w:tc>
              <w:tc>
                <w:tcPr>
                  <w:tcW w:w="4110" w:type="dxa"/>
                  <w:tcBorders>
                    <w:tl2br w:val="nil"/>
                    <w:tr2bl w:val="nil"/>
                  </w:tcBorders>
                  <w:noWrap w:val="0"/>
                  <w:vAlign w:val="center"/>
                </w:tcPr>
                <w:p w14:paraId="27F97B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二级活性炭吸附装置</w:t>
                  </w:r>
                </w:p>
              </w:tc>
            </w:tr>
            <w:tr w14:paraId="551FCD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tcBorders>
                    <w:tl2br w:val="nil"/>
                    <w:tr2bl w:val="nil"/>
                  </w:tcBorders>
                  <w:noWrap w:val="0"/>
                  <w:vAlign w:val="center"/>
                </w:tcPr>
                <w:p w14:paraId="446F81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2</w:t>
                  </w:r>
                </w:p>
              </w:tc>
              <w:tc>
                <w:tcPr>
                  <w:tcW w:w="2268" w:type="dxa"/>
                  <w:tcBorders>
                    <w:tl2br w:val="nil"/>
                    <w:tr2bl w:val="nil"/>
                  </w:tcBorders>
                  <w:noWrap w:val="0"/>
                  <w:vAlign w:val="center"/>
                </w:tcPr>
                <w:p w14:paraId="1D3E91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配套风机风量</w:t>
                  </w:r>
                </w:p>
              </w:tc>
              <w:tc>
                <w:tcPr>
                  <w:tcW w:w="4110" w:type="dxa"/>
                  <w:tcBorders>
                    <w:tl2br w:val="nil"/>
                    <w:tr2bl w:val="nil"/>
                  </w:tcBorders>
                  <w:noWrap w:val="0"/>
                  <w:vAlign w:val="center"/>
                </w:tcPr>
                <w:p w14:paraId="1EFAD5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lang w:val="en-US" w:eastAsia="zh-CN"/>
                    </w:rPr>
                    <w:t>100</w:t>
                  </w:r>
                  <w:r>
                    <w:rPr>
                      <w:rFonts w:hint="eastAsia" w:ascii="宋体" w:hAnsi="宋体" w:eastAsia="宋体" w:cs="宋体"/>
                      <w:bCs/>
                      <w:color w:val="auto"/>
                      <w:sz w:val="21"/>
                      <w:szCs w:val="21"/>
                    </w:rPr>
                    <w:t>00m</w:t>
                  </w:r>
                  <w:r>
                    <w:rPr>
                      <w:rFonts w:hint="eastAsia" w:ascii="宋体" w:hAnsi="宋体" w:eastAsia="宋体" w:cs="宋体"/>
                      <w:bCs/>
                      <w:color w:val="auto"/>
                      <w:sz w:val="21"/>
                      <w:szCs w:val="21"/>
                      <w:vertAlign w:val="superscript"/>
                    </w:rPr>
                    <w:t>3</w:t>
                  </w:r>
                  <w:r>
                    <w:rPr>
                      <w:rFonts w:hint="eastAsia" w:ascii="宋体" w:hAnsi="宋体" w:eastAsia="宋体" w:cs="宋体"/>
                      <w:bCs/>
                      <w:color w:val="auto"/>
                      <w:sz w:val="21"/>
                      <w:szCs w:val="21"/>
                    </w:rPr>
                    <w:t>/h</w:t>
                  </w:r>
                </w:p>
              </w:tc>
            </w:tr>
            <w:tr w14:paraId="000C40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tcBorders>
                    <w:tl2br w:val="nil"/>
                    <w:tr2bl w:val="nil"/>
                  </w:tcBorders>
                  <w:noWrap w:val="0"/>
                  <w:vAlign w:val="center"/>
                </w:tcPr>
                <w:p w14:paraId="1BF59E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3</w:t>
                  </w:r>
                </w:p>
              </w:tc>
              <w:tc>
                <w:tcPr>
                  <w:tcW w:w="2268" w:type="dxa"/>
                  <w:tcBorders>
                    <w:tl2br w:val="nil"/>
                    <w:tr2bl w:val="nil"/>
                  </w:tcBorders>
                  <w:noWrap w:val="0"/>
                  <w:vAlign w:val="center"/>
                </w:tcPr>
                <w:p w14:paraId="4DE9EC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碘值</w:t>
                  </w:r>
                </w:p>
              </w:tc>
              <w:tc>
                <w:tcPr>
                  <w:tcW w:w="4110" w:type="dxa"/>
                  <w:tcBorders>
                    <w:tl2br w:val="nil"/>
                    <w:tr2bl w:val="nil"/>
                  </w:tcBorders>
                  <w:noWrap w:val="0"/>
                  <w:vAlign w:val="center"/>
                </w:tcPr>
                <w:p w14:paraId="5F60CE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lang w:val="en-US" w:eastAsia="zh-CN"/>
                    </w:rPr>
                    <w:t>65</w:t>
                  </w:r>
                  <w:r>
                    <w:rPr>
                      <w:rFonts w:hint="eastAsia" w:ascii="宋体" w:hAnsi="宋体" w:eastAsia="宋体" w:cs="宋体"/>
                      <w:bCs/>
                      <w:color w:val="auto"/>
                      <w:sz w:val="21"/>
                      <w:szCs w:val="21"/>
                    </w:rPr>
                    <w:t>0mg/g</w:t>
                  </w:r>
                </w:p>
              </w:tc>
            </w:tr>
            <w:tr w14:paraId="77E8AD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tcBorders>
                    <w:tl2br w:val="nil"/>
                    <w:tr2bl w:val="nil"/>
                  </w:tcBorders>
                  <w:noWrap w:val="0"/>
                  <w:vAlign w:val="center"/>
                </w:tcPr>
                <w:p w14:paraId="35DD15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4</w:t>
                  </w:r>
                </w:p>
              </w:tc>
              <w:tc>
                <w:tcPr>
                  <w:tcW w:w="2268" w:type="dxa"/>
                  <w:tcBorders>
                    <w:tl2br w:val="nil"/>
                    <w:tr2bl w:val="nil"/>
                  </w:tcBorders>
                  <w:noWrap w:val="0"/>
                  <w:vAlign w:val="center"/>
                </w:tcPr>
                <w:p w14:paraId="6DE41B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吸附效率</w:t>
                  </w:r>
                </w:p>
              </w:tc>
              <w:tc>
                <w:tcPr>
                  <w:tcW w:w="4110" w:type="dxa"/>
                  <w:tcBorders>
                    <w:tl2br w:val="nil"/>
                    <w:tr2bl w:val="nil"/>
                  </w:tcBorders>
                  <w:noWrap w:val="0"/>
                  <w:vAlign w:val="center"/>
                </w:tcPr>
                <w:p w14:paraId="67ED9A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90%</w:t>
                  </w:r>
                </w:p>
              </w:tc>
            </w:tr>
            <w:tr w14:paraId="034B7E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tcBorders>
                    <w:tl2br w:val="nil"/>
                    <w:tr2bl w:val="nil"/>
                  </w:tcBorders>
                  <w:noWrap w:val="0"/>
                  <w:vAlign w:val="center"/>
                </w:tcPr>
                <w:p w14:paraId="5D5B38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5</w:t>
                  </w:r>
                </w:p>
              </w:tc>
              <w:tc>
                <w:tcPr>
                  <w:tcW w:w="2268" w:type="dxa"/>
                  <w:tcBorders>
                    <w:tl2br w:val="nil"/>
                    <w:tr2bl w:val="nil"/>
                  </w:tcBorders>
                  <w:noWrap w:val="0"/>
                  <w:vAlign w:val="center"/>
                </w:tcPr>
                <w:p w14:paraId="659ACB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吸附容量</w:t>
                  </w:r>
                </w:p>
              </w:tc>
              <w:tc>
                <w:tcPr>
                  <w:tcW w:w="4110" w:type="dxa"/>
                  <w:tcBorders>
                    <w:tl2br w:val="nil"/>
                    <w:tr2bl w:val="nil"/>
                  </w:tcBorders>
                  <w:noWrap w:val="0"/>
                  <w:vAlign w:val="center"/>
                </w:tcPr>
                <w:p w14:paraId="7B6F1A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10%</w:t>
                  </w:r>
                </w:p>
              </w:tc>
            </w:tr>
            <w:tr w14:paraId="0ABDA9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560" w:type="dxa"/>
                  <w:tcBorders>
                    <w:tl2br w:val="nil"/>
                    <w:tr2bl w:val="nil"/>
                  </w:tcBorders>
                  <w:noWrap w:val="0"/>
                  <w:vAlign w:val="center"/>
                </w:tcPr>
                <w:p w14:paraId="2C531C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6</w:t>
                  </w:r>
                </w:p>
              </w:tc>
              <w:tc>
                <w:tcPr>
                  <w:tcW w:w="2268" w:type="dxa"/>
                  <w:tcBorders>
                    <w:tl2br w:val="nil"/>
                    <w:tr2bl w:val="nil"/>
                  </w:tcBorders>
                  <w:noWrap w:val="0"/>
                  <w:vAlign w:val="center"/>
                </w:tcPr>
                <w:p w14:paraId="6377F2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装填量</w:t>
                  </w:r>
                </w:p>
              </w:tc>
              <w:tc>
                <w:tcPr>
                  <w:tcW w:w="4110" w:type="dxa"/>
                  <w:tcBorders>
                    <w:tl2br w:val="nil"/>
                    <w:tr2bl w:val="nil"/>
                  </w:tcBorders>
                  <w:noWrap w:val="0"/>
                  <w:vAlign w:val="center"/>
                </w:tcPr>
                <w:p w14:paraId="1803CE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Cs/>
                      <w:color w:val="auto"/>
                      <w:sz w:val="21"/>
                      <w:szCs w:val="21"/>
                      <w:lang w:val="en-US"/>
                    </w:rPr>
                  </w:pPr>
                  <w:r>
                    <w:rPr>
                      <w:rFonts w:hint="eastAsia" w:ascii="宋体" w:hAnsi="宋体" w:eastAsia="宋体" w:cs="宋体"/>
                      <w:bCs/>
                      <w:color w:val="auto"/>
                      <w:sz w:val="21"/>
                      <w:szCs w:val="21"/>
                      <w:lang w:val="en-US" w:eastAsia="zh-CN"/>
                    </w:rPr>
                    <w:t>100kg（一级）</w:t>
                  </w:r>
                </w:p>
              </w:tc>
            </w:tr>
            <w:tr w14:paraId="46037C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tcBorders>
                    <w:tl2br w:val="nil"/>
                    <w:tr2bl w:val="nil"/>
                  </w:tcBorders>
                  <w:noWrap w:val="0"/>
                  <w:vAlign w:val="center"/>
                </w:tcPr>
                <w:p w14:paraId="2DDF04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7</w:t>
                  </w:r>
                </w:p>
              </w:tc>
              <w:tc>
                <w:tcPr>
                  <w:tcW w:w="2268" w:type="dxa"/>
                  <w:tcBorders>
                    <w:tl2br w:val="nil"/>
                    <w:tr2bl w:val="nil"/>
                  </w:tcBorders>
                  <w:noWrap w:val="0"/>
                  <w:vAlign w:val="center"/>
                </w:tcPr>
                <w:p w14:paraId="2DB6BB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更换周期</w:t>
                  </w:r>
                </w:p>
              </w:tc>
              <w:tc>
                <w:tcPr>
                  <w:tcW w:w="4110" w:type="dxa"/>
                  <w:tcBorders>
                    <w:tl2br w:val="nil"/>
                    <w:tr2bl w:val="nil"/>
                  </w:tcBorders>
                  <w:noWrap w:val="0"/>
                  <w:vAlign w:val="center"/>
                </w:tcPr>
                <w:p w14:paraId="6D3F67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lang w:val="en-US" w:eastAsia="zh-CN"/>
                    </w:rPr>
                    <w:t>277</w:t>
                  </w:r>
                  <w:r>
                    <w:rPr>
                      <w:rFonts w:hint="eastAsia" w:ascii="宋体" w:hAnsi="宋体" w:eastAsia="宋体" w:cs="宋体"/>
                      <w:bCs/>
                      <w:color w:val="auto"/>
                      <w:sz w:val="21"/>
                      <w:szCs w:val="21"/>
                    </w:rPr>
                    <w:t>天</w:t>
                  </w:r>
                </w:p>
              </w:tc>
            </w:tr>
          </w:tbl>
          <w:p w14:paraId="21F14B6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rPr>
                <w:rFonts w:hint="eastAsia" w:ascii="宋体" w:hAnsi="宋体" w:eastAsia="宋体" w:cs="宋体"/>
                <w:b w:val="0"/>
                <w:bCs/>
                <w:sz w:val="24"/>
                <w:szCs w:val="24"/>
                <w:lang w:val="en-US" w:eastAsia="zh-CN"/>
              </w:rPr>
            </w:pPr>
            <w:r>
              <w:rPr>
                <w:rFonts w:hint="eastAsia" w:ascii="宋体" w:hAnsi="宋体" w:eastAsia="宋体" w:cs="宋体"/>
                <w:b w:val="0"/>
                <w:bCs/>
                <w:sz w:val="24"/>
                <w:szCs w:val="24"/>
              </w:rPr>
              <w:t>⑶</w:t>
            </w:r>
            <w:r>
              <w:rPr>
                <w:rFonts w:hint="eastAsia" w:ascii="宋体" w:hAnsi="宋体" w:eastAsia="宋体" w:cs="宋体"/>
                <w:b w:val="0"/>
                <w:bCs/>
                <w:sz w:val="24"/>
                <w:szCs w:val="24"/>
                <w:lang w:val="en-US" w:eastAsia="zh-CN"/>
              </w:rPr>
              <w:t>喷砂、打磨废气</w:t>
            </w:r>
          </w:p>
          <w:p w14:paraId="5428B47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rPr>
                <w:rFonts w:hint="eastAsia" w:ascii="宋体" w:hAnsi="宋体" w:eastAsia="宋体" w:cs="宋体"/>
                <w:lang w:eastAsia="zh-CN"/>
              </w:rPr>
            </w:pPr>
            <w:r>
              <w:rPr>
                <w:rFonts w:hint="eastAsia" w:ascii="宋体" w:hAnsi="宋体" w:eastAsia="宋体" w:cs="宋体"/>
                <w:b w:val="0"/>
                <w:bCs/>
                <w:kern w:val="24"/>
                <w:sz w:val="24"/>
                <w:szCs w:val="24"/>
                <w:lang w:val="en-US" w:eastAsia="zh-CN" w:bidi="ar-SA"/>
              </w:rPr>
              <w:t>本项目喷砂、打磨产生的颗粒物经脉冲式布袋除尘器处理后</w:t>
            </w:r>
            <w:r>
              <w:rPr>
                <w:rFonts w:hint="eastAsia" w:ascii="宋体" w:hAnsi="宋体" w:eastAsia="宋体" w:cs="宋体"/>
                <w:b w:val="0"/>
                <w:bCs/>
                <w:sz w:val="24"/>
                <w:szCs w:val="24"/>
              </w:rPr>
              <w:t>通过</w:t>
            </w:r>
            <w:r>
              <w:rPr>
                <w:rFonts w:hint="eastAsia" w:ascii="宋体" w:hAnsi="宋体" w:eastAsia="宋体" w:cs="宋体"/>
                <w:b w:val="0"/>
                <w:bCs/>
                <w:sz w:val="24"/>
                <w:szCs w:val="24"/>
                <w:lang w:val="en-US" w:eastAsia="zh-CN"/>
              </w:rPr>
              <w:t>15m排气筒（DA003）</w:t>
            </w:r>
            <w:r>
              <w:rPr>
                <w:rFonts w:hint="eastAsia" w:ascii="宋体" w:hAnsi="宋体" w:eastAsia="宋体" w:cs="宋体"/>
                <w:b w:val="0"/>
                <w:bCs/>
                <w:sz w:val="24"/>
                <w:szCs w:val="24"/>
              </w:rPr>
              <w:t>排放。</w:t>
            </w:r>
            <w:r>
              <w:rPr>
                <w:rFonts w:hint="eastAsia" w:ascii="宋体" w:hAnsi="宋体" w:eastAsia="宋体" w:cs="宋体"/>
                <w:b w:val="0"/>
                <w:sz w:val="24"/>
                <w:szCs w:val="24"/>
                <w:lang w:eastAsia="zh-CN"/>
              </w:rPr>
              <w:t>该废气治理设施参考《排污许可证申请与核发技术规范</w:t>
            </w:r>
            <w:r>
              <w:rPr>
                <w:rFonts w:hint="eastAsia" w:ascii="宋体" w:hAnsi="宋体" w:eastAsia="宋体" w:cs="宋体"/>
                <w:b w:val="0"/>
                <w:sz w:val="24"/>
                <w:szCs w:val="24"/>
                <w:lang w:val="en-US" w:eastAsia="zh-CN"/>
              </w:rPr>
              <w:t xml:space="preserve"> 铁路、船舶、航空航天和其他运输设备制造业</w:t>
            </w:r>
            <w:r>
              <w:rPr>
                <w:rFonts w:hint="eastAsia" w:ascii="宋体" w:hAnsi="宋体" w:eastAsia="宋体" w:cs="宋体"/>
                <w:b w:val="0"/>
                <w:sz w:val="24"/>
                <w:szCs w:val="24"/>
                <w:lang w:eastAsia="zh-CN"/>
              </w:rPr>
              <w:t>》（</w:t>
            </w:r>
            <w:r>
              <w:rPr>
                <w:rFonts w:hint="eastAsia" w:ascii="宋体" w:hAnsi="宋体" w:eastAsia="宋体" w:cs="宋体"/>
                <w:b w:val="0"/>
                <w:sz w:val="24"/>
                <w:szCs w:val="24"/>
                <w:lang w:val="en-US" w:eastAsia="zh-CN"/>
              </w:rPr>
              <w:t>HJ1124-2020</w:t>
            </w:r>
            <w:r>
              <w:rPr>
                <w:rFonts w:hint="eastAsia" w:ascii="宋体" w:hAnsi="宋体" w:eastAsia="宋体" w:cs="宋体"/>
                <w:b w:val="0"/>
                <w:sz w:val="24"/>
                <w:szCs w:val="24"/>
                <w:lang w:eastAsia="zh-CN"/>
              </w:rPr>
              <w:t>）附录</w:t>
            </w:r>
            <w:r>
              <w:rPr>
                <w:rFonts w:hint="eastAsia" w:ascii="宋体" w:hAnsi="宋体" w:eastAsia="宋体" w:cs="宋体"/>
                <w:b w:val="0"/>
                <w:sz w:val="24"/>
                <w:szCs w:val="24"/>
                <w:lang w:val="en-US" w:eastAsia="zh-CN"/>
              </w:rPr>
              <w:t>C</w:t>
            </w:r>
            <w:r>
              <w:rPr>
                <w:rFonts w:hint="eastAsia" w:ascii="宋体" w:hAnsi="宋体" w:eastAsia="宋体" w:cs="宋体"/>
                <w:b w:val="0"/>
                <w:sz w:val="24"/>
                <w:szCs w:val="24"/>
              </w:rPr>
              <w:t>中</w:t>
            </w:r>
            <w:r>
              <w:rPr>
                <w:rFonts w:hint="eastAsia" w:ascii="宋体" w:hAnsi="宋体" w:eastAsia="宋体" w:cs="宋体"/>
                <w:b w:val="0"/>
                <w:sz w:val="24"/>
                <w:szCs w:val="24"/>
                <w:lang w:eastAsia="zh-CN"/>
              </w:rPr>
              <w:t>的</w:t>
            </w:r>
            <w:r>
              <w:rPr>
                <w:rFonts w:hint="eastAsia" w:ascii="宋体" w:hAnsi="宋体" w:eastAsia="宋体" w:cs="宋体"/>
                <w:b w:val="0"/>
                <w:sz w:val="24"/>
                <w:szCs w:val="24"/>
              </w:rPr>
              <w:t>可行技术（</w:t>
            </w:r>
            <w:r>
              <w:rPr>
                <w:rFonts w:hint="eastAsia" w:ascii="宋体" w:hAnsi="宋体" w:eastAsia="宋体" w:cs="宋体"/>
                <w:b w:val="0"/>
                <w:sz w:val="24"/>
                <w:szCs w:val="24"/>
                <w:lang w:eastAsia="zh-CN"/>
              </w:rPr>
              <w:t>预处理</w:t>
            </w:r>
            <w:r>
              <w:rPr>
                <w:rFonts w:hint="eastAsia" w:ascii="宋体" w:hAnsi="宋体" w:eastAsia="宋体" w:cs="宋体"/>
                <w:b w:val="0"/>
                <w:sz w:val="24"/>
                <w:szCs w:val="24"/>
                <w:lang w:val="en-US" w:eastAsia="zh-CN"/>
              </w:rPr>
              <w:t>-袋式除尘</w:t>
            </w:r>
            <w:r>
              <w:rPr>
                <w:rFonts w:hint="eastAsia" w:ascii="宋体" w:hAnsi="宋体" w:eastAsia="宋体" w:cs="宋体"/>
                <w:b w:val="0"/>
                <w:sz w:val="24"/>
                <w:szCs w:val="24"/>
              </w:rPr>
              <w:t>），</w:t>
            </w:r>
            <w:r>
              <w:rPr>
                <w:rFonts w:hint="eastAsia" w:ascii="宋体" w:hAnsi="宋体" w:eastAsia="宋体" w:cs="宋体"/>
                <w:b w:val="0"/>
                <w:bCs/>
                <w:sz w:val="24"/>
                <w:szCs w:val="24"/>
                <w:lang w:eastAsia="zh-CN"/>
              </w:rPr>
              <w:t>该</w:t>
            </w:r>
            <w:r>
              <w:rPr>
                <w:rFonts w:hint="eastAsia" w:ascii="宋体" w:hAnsi="宋体" w:eastAsia="宋体" w:cs="宋体"/>
                <w:b w:val="0"/>
                <w:bCs/>
                <w:sz w:val="24"/>
                <w:szCs w:val="24"/>
              </w:rPr>
              <w:t>废气</w:t>
            </w:r>
            <w:r>
              <w:rPr>
                <w:rFonts w:hint="eastAsia" w:ascii="宋体" w:hAnsi="宋体" w:eastAsia="宋体" w:cs="宋体"/>
                <w:b w:val="0"/>
                <w:bCs/>
                <w:sz w:val="24"/>
                <w:szCs w:val="24"/>
                <w:lang w:eastAsia="zh-CN"/>
              </w:rPr>
              <w:t>治理</w:t>
            </w:r>
            <w:r>
              <w:rPr>
                <w:rFonts w:hint="eastAsia" w:ascii="宋体" w:hAnsi="宋体" w:eastAsia="宋体" w:cs="宋体"/>
                <w:b w:val="0"/>
                <w:bCs/>
                <w:sz w:val="24"/>
                <w:szCs w:val="24"/>
              </w:rPr>
              <w:t>措施是可行的。</w:t>
            </w:r>
          </w:p>
          <w:p w14:paraId="3C8D7D50">
            <w:pPr>
              <w:pStyle w:val="3"/>
              <w:keepNext/>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right="0" w:firstLine="480" w:firstLineChars="200"/>
              <w:textAlignment w:val="baseline"/>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综上，本项目废气治理设施均可实现达标排放，能够满足《工业涂装工序大气污染物排放标准》（DB32/4439-2022）、《大气污染物综合排放标准》（DB32/4041-2021）标准要求。</w:t>
            </w:r>
            <w:r>
              <w:rPr>
                <w:rFonts w:hint="eastAsia" w:ascii="宋体" w:hAnsi="宋体" w:eastAsia="宋体" w:cs="宋体"/>
                <w:b w:val="0"/>
                <w:bCs/>
                <w:color w:val="auto"/>
                <w:sz w:val="24"/>
                <w:szCs w:val="24"/>
              </w:rPr>
              <w:t>本项目喷涂、固化废气处理措施是可行的。</w:t>
            </w:r>
          </w:p>
          <w:p w14:paraId="2E34F06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bCs w:val="0"/>
                <w:lang w:bidi="ar"/>
              </w:rPr>
              <w:t>表4-</w:t>
            </w:r>
            <w:r>
              <w:rPr>
                <w:rFonts w:hint="eastAsia" w:ascii="宋体" w:hAnsi="宋体" w:eastAsia="宋体" w:cs="宋体"/>
                <w:b/>
                <w:bCs w:val="0"/>
                <w:lang w:val="en-US" w:eastAsia="zh-CN" w:bidi="ar"/>
              </w:rPr>
              <w:t>6</w:t>
            </w:r>
            <w:r>
              <w:rPr>
                <w:rFonts w:hint="eastAsia" w:ascii="宋体" w:hAnsi="宋体" w:eastAsia="宋体" w:cs="宋体"/>
                <w:b/>
                <w:bCs w:val="0"/>
                <w:lang w:bidi="ar"/>
              </w:rPr>
              <w:t xml:space="preserve">  大气排放口基本情况表</w:t>
            </w:r>
            <w:bookmarkStart w:id="108" w:name="BIAO6"/>
          </w:p>
          <w:bookmarkEnd w:id="108"/>
          <w:tbl>
            <w:tblPr>
              <w:tblStyle w:val="3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16"/>
              <w:gridCol w:w="660"/>
              <w:gridCol w:w="722"/>
              <w:gridCol w:w="972"/>
              <w:gridCol w:w="1121"/>
              <w:gridCol w:w="1044"/>
              <w:gridCol w:w="855"/>
              <w:gridCol w:w="854"/>
              <w:gridCol w:w="854"/>
              <w:gridCol w:w="863"/>
            </w:tblGrid>
            <w:tr w14:paraId="4A02C3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248" w:type="pct"/>
                  <w:vMerge w:val="restart"/>
                  <w:noWrap w:val="0"/>
                  <w:vAlign w:val="center"/>
                </w:tcPr>
                <w:p w14:paraId="17C0BA9A">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b/>
                      <w:bCs/>
                      <w:szCs w:val="21"/>
                    </w:rPr>
                  </w:pPr>
                  <w:bookmarkStart w:id="109" w:name="_Toc20023"/>
                  <w:bookmarkStart w:id="110" w:name="_Toc23154"/>
                  <w:bookmarkStart w:id="111" w:name="_Toc7"/>
                  <w:r>
                    <w:rPr>
                      <w:rFonts w:hint="eastAsia" w:ascii="宋体" w:hAnsi="宋体" w:eastAsia="宋体" w:cs="宋体"/>
                      <w:b/>
                      <w:bCs/>
                      <w:szCs w:val="21"/>
                    </w:rPr>
                    <w:t>序号</w:t>
                  </w:r>
                  <w:bookmarkEnd w:id="109"/>
                  <w:bookmarkEnd w:id="110"/>
                  <w:bookmarkEnd w:id="111"/>
                </w:p>
              </w:tc>
              <w:tc>
                <w:tcPr>
                  <w:tcW w:w="394" w:type="pct"/>
                  <w:vMerge w:val="restart"/>
                  <w:noWrap w:val="0"/>
                  <w:vAlign w:val="center"/>
                </w:tcPr>
                <w:p w14:paraId="68F74FA7">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b/>
                      <w:bCs/>
                      <w:szCs w:val="21"/>
                    </w:rPr>
                  </w:pPr>
                  <w:bookmarkStart w:id="112" w:name="_Toc26619"/>
                  <w:bookmarkStart w:id="113" w:name="_Toc32421"/>
                  <w:bookmarkStart w:id="114" w:name="_Toc13694"/>
                  <w:r>
                    <w:rPr>
                      <w:rFonts w:hint="eastAsia" w:ascii="宋体" w:hAnsi="宋体" w:eastAsia="宋体" w:cs="宋体"/>
                      <w:b/>
                      <w:bCs/>
                      <w:szCs w:val="21"/>
                    </w:rPr>
                    <w:t>排放口编号</w:t>
                  </w:r>
                  <w:bookmarkEnd w:id="112"/>
                  <w:bookmarkEnd w:id="113"/>
                  <w:bookmarkEnd w:id="114"/>
                </w:p>
              </w:tc>
              <w:tc>
                <w:tcPr>
                  <w:tcW w:w="431" w:type="pct"/>
                  <w:vMerge w:val="restart"/>
                  <w:noWrap w:val="0"/>
                  <w:vAlign w:val="center"/>
                </w:tcPr>
                <w:p w14:paraId="2EF385B8">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b/>
                      <w:bCs/>
                      <w:szCs w:val="21"/>
                    </w:rPr>
                  </w:pPr>
                  <w:bookmarkStart w:id="115" w:name="_Toc31495"/>
                  <w:bookmarkStart w:id="116" w:name="_Toc8263"/>
                  <w:bookmarkStart w:id="117" w:name="_Toc22343"/>
                  <w:r>
                    <w:rPr>
                      <w:rFonts w:hint="eastAsia" w:ascii="宋体" w:hAnsi="宋体" w:eastAsia="宋体" w:cs="宋体"/>
                      <w:b/>
                      <w:bCs/>
                      <w:szCs w:val="21"/>
                    </w:rPr>
                    <w:t>排放口名称</w:t>
                  </w:r>
                  <w:bookmarkEnd w:id="115"/>
                  <w:bookmarkEnd w:id="116"/>
                  <w:bookmarkEnd w:id="117"/>
                </w:p>
              </w:tc>
              <w:tc>
                <w:tcPr>
                  <w:tcW w:w="581" w:type="pct"/>
                  <w:vMerge w:val="restart"/>
                  <w:noWrap w:val="0"/>
                  <w:vAlign w:val="center"/>
                </w:tcPr>
                <w:p w14:paraId="6E11A54D">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b/>
                      <w:bCs/>
                      <w:szCs w:val="21"/>
                    </w:rPr>
                  </w:pPr>
                  <w:bookmarkStart w:id="118" w:name="_Toc11685"/>
                  <w:bookmarkStart w:id="119" w:name="_Toc23942"/>
                  <w:bookmarkStart w:id="120" w:name="_Toc24276"/>
                  <w:r>
                    <w:rPr>
                      <w:rFonts w:hint="eastAsia" w:ascii="宋体" w:hAnsi="宋体" w:eastAsia="宋体" w:cs="宋体"/>
                      <w:b/>
                      <w:bCs/>
                      <w:szCs w:val="21"/>
                    </w:rPr>
                    <w:t>污染物</w:t>
                  </w:r>
                </w:p>
                <w:p w14:paraId="0037EF81">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b/>
                      <w:bCs/>
                      <w:szCs w:val="21"/>
                    </w:rPr>
                  </w:pPr>
                  <w:r>
                    <w:rPr>
                      <w:rFonts w:hint="eastAsia" w:ascii="宋体" w:hAnsi="宋体" w:eastAsia="宋体" w:cs="宋体"/>
                      <w:b/>
                      <w:bCs/>
                      <w:szCs w:val="21"/>
                    </w:rPr>
                    <w:t>种类</w:t>
                  </w:r>
                  <w:bookmarkEnd w:id="118"/>
                  <w:bookmarkEnd w:id="119"/>
                  <w:bookmarkEnd w:id="120"/>
                </w:p>
              </w:tc>
              <w:tc>
                <w:tcPr>
                  <w:tcW w:w="1294" w:type="pct"/>
                  <w:gridSpan w:val="2"/>
                  <w:noWrap w:val="0"/>
                  <w:vAlign w:val="center"/>
                </w:tcPr>
                <w:p w14:paraId="22629C24">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b/>
                      <w:bCs/>
                      <w:szCs w:val="21"/>
                    </w:rPr>
                  </w:pPr>
                  <w:bookmarkStart w:id="121" w:name="_Toc28819"/>
                  <w:bookmarkStart w:id="122" w:name="_Toc1316"/>
                  <w:bookmarkStart w:id="123" w:name="_Toc13931"/>
                  <w:r>
                    <w:rPr>
                      <w:rFonts w:hint="eastAsia" w:ascii="宋体" w:hAnsi="宋体" w:eastAsia="宋体" w:cs="宋体"/>
                      <w:b/>
                      <w:bCs/>
                      <w:szCs w:val="21"/>
                    </w:rPr>
                    <w:t>排放口地理坐标</w:t>
                  </w:r>
                  <w:bookmarkEnd w:id="121"/>
                  <w:bookmarkEnd w:id="122"/>
                  <w:bookmarkEnd w:id="123"/>
                </w:p>
              </w:tc>
              <w:tc>
                <w:tcPr>
                  <w:tcW w:w="511" w:type="pct"/>
                  <w:vMerge w:val="restart"/>
                  <w:noWrap w:val="0"/>
                  <w:vAlign w:val="center"/>
                </w:tcPr>
                <w:p w14:paraId="3FB440C8">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b/>
                      <w:bCs/>
                      <w:szCs w:val="21"/>
                    </w:rPr>
                  </w:pPr>
                  <w:bookmarkStart w:id="124" w:name="_Toc12905"/>
                  <w:bookmarkStart w:id="125" w:name="_Toc4154"/>
                  <w:bookmarkStart w:id="126" w:name="_Toc8069"/>
                  <w:r>
                    <w:rPr>
                      <w:rFonts w:hint="eastAsia" w:ascii="宋体" w:hAnsi="宋体" w:eastAsia="宋体" w:cs="宋体"/>
                      <w:b/>
                      <w:bCs/>
                      <w:szCs w:val="21"/>
                    </w:rPr>
                    <w:t>排气筒高度（m）</w:t>
                  </w:r>
                  <w:bookmarkEnd w:id="124"/>
                  <w:bookmarkEnd w:id="125"/>
                  <w:bookmarkEnd w:id="126"/>
                </w:p>
              </w:tc>
              <w:tc>
                <w:tcPr>
                  <w:tcW w:w="510" w:type="pct"/>
                  <w:vMerge w:val="restart"/>
                  <w:noWrap w:val="0"/>
                  <w:vAlign w:val="center"/>
                </w:tcPr>
                <w:p w14:paraId="6708EC5C">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b/>
                      <w:bCs/>
                      <w:szCs w:val="21"/>
                    </w:rPr>
                  </w:pPr>
                  <w:bookmarkStart w:id="127" w:name="_Toc21233"/>
                  <w:bookmarkStart w:id="128" w:name="_Toc3603"/>
                  <w:bookmarkStart w:id="129" w:name="_Toc18706"/>
                  <w:r>
                    <w:rPr>
                      <w:rFonts w:hint="eastAsia" w:ascii="宋体" w:hAnsi="宋体" w:eastAsia="宋体" w:cs="宋体"/>
                      <w:b/>
                      <w:bCs/>
                      <w:szCs w:val="21"/>
                    </w:rPr>
                    <w:t>排气筒出口内径（m）</w:t>
                  </w:r>
                  <w:bookmarkEnd w:id="127"/>
                  <w:bookmarkEnd w:id="128"/>
                  <w:bookmarkEnd w:id="129"/>
                </w:p>
              </w:tc>
              <w:tc>
                <w:tcPr>
                  <w:tcW w:w="510" w:type="pct"/>
                  <w:vMerge w:val="restart"/>
                  <w:noWrap w:val="0"/>
                  <w:vAlign w:val="center"/>
                </w:tcPr>
                <w:p w14:paraId="6D0D799C">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b/>
                      <w:bCs/>
                      <w:szCs w:val="21"/>
                    </w:rPr>
                  </w:pPr>
                  <w:bookmarkStart w:id="130" w:name="_Toc28032"/>
                  <w:bookmarkStart w:id="131" w:name="_Toc21421"/>
                  <w:bookmarkStart w:id="132" w:name="_Toc29996"/>
                  <w:r>
                    <w:rPr>
                      <w:rFonts w:hint="eastAsia" w:ascii="宋体" w:hAnsi="宋体" w:eastAsia="宋体" w:cs="宋体"/>
                      <w:b/>
                      <w:bCs/>
                      <w:szCs w:val="21"/>
                    </w:rPr>
                    <w:t>排气温度（℃）</w:t>
                  </w:r>
                  <w:bookmarkEnd w:id="130"/>
                  <w:bookmarkEnd w:id="131"/>
                  <w:bookmarkEnd w:id="132"/>
                </w:p>
              </w:tc>
              <w:tc>
                <w:tcPr>
                  <w:tcW w:w="516" w:type="pct"/>
                  <w:vMerge w:val="restart"/>
                  <w:noWrap w:val="0"/>
                  <w:vAlign w:val="center"/>
                </w:tcPr>
                <w:p w14:paraId="657F8E02">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b/>
                      <w:bCs/>
                      <w:szCs w:val="21"/>
                    </w:rPr>
                  </w:pPr>
                  <w:bookmarkStart w:id="133" w:name="_Toc15437"/>
                  <w:bookmarkStart w:id="134" w:name="_Toc2600"/>
                  <w:bookmarkStart w:id="135" w:name="_Toc30921"/>
                  <w:r>
                    <w:rPr>
                      <w:rFonts w:hint="eastAsia" w:ascii="宋体" w:hAnsi="宋体" w:eastAsia="宋体" w:cs="宋体"/>
                      <w:b/>
                      <w:bCs/>
                      <w:szCs w:val="21"/>
                    </w:rPr>
                    <w:t>排放口类型</w:t>
                  </w:r>
                  <w:bookmarkEnd w:id="133"/>
                  <w:bookmarkEnd w:id="134"/>
                  <w:bookmarkEnd w:id="135"/>
                </w:p>
              </w:tc>
            </w:tr>
            <w:tr w14:paraId="6C6CDE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248" w:type="pct"/>
                  <w:vMerge w:val="continue"/>
                  <w:noWrap w:val="0"/>
                  <w:vAlign w:val="center"/>
                </w:tcPr>
                <w:p w14:paraId="42C6F353">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b/>
                      <w:bCs/>
                      <w:szCs w:val="21"/>
                    </w:rPr>
                  </w:pPr>
                </w:p>
              </w:tc>
              <w:tc>
                <w:tcPr>
                  <w:tcW w:w="394" w:type="pct"/>
                  <w:vMerge w:val="continue"/>
                  <w:noWrap w:val="0"/>
                  <w:vAlign w:val="center"/>
                </w:tcPr>
                <w:p w14:paraId="70FBF6BE">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b/>
                      <w:bCs/>
                      <w:szCs w:val="21"/>
                    </w:rPr>
                  </w:pPr>
                </w:p>
              </w:tc>
              <w:tc>
                <w:tcPr>
                  <w:tcW w:w="431" w:type="pct"/>
                  <w:vMerge w:val="continue"/>
                  <w:noWrap w:val="0"/>
                  <w:vAlign w:val="center"/>
                </w:tcPr>
                <w:p w14:paraId="797FB2C9">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b/>
                      <w:bCs/>
                      <w:szCs w:val="21"/>
                    </w:rPr>
                  </w:pPr>
                </w:p>
              </w:tc>
              <w:tc>
                <w:tcPr>
                  <w:tcW w:w="581" w:type="pct"/>
                  <w:vMerge w:val="continue"/>
                  <w:noWrap w:val="0"/>
                  <w:vAlign w:val="center"/>
                </w:tcPr>
                <w:p w14:paraId="4BA3E589">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b/>
                      <w:bCs/>
                      <w:szCs w:val="21"/>
                    </w:rPr>
                  </w:pPr>
                </w:p>
              </w:tc>
              <w:tc>
                <w:tcPr>
                  <w:tcW w:w="670" w:type="pct"/>
                  <w:noWrap w:val="0"/>
                  <w:vAlign w:val="center"/>
                </w:tcPr>
                <w:p w14:paraId="71D8C592">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b/>
                      <w:bCs/>
                      <w:szCs w:val="21"/>
                    </w:rPr>
                  </w:pPr>
                  <w:bookmarkStart w:id="136" w:name="_Toc4008"/>
                  <w:bookmarkStart w:id="137" w:name="_Toc17094"/>
                  <w:bookmarkStart w:id="138" w:name="_Toc31661"/>
                  <w:r>
                    <w:rPr>
                      <w:rFonts w:hint="eastAsia" w:ascii="宋体" w:hAnsi="宋体" w:eastAsia="宋体" w:cs="宋体"/>
                      <w:b/>
                      <w:bCs/>
                      <w:szCs w:val="21"/>
                    </w:rPr>
                    <w:t>经度</w:t>
                  </w:r>
                  <w:bookmarkEnd w:id="136"/>
                  <w:bookmarkEnd w:id="137"/>
                  <w:bookmarkEnd w:id="138"/>
                </w:p>
              </w:tc>
              <w:tc>
                <w:tcPr>
                  <w:tcW w:w="624" w:type="pct"/>
                  <w:noWrap w:val="0"/>
                  <w:vAlign w:val="center"/>
                </w:tcPr>
                <w:p w14:paraId="6A40EA52">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b/>
                      <w:bCs/>
                      <w:szCs w:val="21"/>
                    </w:rPr>
                  </w:pPr>
                  <w:bookmarkStart w:id="139" w:name="_Toc16534"/>
                  <w:bookmarkStart w:id="140" w:name="_Toc10221"/>
                  <w:bookmarkStart w:id="141" w:name="_Toc25765"/>
                  <w:r>
                    <w:rPr>
                      <w:rFonts w:hint="eastAsia" w:ascii="宋体" w:hAnsi="宋体" w:eastAsia="宋体" w:cs="宋体"/>
                      <w:b/>
                      <w:bCs/>
                      <w:szCs w:val="21"/>
                    </w:rPr>
                    <w:t>纬度</w:t>
                  </w:r>
                  <w:bookmarkEnd w:id="139"/>
                  <w:bookmarkEnd w:id="140"/>
                  <w:bookmarkEnd w:id="141"/>
                </w:p>
              </w:tc>
              <w:tc>
                <w:tcPr>
                  <w:tcW w:w="511" w:type="pct"/>
                  <w:vMerge w:val="continue"/>
                  <w:noWrap w:val="0"/>
                  <w:vAlign w:val="center"/>
                </w:tcPr>
                <w:p w14:paraId="5214A1E5">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b/>
                      <w:bCs/>
                      <w:szCs w:val="21"/>
                    </w:rPr>
                  </w:pPr>
                </w:p>
              </w:tc>
              <w:tc>
                <w:tcPr>
                  <w:tcW w:w="510" w:type="pct"/>
                  <w:vMerge w:val="continue"/>
                  <w:noWrap w:val="0"/>
                  <w:vAlign w:val="center"/>
                </w:tcPr>
                <w:p w14:paraId="2AF4F013">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b/>
                      <w:bCs/>
                      <w:szCs w:val="21"/>
                    </w:rPr>
                  </w:pPr>
                </w:p>
              </w:tc>
              <w:tc>
                <w:tcPr>
                  <w:tcW w:w="510" w:type="pct"/>
                  <w:vMerge w:val="continue"/>
                  <w:noWrap w:val="0"/>
                  <w:vAlign w:val="center"/>
                </w:tcPr>
                <w:p w14:paraId="7B1A575F">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b/>
                      <w:bCs/>
                      <w:szCs w:val="21"/>
                    </w:rPr>
                  </w:pPr>
                </w:p>
              </w:tc>
              <w:tc>
                <w:tcPr>
                  <w:tcW w:w="516" w:type="pct"/>
                  <w:vMerge w:val="continue"/>
                  <w:noWrap w:val="0"/>
                  <w:vAlign w:val="center"/>
                </w:tcPr>
                <w:p w14:paraId="1F07A32A">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b/>
                      <w:bCs/>
                      <w:szCs w:val="21"/>
                    </w:rPr>
                  </w:pPr>
                </w:p>
              </w:tc>
            </w:tr>
            <w:tr w14:paraId="6242C2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2" w:hRule="atLeast"/>
                <w:tblHeader/>
                <w:jc w:val="center"/>
              </w:trPr>
              <w:tc>
                <w:tcPr>
                  <w:tcW w:w="248" w:type="pct"/>
                  <w:noWrap w:val="0"/>
                  <w:vAlign w:val="center"/>
                </w:tcPr>
                <w:p w14:paraId="5ECCA53A">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szCs w:val="21"/>
                    </w:rPr>
                  </w:pPr>
                  <w:bookmarkStart w:id="142" w:name="_Toc8673"/>
                  <w:bookmarkStart w:id="143" w:name="_Toc32026"/>
                  <w:bookmarkStart w:id="144" w:name="_Toc29988"/>
                  <w:r>
                    <w:rPr>
                      <w:rFonts w:hint="eastAsia" w:ascii="宋体" w:hAnsi="宋体" w:eastAsia="宋体" w:cs="宋体"/>
                      <w:szCs w:val="21"/>
                    </w:rPr>
                    <w:t>1</w:t>
                  </w:r>
                  <w:bookmarkEnd w:id="142"/>
                  <w:bookmarkEnd w:id="143"/>
                  <w:bookmarkEnd w:id="144"/>
                </w:p>
              </w:tc>
              <w:tc>
                <w:tcPr>
                  <w:tcW w:w="394" w:type="pct"/>
                  <w:noWrap w:val="0"/>
                  <w:vAlign w:val="center"/>
                </w:tcPr>
                <w:p w14:paraId="00ADB2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DA001</w:t>
                  </w:r>
                </w:p>
              </w:tc>
              <w:tc>
                <w:tcPr>
                  <w:tcW w:w="431" w:type="pct"/>
                  <w:noWrap w:val="0"/>
                  <w:vAlign w:val="center"/>
                </w:tcPr>
                <w:p w14:paraId="04FE16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喷塑</w:t>
                  </w:r>
                </w:p>
              </w:tc>
              <w:tc>
                <w:tcPr>
                  <w:tcW w:w="972" w:type="dxa"/>
                  <w:noWrap w:val="0"/>
                  <w:vAlign w:val="center"/>
                </w:tcPr>
                <w:p w14:paraId="021728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颗粒物</w:t>
                  </w:r>
                </w:p>
              </w:tc>
              <w:tc>
                <w:tcPr>
                  <w:tcW w:w="670" w:type="pct"/>
                  <w:noWrap w:val="0"/>
                  <w:vAlign w:val="center"/>
                </w:tcPr>
                <w:p w14:paraId="17BE56A5">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szCs w:val="21"/>
                    </w:rPr>
                  </w:pPr>
                  <w:bookmarkStart w:id="145" w:name="_Toc17643"/>
                  <w:bookmarkStart w:id="146" w:name="_Toc25858"/>
                  <w:bookmarkStart w:id="147" w:name="_Toc12109"/>
                  <w:r>
                    <w:rPr>
                      <w:rFonts w:hint="eastAsia" w:ascii="宋体" w:hAnsi="宋体" w:eastAsia="宋体" w:cs="宋体"/>
                      <w:szCs w:val="21"/>
                    </w:rPr>
                    <w:t>119°</w:t>
                  </w:r>
                  <w:r>
                    <w:rPr>
                      <w:rFonts w:hint="eastAsia" w:ascii="宋体" w:hAnsi="宋体" w:eastAsia="宋体" w:cs="宋体"/>
                      <w:szCs w:val="21"/>
                      <w:lang w:val="en-US" w:eastAsia="zh-CN"/>
                    </w:rPr>
                    <w:t>16</w:t>
                  </w:r>
                  <w:r>
                    <w:rPr>
                      <w:rFonts w:hint="eastAsia" w:ascii="宋体" w:hAnsi="宋体" w:eastAsia="宋体" w:cs="宋体"/>
                      <w:szCs w:val="21"/>
                    </w:rPr>
                    <w:t>′</w:t>
                  </w:r>
                  <w:r>
                    <w:rPr>
                      <w:rFonts w:hint="eastAsia" w:ascii="宋体" w:hAnsi="宋体" w:eastAsia="宋体" w:cs="宋体"/>
                      <w:szCs w:val="21"/>
                      <w:lang w:val="en-US" w:eastAsia="zh-CN"/>
                    </w:rPr>
                    <w:t>13.893</w:t>
                  </w:r>
                  <w:r>
                    <w:rPr>
                      <w:rFonts w:hint="eastAsia" w:ascii="宋体" w:hAnsi="宋体" w:eastAsia="宋体" w:cs="宋体"/>
                      <w:szCs w:val="21"/>
                    </w:rPr>
                    <w:t>″</w:t>
                  </w:r>
                  <w:bookmarkEnd w:id="145"/>
                  <w:bookmarkEnd w:id="146"/>
                  <w:bookmarkEnd w:id="147"/>
                </w:p>
              </w:tc>
              <w:tc>
                <w:tcPr>
                  <w:tcW w:w="624" w:type="pct"/>
                  <w:noWrap w:val="0"/>
                  <w:vAlign w:val="center"/>
                </w:tcPr>
                <w:p w14:paraId="21CE005B">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szCs w:val="21"/>
                    </w:rPr>
                  </w:pPr>
                  <w:bookmarkStart w:id="148" w:name="_Toc20557"/>
                  <w:bookmarkStart w:id="149" w:name="_Toc22223"/>
                  <w:bookmarkStart w:id="150" w:name="_Toc23815"/>
                  <w:r>
                    <w:rPr>
                      <w:rFonts w:hint="eastAsia" w:ascii="宋体" w:hAnsi="宋体" w:eastAsia="宋体" w:cs="宋体"/>
                      <w:szCs w:val="21"/>
                    </w:rPr>
                    <w:t>3</w:t>
                  </w:r>
                  <w:r>
                    <w:rPr>
                      <w:rFonts w:hint="eastAsia" w:ascii="宋体" w:hAnsi="宋体" w:eastAsia="宋体" w:cs="宋体"/>
                      <w:szCs w:val="21"/>
                      <w:lang w:val="en-US" w:eastAsia="zh-CN"/>
                    </w:rPr>
                    <w:t>2</w:t>
                  </w:r>
                  <w:r>
                    <w:rPr>
                      <w:rFonts w:hint="eastAsia" w:ascii="宋体" w:hAnsi="宋体" w:eastAsia="宋体" w:cs="宋体"/>
                      <w:szCs w:val="21"/>
                    </w:rPr>
                    <w:t>°</w:t>
                  </w:r>
                  <w:r>
                    <w:rPr>
                      <w:rFonts w:hint="eastAsia" w:ascii="宋体" w:hAnsi="宋体" w:eastAsia="宋体" w:cs="宋体"/>
                      <w:szCs w:val="21"/>
                      <w:lang w:val="en-US" w:eastAsia="zh-CN"/>
                    </w:rPr>
                    <w:t>1</w:t>
                  </w:r>
                  <w:r>
                    <w:rPr>
                      <w:rFonts w:hint="eastAsia" w:ascii="宋体" w:hAnsi="宋体" w:eastAsia="宋体" w:cs="宋体"/>
                      <w:szCs w:val="21"/>
                    </w:rPr>
                    <w:t>′</w:t>
                  </w:r>
                  <w:r>
                    <w:rPr>
                      <w:rFonts w:hint="eastAsia" w:ascii="宋体" w:hAnsi="宋体" w:eastAsia="宋体" w:cs="宋体"/>
                      <w:szCs w:val="21"/>
                      <w:lang w:val="en-US" w:eastAsia="zh-CN"/>
                    </w:rPr>
                    <w:t>37.174</w:t>
                  </w:r>
                  <w:r>
                    <w:rPr>
                      <w:rFonts w:hint="eastAsia" w:ascii="宋体" w:hAnsi="宋体" w:eastAsia="宋体" w:cs="宋体"/>
                      <w:szCs w:val="21"/>
                    </w:rPr>
                    <w:t>″</w:t>
                  </w:r>
                  <w:bookmarkEnd w:id="148"/>
                  <w:bookmarkEnd w:id="149"/>
                  <w:bookmarkEnd w:id="150"/>
                </w:p>
              </w:tc>
              <w:tc>
                <w:tcPr>
                  <w:tcW w:w="511" w:type="pct"/>
                  <w:noWrap w:val="0"/>
                  <w:vAlign w:val="center"/>
                </w:tcPr>
                <w:p w14:paraId="5C1C1A76">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szCs w:val="21"/>
                    </w:rPr>
                  </w:pPr>
                  <w:bookmarkStart w:id="151" w:name="_Toc6187"/>
                  <w:bookmarkStart w:id="152" w:name="_Toc5807"/>
                  <w:bookmarkStart w:id="153" w:name="_Toc13272"/>
                  <w:r>
                    <w:rPr>
                      <w:rFonts w:hint="eastAsia" w:ascii="宋体" w:hAnsi="宋体" w:eastAsia="宋体" w:cs="宋体"/>
                      <w:szCs w:val="21"/>
                    </w:rPr>
                    <w:t>15</w:t>
                  </w:r>
                  <w:bookmarkEnd w:id="151"/>
                  <w:bookmarkEnd w:id="152"/>
                  <w:bookmarkEnd w:id="153"/>
                </w:p>
              </w:tc>
              <w:tc>
                <w:tcPr>
                  <w:tcW w:w="510" w:type="pct"/>
                  <w:noWrap w:val="0"/>
                  <w:vAlign w:val="center"/>
                </w:tcPr>
                <w:p w14:paraId="65A415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0.4</w:t>
                  </w:r>
                </w:p>
              </w:tc>
              <w:tc>
                <w:tcPr>
                  <w:tcW w:w="510" w:type="pct"/>
                  <w:noWrap w:val="0"/>
                  <w:vAlign w:val="center"/>
                </w:tcPr>
                <w:p w14:paraId="5CD6E17F">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szCs w:val="21"/>
                    </w:rPr>
                  </w:pPr>
                  <w:r>
                    <w:rPr>
                      <w:rFonts w:hint="eastAsia" w:ascii="宋体" w:hAnsi="宋体" w:eastAsia="宋体" w:cs="宋体"/>
                      <w:szCs w:val="21"/>
                    </w:rPr>
                    <w:t>常温</w:t>
                  </w:r>
                </w:p>
              </w:tc>
              <w:tc>
                <w:tcPr>
                  <w:tcW w:w="516" w:type="pct"/>
                  <w:noWrap w:val="0"/>
                  <w:vAlign w:val="center"/>
                </w:tcPr>
                <w:p w14:paraId="6BC7DA66">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szCs w:val="21"/>
                    </w:rPr>
                  </w:pPr>
                  <w:bookmarkStart w:id="154" w:name="_Toc9071"/>
                  <w:bookmarkStart w:id="155" w:name="_Toc11599"/>
                  <w:bookmarkStart w:id="156" w:name="_Toc10326"/>
                  <w:r>
                    <w:rPr>
                      <w:rFonts w:hint="eastAsia" w:ascii="宋体" w:hAnsi="宋体" w:eastAsia="宋体" w:cs="宋体"/>
                      <w:szCs w:val="21"/>
                    </w:rPr>
                    <w:t>一般排放口</w:t>
                  </w:r>
                  <w:bookmarkEnd w:id="154"/>
                  <w:bookmarkEnd w:id="155"/>
                  <w:bookmarkEnd w:id="156"/>
                </w:p>
              </w:tc>
            </w:tr>
            <w:tr w14:paraId="3BCC2E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2" w:hRule="atLeast"/>
                <w:tblHeader/>
                <w:jc w:val="center"/>
              </w:trPr>
              <w:tc>
                <w:tcPr>
                  <w:tcW w:w="248" w:type="pct"/>
                  <w:noWrap w:val="0"/>
                  <w:vAlign w:val="center"/>
                </w:tcPr>
                <w:p w14:paraId="64DBD7BE">
                  <w:pPr>
                    <w:pStyle w:val="13"/>
                    <w:keepNext w:val="0"/>
                    <w:keepLines w:val="0"/>
                    <w:suppressLineNumbers w:val="0"/>
                    <w:snapToGrid w:val="0"/>
                    <w:spacing w:before="0" w:beforeAutospacing="0" w:after="0" w:afterAutospacing="0" w:line="240" w:lineRule="atLeast"/>
                    <w:ind w:left="0" w:leftChars="0" w:right="0" w:rightChars="0" w:firstLine="0" w:firstLineChars="0"/>
                    <w:jc w:val="center"/>
                    <w:textAlignment w:val="baseline"/>
                    <w:rPr>
                      <w:rFonts w:hint="eastAsia" w:ascii="宋体" w:hAnsi="宋体" w:eastAsia="宋体" w:cs="宋体"/>
                      <w:kern w:val="44"/>
                      <w:sz w:val="21"/>
                      <w:szCs w:val="21"/>
                      <w:lang w:val="en-US" w:eastAsia="zh-CN" w:bidi="ar-SA"/>
                    </w:rPr>
                  </w:pPr>
                  <w:bookmarkStart w:id="157" w:name="_Toc17526"/>
                  <w:bookmarkStart w:id="158" w:name="_Toc19819"/>
                  <w:bookmarkStart w:id="159" w:name="_Toc10457"/>
                  <w:r>
                    <w:rPr>
                      <w:rFonts w:hint="eastAsia" w:ascii="宋体" w:hAnsi="宋体" w:eastAsia="宋体" w:cs="宋体"/>
                      <w:szCs w:val="21"/>
                    </w:rPr>
                    <w:t>2</w:t>
                  </w:r>
                </w:p>
              </w:tc>
              <w:tc>
                <w:tcPr>
                  <w:tcW w:w="394" w:type="pct"/>
                  <w:noWrap w:val="0"/>
                  <w:vAlign w:val="center"/>
                </w:tcPr>
                <w:p w14:paraId="1AB3AB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DA002</w:t>
                  </w:r>
                </w:p>
              </w:tc>
              <w:tc>
                <w:tcPr>
                  <w:tcW w:w="431" w:type="pct"/>
                  <w:noWrap w:val="0"/>
                  <w:vAlign w:val="center"/>
                </w:tcPr>
                <w:p w14:paraId="6F1B6F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喷塑</w:t>
                  </w:r>
                </w:p>
              </w:tc>
              <w:tc>
                <w:tcPr>
                  <w:tcW w:w="972" w:type="dxa"/>
                  <w:noWrap w:val="0"/>
                  <w:vAlign w:val="center"/>
                </w:tcPr>
                <w:p w14:paraId="056C2B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颗粒物</w:t>
                  </w:r>
                </w:p>
              </w:tc>
              <w:tc>
                <w:tcPr>
                  <w:tcW w:w="670" w:type="pct"/>
                  <w:noWrap w:val="0"/>
                  <w:vAlign w:val="center"/>
                </w:tcPr>
                <w:p w14:paraId="53588842">
                  <w:pPr>
                    <w:pStyle w:val="13"/>
                    <w:keepNext w:val="0"/>
                    <w:keepLines w:val="0"/>
                    <w:suppressLineNumbers w:val="0"/>
                    <w:snapToGrid w:val="0"/>
                    <w:spacing w:before="0" w:beforeAutospacing="0" w:after="0" w:afterAutospacing="0" w:line="240" w:lineRule="atLeast"/>
                    <w:ind w:left="0" w:leftChars="0" w:right="0" w:rightChars="0" w:firstLine="0" w:firstLineChars="0"/>
                    <w:jc w:val="center"/>
                    <w:textAlignment w:val="baseline"/>
                    <w:rPr>
                      <w:rFonts w:hint="eastAsia" w:ascii="宋体" w:hAnsi="宋体" w:eastAsia="宋体" w:cs="宋体"/>
                      <w:snapToGrid w:val="0"/>
                      <w:kern w:val="0"/>
                      <w:sz w:val="21"/>
                      <w:szCs w:val="21"/>
                      <w:lang w:val="en-US" w:eastAsia="zh-CN" w:bidi="ar-SA"/>
                    </w:rPr>
                  </w:pPr>
                  <w:r>
                    <w:rPr>
                      <w:rFonts w:hint="eastAsia" w:ascii="宋体" w:hAnsi="宋体" w:eastAsia="宋体" w:cs="宋体"/>
                      <w:szCs w:val="21"/>
                    </w:rPr>
                    <w:t>119°</w:t>
                  </w:r>
                  <w:r>
                    <w:rPr>
                      <w:rFonts w:hint="eastAsia" w:ascii="宋体" w:hAnsi="宋体" w:eastAsia="宋体" w:cs="宋体"/>
                      <w:szCs w:val="21"/>
                      <w:lang w:val="en-US" w:eastAsia="zh-CN"/>
                    </w:rPr>
                    <w:t>16</w:t>
                  </w:r>
                  <w:r>
                    <w:rPr>
                      <w:rFonts w:hint="eastAsia" w:ascii="宋体" w:hAnsi="宋体" w:eastAsia="宋体" w:cs="宋体"/>
                      <w:szCs w:val="21"/>
                    </w:rPr>
                    <w:t>′</w:t>
                  </w:r>
                  <w:r>
                    <w:rPr>
                      <w:rFonts w:hint="eastAsia" w:ascii="宋体" w:hAnsi="宋体" w:eastAsia="宋体" w:cs="宋体"/>
                      <w:szCs w:val="21"/>
                      <w:lang w:val="en-US" w:eastAsia="zh-CN"/>
                    </w:rPr>
                    <w:t>14.250</w:t>
                  </w:r>
                  <w:r>
                    <w:rPr>
                      <w:rFonts w:hint="eastAsia" w:ascii="宋体" w:hAnsi="宋体" w:eastAsia="宋体" w:cs="宋体"/>
                      <w:szCs w:val="21"/>
                    </w:rPr>
                    <w:t>″</w:t>
                  </w:r>
                </w:p>
              </w:tc>
              <w:tc>
                <w:tcPr>
                  <w:tcW w:w="624" w:type="pct"/>
                  <w:noWrap w:val="0"/>
                  <w:vAlign w:val="center"/>
                </w:tcPr>
                <w:p w14:paraId="30CF31B5">
                  <w:pPr>
                    <w:pStyle w:val="13"/>
                    <w:keepNext w:val="0"/>
                    <w:keepLines w:val="0"/>
                    <w:suppressLineNumbers w:val="0"/>
                    <w:snapToGrid w:val="0"/>
                    <w:spacing w:before="0" w:beforeAutospacing="0" w:after="0" w:afterAutospacing="0" w:line="240" w:lineRule="atLeast"/>
                    <w:ind w:left="0" w:leftChars="0" w:right="0" w:rightChars="0" w:firstLine="0" w:firstLineChars="0"/>
                    <w:jc w:val="center"/>
                    <w:textAlignment w:val="baseline"/>
                    <w:rPr>
                      <w:rFonts w:hint="eastAsia" w:ascii="宋体" w:hAnsi="宋体" w:eastAsia="宋体" w:cs="宋体"/>
                      <w:snapToGrid w:val="0"/>
                      <w:kern w:val="0"/>
                      <w:sz w:val="21"/>
                      <w:szCs w:val="21"/>
                      <w:lang w:val="en-US" w:eastAsia="zh-CN" w:bidi="ar-SA"/>
                    </w:rPr>
                  </w:pPr>
                  <w:r>
                    <w:rPr>
                      <w:rFonts w:hint="eastAsia" w:ascii="宋体" w:hAnsi="宋体" w:eastAsia="宋体" w:cs="宋体"/>
                      <w:szCs w:val="21"/>
                    </w:rPr>
                    <w:t>3</w:t>
                  </w:r>
                  <w:r>
                    <w:rPr>
                      <w:rFonts w:hint="eastAsia" w:ascii="宋体" w:hAnsi="宋体" w:eastAsia="宋体" w:cs="宋体"/>
                      <w:szCs w:val="21"/>
                      <w:lang w:val="en-US" w:eastAsia="zh-CN"/>
                    </w:rPr>
                    <w:t>2</w:t>
                  </w:r>
                  <w:r>
                    <w:rPr>
                      <w:rFonts w:hint="eastAsia" w:ascii="宋体" w:hAnsi="宋体" w:eastAsia="宋体" w:cs="宋体"/>
                      <w:szCs w:val="21"/>
                    </w:rPr>
                    <w:t>°</w:t>
                  </w:r>
                  <w:r>
                    <w:rPr>
                      <w:rFonts w:hint="eastAsia" w:ascii="宋体" w:hAnsi="宋体" w:eastAsia="宋体" w:cs="宋体"/>
                      <w:szCs w:val="21"/>
                      <w:lang w:val="en-US" w:eastAsia="zh-CN"/>
                    </w:rPr>
                    <w:t>1</w:t>
                  </w:r>
                  <w:r>
                    <w:rPr>
                      <w:rFonts w:hint="eastAsia" w:ascii="宋体" w:hAnsi="宋体" w:eastAsia="宋体" w:cs="宋体"/>
                      <w:szCs w:val="21"/>
                    </w:rPr>
                    <w:t>′</w:t>
                  </w:r>
                  <w:r>
                    <w:rPr>
                      <w:rFonts w:hint="eastAsia" w:ascii="宋体" w:hAnsi="宋体" w:eastAsia="宋体" w:cs="宋体"/>
                      <w:szCs w:val="21"/>
                      <w:lang w:val="en-US" w:eastAsia="zh-CN"/>
                    </w:rPr>
                    <w:t>36.969</w:t>
                  </w:r>
                  <w:r>
                    <w:rPr>
                      <w:rFonts w:hint="eastAsia" w:ascii="宋体" w:hAnsi="宋体" w:eastAsia="宋体" w:cs="宋体"/>
                      <w:szCs w:val="21"/>
                    </w:rPr>
                    <w:t>″</w:t>
                  </w:r>
                </w:p>
              </w:tc>
              <w:tc>
                <w:tcPr>
                  <w:tcW w:w="511" w:type="pct"/>
                  <w:noWrap w:val="0"/>
                  <w:vAlign w:val="center"/>
                </w:tcPr>
                <w:p w14:paraId="6A0FEFE6">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szCs w:val="21"/>
                      <w:lang w:val="en-US" w:eastAsia="zh-CN"/>
                    </w:rPr>
                  </w:pPr>
                  <w:r>
                    <w:rPr>
                      <w:rFonts w:hint="eastAsia" w:ascii="宋体" w:hAnsi="宋体" w:eastAsia="宋体" w:cs="宋体"/>
                      <w:szCs w:val="21"/>
                      <w:lang w:val="en-US" w:eastAsia="zh-CN"/>
                    </w:rPr>
                    <w:t>15</w:t>
                  </w:r>
                </w:p>
              </w:tc>
              <w:tc>
                <w:tcPr>
                  <w:tcW w:w="510" w:type="pct"/>
                  <w:noWrap w:val="0"/>
                  <w:vAlign w:val="center"/>
                </w:tcPr>
                <w:p w14:paraId="673D3D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0.4</w:t>
                  </w:r>
                </w:p>
              </w:tc>
              <w:tc>
                <w:tcPr>
                  <w:tcW w:w="510" w:type="pct"/>
                  <w:noWrap w:val="0"/>
                  <w:vAlign w:val="center"/>
                </w:tcPr>
                <w:p w14:paraId="4DD10510">
                  <w:pPr>
                    <w:pStyle w:val="13"/>
                    <w:keepNext w:val="0"/>
                    <w:keepLines w:val="0"/>
                    <w:suppressLineNumbers w:val="0"/>
                    <w:snapToGrid w:val="0"/>
                    <w:spacing w:before="0" w:beforeAutospacing="0" w:after="0" w:afterAutospacing="0" w:line="240" w:lineRule="atLeast"/>
                    <w:ind w:left="0" w:leftChars="0" w:right="0" w:rightChars="0" w:firstLine="0" w:firstLineChars="0"/>
                    <w:jc w:val="center"/>
                    <w:textAlignment w:val="baseline"/>
                    <w:rPr>
                      <w:rFonts w:hint="eastAsia" w:ascii="宋体" w:hAnsi="宋体" w:eastAsia="宋体" w:cs="宋体"/>
                      <w:kern w:val="44"/>
                      <w:sz w:val="21"/>
                      <w:szCs w:val="21"/>
                      <w:lang w:val="en-US" w:eastAsia="zh-CN" w:bidi="ar-SA"/>
                    </w:rPr>
                  </w:pPr>
                  <w:r>
                    <w:rPr>
                      <w:rFonts w:hint="eastAsia" w:ascii="宋体" w:hAnsi="宋体" w:eastAsia="宋体" w:cs="宋体"/>
                      <w:szCs w:val="21"/>
                    </w:rPr>
                    <w:t>常温</w:t>
                  </w:r>
                </w:p>
              </w:tc>
              <w:tc>
                <w:tcPr>
                  <w:tcW w:w="516" w:type="pct"/>
                  <w:noWrap w:val="0"/>
                  <w:vAlign w:val="center"/>
                </w:tcPr>
                <w:p w14:paraId="3ABFF469">
                  <w:pPr>
                    <w:pStyle w:val="13"/>
                    <w:keepNext w:val="0"/>
                    <w:keepLines w:val="0"/>
                    <w:suppressLineNumbers w:val="0"/>
                    <w:snapToGrid w:val="0"/>
                    <w:spacing w:before="0" w:beforeAutospacing="0" w:after="0" w:afterAutospacing="0" w:line="240" w:lineRule="atLeast"/>
                    <w:ind w:left="0" w:leftChars="0" w:right="0" w:rightChars="0" w:firstLine="0" w:firstLineChars="0"/>
                    <w:jc w:val="center"/>
                    <w:textAlignment w:val="baseline"/>
                    <w:rPr>
                      <w:rFonts w:hint="eastAsia" w:ascii="宋体" w:hAnsi="宋体" w:eastAsia="宋体" w:cs="宋体"/>
                      <w:kern w:val="44"/>
                      <w:sz w:val="21"/>
                      <w:szCs w:val="21"/>
                      <w:lang w:val="en-US" w:eastAsia="zh-CN" w:bidi="ar-SA"/>
                    </w:rPr>
                  </w:pPr>
                  <w:r>
                    <w:rPr>
                      <w:rFonts w:hint="eastAsia" w:ascii="宋体" w:hAnsi="宋体" w:eastAsia="宋体" w:cs="宋体"/>
                      <w:szCs w:val="21"/>
                    </w:rPr>
                    <w:t>一般排放口</w:t>
                  </w:r>
                </w:p>
              </w:tc>
            </w:tr>
            <w:bookmarkEnd w:id="157"/>
            <w:bookmarkEnd w:id="158"/>
            <w:bookmarkEnd w:id="159"/>
            <w:tr w14:paraId="489ED5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2" w:hRule="atLeast"/>
                <w:tblHeader/>
                <w:jc w:val="center"/>
              </w:trPr>
              <w:tc>
                <w:tcPr>
                  <w:tcW w:w="248" w:type="pct"/>
                  <w:noWrap w:val="0"/>
                  <w:vAlign w:val="center"/>
                </w:tcPr>
                <w:p w14:paraId="492C1F25">
                  <w:pPr>
                    <w:pStyle w:val="13"/>
                    <w:keepNext w:val="0"/>
                    <w:keepLines w:val="0"/>
                    <w:suppressLineNumbers w:val="0"/>
                    <w:snapToGrid w:val="0"/>
                    <w:spacing w:before="0" w:beforeAutospacing="0" w:after="0" w:afterAutospacing="0" w:line="240" w:lineRule="atLeast"/>
                    <w:ind w:left="0" w:leftChars="0" w:right="0" w:rightChars="0" w:firstLine="0" w:firstLineChars="0"/>
                    <w:jc w:val="center"/>
                    <w:textAlignment w:val="baseline"/>
                    <w:rPr>
                      <w:rFonts w:hint="eastAsia" w:ascii="宋体" w:hAnsi="宋体" w:eastAsia="宋体" w:cs="宋体"/>
                      <w:kern w:val="44"/>
                      <w:sz w:val="21"/>
                      <w:szCs w:val="21"/>
                      <w:lang w:val="en-US" w:eastAsia="zh-CN" w:bidi="ar-SA"/>
                    </w:rPr>
                  </w:pPr>
                  <w:r>
                    <w:rPr>
                      <w:rFonts w:hint="eastAsia" w:ascii="宋体" w:hAnsi="宋体" w:eastAsia="宋体" w:cs="宋体"/>
                      <w:szCs w:val="21"/>
                    </w:rPr>
                    <w:t>3</w:t>
                  </w:r>
                </w:p>
              </w:tc>
              <w:tc>
                <w:tcPr>
                  <w:tcW w:w="394" w:type="pct"/>
                  <w:noWrap w:val="0"/>
                  <w:vAlign w:val="center"/>
                </w:tcPr>
                <w:p w14:paraId="15373C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DA003</w:t>
                  </w:r>
                </w:p>
              </w:tc>
              <w:tc>
                <w:tcPr>
                  <w:tcW w:w="431" w:type="pct"/>
                  <w:noWrap w:val="0"/>
                  <w:vAlign w:val="center"/>
                </w:tcPr>
                <w:p w14:paraId="45DF65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喷砂、打磨</w:t>
                  </w:r>
                </w:p>
              </w:tc>
              <w:tc>
                <w:tcPr>
                  <w:tcW w:w="972" w:type="dxa"/>
                  <w:noWrap w:val="0"/>
                  <w:vAlign w:val="center"/>
                </w:tcPr>
                <w:p w14:paraId="48566C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颗粒物</w:t>
                  </w:r>
                </w:p>
              </w:tc>
              <w:tc>
                <w:tcPr>
                  <w:tcW w:w="670" w:type="pct"/>
                  <w:noWrap w:val="0"/>
                  <w:vAlign w:val="center"/>
                </w:tcPr>
                <w:p w14:paraId="3E66CA20">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snapToGrid w:val="0"/>
                      <w:kern w:val="0"/>
                      <w:szCs w:val="21"/>
                    </w:rPr>
                  </w:pPr>
                  <w:r>
                    <w:rPr>
                      <w:rFonts w:hint="eastAsia" w:ascii="宋体" w:hAnsi="宋体" w:eastAsia="宋体" w:cs="宋体"/>
                      <w:szCs w:val="21"/>
                    </w:rPr>
                    <w:t>119°</w:t>
                  </w:r>
                  <w:r>
                    <w:rPr>
                      <w:rFonts w:hint="eastAsia" w:ascii="宋体" w:hAnsi="宋体" w:eastAsia="宋体" w:cs="宋体"/>
                      <w:szCs w:val="21"/>
                      <w:lang w:val="en-US" w:eastAsia="zh-CN"/>
                    </w:rPr>
                    <w:t>16</w:t>
                  </w:r>
                  <w:r>
                    <w:rPr>
                      <w:rFonts w:hint="eastAsia" w:ascii="宋体" w:hAnsi="宋体" w:eastAsia="宋体" w:cs="宋体"/>
                      <w:szCs w:val="21"/>
                    </w:rPr>
                    <w:t>′</w:t>
                  </w:r>
                  <w:r>
                    <w:rPr>
                      <w:rFonts w:hint="eastAsia" w:ascii="宋体" w:hAnsi="宋体" w:eastAsia="宋体" w:cs="宋体"/>
                      <w:szCs w:val="21"/>
                      <w:lang w:val="en-US" w:eastAsia="zh-CN"/>
                    </w:rPr>
                    <w:t>15.003</w:t>
                  </w:r>
                  <w:r>
                    <w:rPr>
                      <w:rFonts w:hint="eastAsia" w:ascii="宋体" w:hAnsi="宋体" w:eastAsia="宋体" w:cs="宋体"/>
                      <w:szCs w:val="21"/>
                    </w:rPr>
                    <w:t>″</w:t>
                  </w:r>
                </w:p>
              </w:tc>
              <w:tc>
                <w:tcPr>
                  <w:tcW w:w="624" w:type="pct"/>
                  <w:noWrap w:val="0"/>
                  <w:vAlign w:val="center"/>
                </w:tcPr>
                <w:p w14:paraId="21260372">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snapToGrid w:val="0"/>
                      <w:kern w:val="0"/>
                      <w:szCs w:val="21"/>
                    </w:rPr>
                  </w:pPr>
                  <w:r>
                    <w:rPr>
                      <w:rFonts w:hint="eastAsia" w:ascii="宋体" w:hAnsi="宋体" w:eastAsia="宋体" w:cs="宋体"/>
                      <w:szCs w:val="21"/>
                    </w:rPr>
                    <w:t>3</w:t>
                  </w:r>
                  <w:r>
                    <w:rPr>
                      <w:rFonts w:hint="eastAsia" w:ascii="宋体" w:hAnsi="宋体" w:eastAsia="宋体" w:cs="宋体"/>
                      <w:szCs w:val="21"/>
                      <w:lang w:val="en-US" w:eastAsia="zh-CN"/>
                    </w:rPr>
                    <w:t>2</w:t>
                  </w:r>
                  <w:r>
                    <w:rPr>
                      <w:rFonts w:hint="eastAsia" w:ascii="宋体" w:hAnsi="宋体" w:eastAsia="宋体" w:cs="宋体"/>
                      <w:szCs w:val="21"/>
                    </w:rPr>
                    <w:t>°</w:t>
                  </w:r>
                  <w:r>
                    <w:rPr>
                      <w:rFonts w:hint="eastAsia" w:ascii="宋体" w:hAnsi="宋体" w:eastAsia="宋体" w:cs="宋体"/>
                      <w:szCs w:val="21"/>
                      <w:lang w:val="en-US" w:eastAsia="zh-CN"/>
                    </w:rPr>
                    <w:t>1</w:t>
                  </w:r>
                  <w:r>
                    <w:rPr>
                      <w:rFonts w:hint="eastAsia" w:ascii="宋体" w:hAnsi="宋体" w:eastAsia="宋体" w:cs="宋体"/>
                      <w:szCs w:val="21"/>
                    </w:rPr>
                    <w:t>′</w:t>
                  </w:r>
                  <w:r>
                    <w:rPr>
                      <w:rFonts w:hint="eastAsia" w:ascii="宋体" w:hAnsi="宋体" w:eastAsia="宋体" w:cs="宋体"/>
                      <w:szCs w:val="21"/>
                      <w:lang w:val="en-US" w:eastAsia="zh-CN"/>
                    </w:rPr>
                    <w:t>36.445</w:t>
                  </w:r>
                  <w:r>
                    <w:rPr>
                      <w:rFonts w:hint="eastAsia" w:ascii="宋体" w:hAnsi="宋体" w:eastAsia="宋体" w:cs="宋体"/>
                      <w:szCs w:val="21"/>
                    </w:rPr>
                    <w:t>″</w:t>
                  </w:r>
                </w:p>
              </w:tc>
              <w:tc>
                <w:tcPr>
                  <w:tcW w:w="511" w:type="pct"/>
                  <w:noWrap w:val="0"/>
                  <w:vAlign w:val="center"/>
                </w:tcPr>
                <w:p w14:paraId="78F593CC">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szCs w:val="21"/>
                    </w:rPr>
                  </w:pPr>
                  <w:bookmarkStart w:id="160" w:name="_Toc3245"/>
                  <w:bookmarkStart w:id="161" w:name="_Toc17406"/>
                  <w:bookmarkStart w:id="162" w:name="_Toc30008"/>
                  <w:r>
                    <w:rPr>
                      <w:rFonts w:hint="eastAsia" w:ascii="宋体" w:hAnsi="宋体" w:eastAsia="宋体" w:cs="宋体"/>
                      <w:szCs w:val="21"/>
                    </w:rPr>
                    <w:t>15</w:t>
                  </w:r>
                  <w:bookmarkEnd w:id="160"/>
                  <w:bookmarkEnd w:id="161"/>
                  <w:bookmarkEnd w:id="162"/>
                </w:p>
              </w:tc>
              <w:tc>
                <w:tcPr>
                  <w:tcW w:w="510" w:type="pct"/>
                  <w:noWrap w:val="0"/>
                  <w:vAlign w:val="center"/>
                </w:tcPr>
                <w:p w14:paraId="72F86A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0.6</w:t>
                  </w:r>
                </w:p>
              </w:tc>
              <w:tc>
                <w:tcPr>
                  <w:tcW w:w="510" w:type="pct"/>
                  <w:noWrap w:val="0"/>
                  <w:vAlign w:val="center"/>
                </w:tcPr>
                <w:p w14:paraId="415B0C64">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szCs w:val="21"/>
                    </w:rPr>
                  </w:pPr>
                  <w:r>
                    <w:rPr>
                      <w:rFonts w:hint="eastAsia" w:ascii="宋体" w:hAnsi="宋体" w:eastAsia="宋体" w:cs="宋体"/>
                      <w:szCs w:val="21"/>
                    </w:rPr>
                    <w:t>常温</w:t>
                  </w:r>
                </w:p>
              </w:tc>
              <w:tc>
                <w:tcPr>
                  <w:tcW w:w="516" w:type="pct"/>
                  <w:noWrap w:val="0"/>
                  <w:vAlign w:val="center"/>
                </w:tcPr>
                <w:p w14:paraId="0B802968">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szCs w:val="21"/>
                    </w:rPr>
                  </w:pPr>
                  <w:bookmarkStart w:id="163" w:name="_Toc2812"/>
                  <w:bookmarkStart w:id="164" w:name="_Toc7765"/>
                  <w:bookmarkStart w:id="165" w:name="_Toc16073"/>
                  <w:r>
                    <w:rPr>
                      <w:rFonts w:hint="eastAsia" w:ascii="宋体" w:hAnsi="宋体" w:eastAsia="宋体" w:cs="宋体"/>
                      <w:szCs w:val="21"/>
                    </w:rPr>
                    <w:t>一般排放口</w:t>
                  </w:r>
                  <w:bookmarkEnd w:id="163"/>
                  <w:bookmarkEnd w:id="164"/>
                  <w:bookmarkEnd w:id="165"/>
                </w:p>
              </w:tc>
            </w:tr>
            <w:tr w14:paraId="2EF99E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8" w:hRule="atLeast"/>
                <w:tblHeader/>
                <w:jc w:val="center"/>
              </w:trPr>
              <w:tc>
                <w:tcPr>
                  <w:tcW w:w="248" w:type="pct"/>
                  <w:vMerge w:val="restart"/>
                  <w:noWrap w:val="0"/>
                  <w:vAlign w:val="center"/>
                </w:tcPr>
                <w:p w14:paraId="0671D624">
                  <w:pPr>
                    <w:pStyle w:val="13"/>
                    <w:keepNext w:val="0"/>
                    <w:keepLines w:val="0"/>
                    <w:suppressLineNumbers w:val="0"/>
                    <w:snapToGrid w:val="0"/>
                    <w:spacing w:before="0" w:beforeAutospacing="0" w:after="0" w:afterAutospacing="0" w:line="240" w:lineRule="atLeast"/>
                    <w:ind w:left="0" w:leftChars="0" w:right="0" w:rightChars="0" w:firstLine="0" w:firstLineChars="0"/>
                    <w:jc w:val="center"/>
                    <w:textAlignment w:val="baseline"/>
                    <w:rPr>
                      <w:rFonts w:hint="eastAsia" w:ascii="宋体" w:hAnsi="宋体" w:eastAsia="宋体" w:cs="宋体"/>
                      <w:kern w:val="44"/>
                      <w:sz w:val="21"/>
                      <w:szCs w:val="21"/>
                      <w:lang w:val="en-US" w:eastAsia="zh-CN" w:bidi="ar-SA"/>
                    </w:rPr>
                  </w:pPr>
                  <w:r>
                    <w:rPr>
                      <w:rFonts w:hint="eastAsia" w:ascii="宋体" w:hAnsi="宋体" w:eastAsia="宋体" w:cs="宋体"/>
                      <w:szCs w:val="21"/>
                    </w:rPr>
                    <w:t>4</w:t>
                  </w:r>
                </w:p>
              </w:tc>
              <w:tc>
                <w:tcPr>
                  <w:tcW w:w="394" w:type="pct"/>
                  <w:vMerge w:val="restart"/>
                  <w:noWrap w:val="0"/>
                  <w:vAlign w:val="center"/>
                </w:tcPr>
                <w:p w14:paraId="7D2876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DA004</w:t>
                  </w:r>
                </w:p>
              </w:tc>
              <w:tc>
                <w:tcPr>
                  <w:tcW w:w="431" w:type="pct"/>
                  <w:vMerge w:val="restart"/>
                  <w:noWrap w:val="0"/>
                  <w:vAlign w:val="center"/>
                </w:tcPr>
                <w:p w14:paraId="1B9416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eastAsia="zh-CN"/>
                    </w:rPr>
                    <w:t>天然气燃烧</w:t>
                  </w:r>
                </w:p>
              </w:tc>
              <w:tc>
                <w:tcPr>
                  <w:tcW w:w="972" w:type="dxa"/>
                  <w:noWrap w:val="0"/>
                  <w:vAlign w:val="center"/>
                </w:tcPr>
                <w:p w14:paraId="7118AC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eastAsia="zh-CN"/>
                    </w:rPr>
                    <w:t>颗粒物</w:t>
                  </w:r>
                </w:p>
              </w:tc>
              <w:tc>
                <w:tcPr>
                  <w:tcW w:w="670" w:type="pct"/>
                  <w:vMerge w:val="restart"/>
                  <w:noWrap w:val="0"/>
                  <w:vAlign w:val="center"/>
                </w:tcPr>
                <w:p w14:paraId="11E76008">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szCs w:val="21"/>
                    </w:rPr>
                  </w:pPr>
                  <w:r>
                    <w:rPr>
                      <w:rFonts w:hint="eastAsia" w:ascii="宋体" w:hAnsi="宋体" w:eastAsia="宋体" w:cs="宋体"/>
                      <w:szCs w:val="21"/>
                    </w:rPr>
                    <w:t>119°</w:t>
                  </w:r>
                  <w:r>
                    <w:rPr>
                      <w:rFonts w:hint="eastAsia" w:ascii="宋体" w:hAnsi="宋体" w:eastAsia="宋体" w:cs="宋体"/>
                      <w:szCs w:val="21"/>
                      <w:lang w:val="en-US" w:eastAsia="zh-CN"/>
                    </w:rPr>
                    <w:t>16</w:t>
                  </w:r>
                  <w:r>
                    <w:rPr>
                      <w:rFonts w:hint="eastAsia" w:ascii="宋体" w:hAnsi="宋体" w:eastAsia="宋体" w:cs="宋体"/>
                      <w:szCs w:val="21"/>
                    </w:rPr>
                    <w:t>′</w:t>
                  </w:r>
                  <w:r>
                    <w:rPr>
                      <w:rFonts w:hint="eastAsia" w:ascii="宋体" w:hAnsi="宋体" w:eastAsia="宋体" w:cs="宋体"/>
                      <w:szCs w:val="21"/>
                      <w:lang w:val="en-US" w:eastAsia="zh-CN"/>
                    </w:rPr>
                    <w:t>14.057</w:t>
                  </w:r>
                  <w:r>
                    <w:rPr>
                      <w:rFonts w:hint="eastAsia" w:ascii="宋体" w:hAnsi="宋体" w:eastAsia="宋体" w:cs="宋体"/>
                      <w:szCs w:val="21"/>
                    </w:rPr>
                    <w:t>″</w:t>
                  </w:r>
                </w:p>
              </w:tc>
              <w:tc>
                <w:tcPr>
                  <w:tcW w:w="624" w:type="pct"/>
                  <w:vMerge w:val="restart"/>
                  <w:noWrap w:val="0"/>
                  <w:vAlign w:val="center"/>
                </w:tcPr>
                <w:p w14:paraId="5C58AA4C">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szCs w:val="21"/>
                    </w:rPr>
                  </w:pPr>
                  <w:r>
                    <w:rPr>
                      <w:rFonts w:hint="eastAsia" w:ascii="宋体" w:hAnsi="宋体" w:eastAsia="宋体" w:cs="宋体"/>
                      <w:szCs w:val="21"/>
                    </w:rPr>
                    <w:t>3</w:t>
                  </w:r>
                  <w:r>
                    <w:rPr>
                      <w:rFonts w:hint="eastAsia" w:ascii="宋体" w:hAnsi="宋体" w:eastAsia="宋体" w:cs="宋体"/>
                      <w:szCs w:val="21"/>
                      <w:lang w:val="en-US" w:eastAsia="zh-CN"/>
                    </w:rPr>
                    <w:t>2</w:t>
                  </w:r>
                  <w:r>
                    <w:rPr>
                      <w:rFonts w:hint="eastAsia" w:ascii="宋体" w:hAnsi="宋体" w:eastAsia="宋体" w:cs="宋体"/>
                      <w:szCs w:val="21"/>
                    </w:rPr>
                    <w:t>°</w:t>
                  </w:r>
                  <w:r>
                    <w:rPr>
                      <w:rFonts w:hint="eastAsia" w:ascii="宋体" w:hAnsi="宋体" w:eastAsia="宋体" w:cs="宋体"/>
                      <w:szCs w:val="21"/>
                      <w:lang w:val="en-US" w:eastAsia="zh-CN"/>
                    </w:rPr>
                    <w:t>1</w:t>
                  </w:r>
                  <w:r>
                    <w:rPr>
                      <w:rFonts w:hint="eastAsia" w:ascii="宋体" w:hAnsi="宋体" w:eastAsia="宋体" w:cs="宋体"/>
                      <w:szCs w:val="21"/>
                    </w:rPr>
                    <w:t>′</w:t>
                  </w:r>
                  <w:r>
                    <w:rPr>
                      <w:rFonts w:hint="eastAsia" w:ascii="宋体" w:hAnsi="宋体" w:eastAsia="宋体" w:cs="宋体"/>
                      <w:szCs w:val="21"/>
                      <w:lang w:val="en-US" w:eastAsia="zh-CN"/>
                    </w:rPr>
                    <w:t>36.699</w:t>
                  </w:r>
                  <w:r>
                    <w:rPr>
                      <w:rFonts w:hint="eastAsia" w:ascii="宋体" w:hAnsi="宋体" w:eastAsia="宋体" w:cs="宋体"/>
                      <w:szCs w:val="21"/>
                    </w:rPr>
                    <w:t>″</w:t>
                  </w:r>
                </w:p>
              </w:tc>
              <w:tc>
                <w:tcPr>
                  <w:tcW w:w="511" w:type="pct"/>
                  <w:vMerge w:val="restart"/>
                  <w:noWrap w:val="0"/>
                  <w:vAlign w:val="center"/>
                </w:tcPr>
                <w:p w14:paraId="6F4EAB1C">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szCs w:val="21"/>
                    </w:rPr>
                  </w:pPr>
                  <w:r>
                    <w:rPr>
                      <w:rFonts w:hint="eastAsia" w:ascii="宋体" w:hAnsi="宋体" w:eastAsia="宋体" w:cs="宋体"/>
                      <w:szCs w:val="21"/>
                    </w:rPr>
                    <w:t>15</w:t>
                  </w:r>
                </w:p>
              </w:tc>
              <w:tc>
                <w:tcPr>
                  <w:tcW w:w="510" w:type="pct"/>
                  <w:vMerge w:val="restart"/>
                  <w:noWrap w:val="0"/>
                  <w:vAlign w:val="center"/>
                </w:tcPr>
                <w:p w14:paraId="7C2B2F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0.8</w:t>
                  </w:r>
                </w:p>
              </w:tc>
              <w:tc>
                <w:tcPr>
                  <w:tcW w:w="510" w:type="pct"/>
                  <w:vMerge w:val="restart"/>
                  <w:noWrap w:val="0"/>
                  <w:vAlign w:val="center"/>
                </w:tcPr>
                <w:p w14:paraId="0FBD781A">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default" w:ascii="宋体" w:hAnsi="宋体" w:eastAsia="宋体" w:cs="宋体"/>
                      <w:szCs w:val="21"/>
                      <w:lang w:val="en-US" w:eastAsia="zh-CN"/>
                    </w:rPr>
                  </w:pPr>
                  <w:r>
                    <w:rPr>
                      <w:rFonts w:hint="eastAsia" w:ascii="宋体" w:hAnsi="宋体" w:eastAsia="宋体" w:cs="宋体"/>
                      <w:szCs w:val="21"/>
                      <w:lang w:val="en-US" w:eastAsia="zh-CN"/>
                    </w:rPr>
                    <w:t>80</w:t>
                  </w:r>
                </w:p>
              </w:tc>
              <w:tc>
                <w:tcPr>
                  <w:tcW w:w="516" w:type="pct"/>
                  <w:vMerge w:val="restart"/>
                  <w:noWrap w:val="0"/>
                  <w:vAlign w:val="center"/>
                </w:tcPr>
                <w:p w14:paraId="2A624CFA">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szCs w:val="21"/>
                    </w:rPr>
                  </w:pPr>
                  <w:r>
                    <w:rPr>
                      <w:rFonts w:hint="eastAsia" w:ascii="宋体" w:hAnsi="宋体" w:eastAsia="宋体" w:cs="宋体"/>
                      <w:szCs w:val="21"/>
                    </w:rPr>
                    <w:t>一般排放口</w:t>
                  </w:r>
                </w:p>
              </w:tc>
            </w:tr>
            <w:tr w14:paraId="09BF63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8" w:hRule="atLeast"/>
                <w:tblHeader/>
                <w:jc w:val="center"/>
              </w:trPr>
              <w:tc>
                <w:tcPr>
                  <w:tcW w:w="248" w:type="pct"/>
                  <w:vMerge w:val="continue"/>
                  <w:noWrap w:val="0"/>
                  <w:vAlign w:val="center"/>
                </w:tcPr>
                <w:p w14:paraId="1F5D7E12">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rPr>
                  </w:pPr>
                </w:p>
              </w:tc>
              <w:tc>
                <w:tcPr>
                  <w:tcW w:w="394" w:type="pct"/>
                  <w:vMerge w:val="continue"/>
                  <w:noWrap w:val="0"/>
                  <w:vAlign w:val="center"/>
                </w:tcPr>
                <w:p w14:paraId="1A2D9214">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rPr>
                  </w:pPr>
                </w:p>
              </w:tc>
              <w:tc>
                <w:tcPr>
                  <w:tcW w:w="431" w:type="pct"/>
                  <w:vMerge w:val="continue"/>
                  <w:noWrap w:val="0"/>
                  <w:vAlign w:val="center"/>
                </w:tcPr>
                <w:p w14:paraId="50F2479A">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rPr>
                  </w:pPr>
                </w:p>
              </w:tc>
              <w:tc>
                <w:tcPr>
                  <w:tcW w:w="972" w:type="dxa"/>
                  <w:noWrap w:val="0"/>
                  <w:vAlign w:val="center"/>
                </w:tcPr>
                <w:p w14:paraId="3841ED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SO</w:t>
                  </w:r>
                  <w:r>
                    <w:rPr>
                      <w:rFonts w:hint="eastAsia" w:ascii="宋体" w:hAnsi="宋体" w:eastAsia="宋体" w:cs="宋体"/>
                      <w:sz w:val="21"/>
                      <w:szCs w:val="21"/>
                      <w:vertAlign w:val="subscript"/>
                      <w:lang w:val="en-US" w:eastAsia="zh-CN"/>
                    </w:rPr>
                    <w:t>2</w:t>
                  </w:r>
                </w:p>
              </w:tc>
              <w:tc>
                <w:tcPr>
                  <w:tcW w:w="670" w:type="pct"/>
                  <w:vMerge w:val="continue"/>
                  <w:noWrap w:val="0"/>
                  <w:vAlign w:val="center"/>
                </w:tcPr>
                <w:p w14:paraId="33963344">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szCs w:val="21"/>
                    </w:rPr>
                  </w:pPr>
                </w:p>
              </w:tc>
              <w:tc>
                <w:tcPr>
                  <w:tcW w:w="624" w:type="pct"/>
                  <w:vMerge w:val="continue"/>
                  <w:noWrap w:val="0"/>
                  <w:vAlign w:val="center"/>
                </w:tcPr>
                <w:p w14:paraId="2BE1CFFC">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szCs w:val="21"/>
                    </w:rPr>
                  </w:pPr>
                </w:p>
              </w:tc>
              <w:tc>
                <w:tcPr>
                  <w:tcW w:w="511" w:type="pct"/>
                  <w:vMerge w:val="continue"/>
                  <w:noWrap w:val="0"/>
                  <w:vAlign w:val="center"/>
                </w:tcPr>
                <w:p w14:paraId="5397D7E2">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szCs w:val="21"/>
                    </w:rPr>
                  </w:pPr>
                </w:p>
              </w:tc>
              <w:tc>
                <w:tcPr>
                  <w:tcW w:w="510" w:type="pct"/>
                  <w:vMerge w:val="continue"/>
                  <w:noWrap w:val="0"/>
                  <w:vAlign w:val="center"/>
                </w:tcPr>
                <w:p w14:paraId="0A5A0A98">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szCs w:val="21"/>
                    </w:rPr>
                  </w:pPr>
                </w:p>
              </w:tc>
              <w:tc>
                <w:tcPr>
                  <w:tcW w:w="510" w:type="pct"/>
                  <w:vMerge w:val="continue"/>
                  <w:noWrap w:val="0"/>
                  <w:vAlign w:val="center"/>
                </w:tcPr>
                <w:p w14:paraId="0504587F">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szCs w:val="21"/>
                    </w:rPr>
                  </w:pPr>
                </w:p>
              </w:tc>
              <w:tc>
                <w:tcPr>
                  <w:tcW w:w="516" w:type="pct"/>
                  <w:vMerge w:val="continue"/>
                  <w:noWrap w:val="0"/>
                  <w:vAlign w:val="center"/>
                </w:tcPr>
                <w:p w14:paraId="7E334F00">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szCs w:val="21"/>
                    </w:rPr>
                  </w:pPr>
                </w:p>
              </w:tc>
            </w:tr>
            <w:tr w14:paraId="629F0A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8" w:hRule="atLeast"/>
                <w:tblHeader/>
                <w:jc w:val="center"/>
              </w:trPr>
              <w:tc>
                <w:tcPr>
                  <w:tcW w:w="248" w:type="pct"/>
                  <w:vMerge w:val="continue"/>
                  <w:noWrap w:val="0"/>
                  <w:vAlign w:val="center"/>
                </w:tcPr>
                <w:p w14:paraId="2998DC7D">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szCs w:val="21"/>
                    </w:rPr>
                  </w:pPr>
                </w:p>
              </w:tc>
              <w:tc>
                <w:tcPr>
                  <w:tcW w:w="394" w:type="pct"/>
                  <w:vMerge w:val="continue"/>
                  <w:noWrap w:val="0"/>
                  <w:vAlign w:val="center"/>
                </w:tcPr>
                <w:p w14:paraId="7C679BDA">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szCs w:val="21"/>
                    </w:rPr>
                  </w:pPr>
                </w:p>
              </w:tc>
              <w:tc>
                <w:tcPr>
                  <w:tcW w:w="431" w:type="pct"/>
                  <w:vMerge w:val="continue"/>
                  <w:noWrap w:val="0"/>
                  <w:vAlign w:val="center"/>
                </w:tcPr>
                <w:p w14:paraId="631905E3">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szCs w:val="21"/>
                    </w:rPr>
                  </w:pPr>
                </w:p>
              </w:tc>
              <w:tc>
                <w:tcPr>
                  <w:tcW w:w="972" w:type="dxa"/>
                  <w:noWrap w:val="0"/>
                  <w:vAlign w:val="center"/>
                </w:tcPr>
                <w:p w14:paraId="57E2F9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NOx</w:t>
                  </w:r>
                </w:p>
              </w:tc>
              <w:tc>
                <w:tcPr>
                  <w:tcW w:w="670" w:type="pct"/>
                  <w:vMerge w:val="continue"/>
                  <w:noWrap w:val="0"/>
                  <w:vAlign w:val="center"/>
                </w:tcPr>
                <w:p w14:paraId="661A41E0">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szCs w:val="21"/>
                    </w:rPr>
                  </w:pPr>
                </w:p>
              </w:tc>
              <w:tc>
                <w:tcPr>
                  <w:tcW w:w="624" w:type="pct"/>
                  <w:vMerge w:val="continue"/>
                  <w:noWrap w:val="0"/>
                  <w:vAlign w:val="center"/>
                </w:tcPr>
                <w:p w14:paraId="6FED2D97">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szCs w:val="21"/>
                    </w:rPr>
                  </w:pPr>
                </w:p>
              </w:tc>
              <w:tc>
                <w:tcPr>
                  <w:tcW w:w="511" w:type="pct"/>
                  <w:vMerge w:val="continue"/>
                  <w:noWrap w:val="0"/>
                  <w:vAlign w:val="center"/>
                </w:tcPr>
                <w:p w14:paraId="72C46912">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szCs w:val="21"/>
                    </w:rPr>
                  </w:pPr>
                </w:p>
              </w:tc>
              <w:tc>
                <w:tcPr>
                  <w:tcW w:w="510" w:type="pct"/>
                  <w:vMerge w:val="continue"/>
                  <w:noWrap w:val="0"/>
                  <w:vAlign w:val="center"/>
                </w:tcPr>
                <w:p w14:paraId="792A6EB2">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szCs w:val="21"/>
                    </w:rPr>
                  </w:pPr>
                </w:p>
              </w:tc>
              <w:tc>
                <w:tcPr>
                  <w:tcW w:w="510" w:type="pct"/>
                  <w:vMerge w:val="continue"/>
                  <w:noWrap w:val="0"/>
                  <w:vAlign w:val="center"/>
                </w:tcPr>
                <w:p w14:paraId="71D64703">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szCs w:val="21"/>
                    </w:rPr>
                  </w:pPr>
                </w:p>
              </w:tc>
              <w:tc>
                <w:tcPr>
                  <w:tcW w:w="516" w:type="pct"/>
                  <w:vMerge w:val="continue"/>
                  <w:noWrap w:val="0"/>
                  <w:vAlign w:val="center"/>
                </w:tcPr>
                <w:p w14:paraId="04E80C03">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szCs w:val="21"/>
                    </w:rPr>
                  </w:pPr>
                </w:p>
              </w:tc>
            </w:tr>
            <w:tr w14:paraId="566A50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2" w:hRule="atLeast"/>
                <w:tblHeader/>
                <w:jc w:val="center"/>
              </w:trPr>
              <w:tc>
                <w:tcPr>
                  <w:tcW w:w="248" w:type="pct"/>
                  <w:noWrap w:val="0"/>
                  <w:vAlign w:val="center"/>
                </w:tcPr>
                <w:p w14:paraId="56B2B82E">
                  <w:pPr>
                    <w:pStyle w:val="13"/>
                    <w:keepNext w:val="0"/>
                    <w:keepLines w:val="0"/>
                    <w:suppressLineNumbers w:val="0"/>
                    <w:snapToGrid w:val="0"/>
                    <w:spacing w:before="0" w:beforeAutospacing="0" w:after="0" w:afterAutospacing="0" w:line="240" w:lineRule="atLeast"/>
                    <w:ind w:left="0" w:leftChars="0" w:right="0" w:rightChars="0" w:firstLine="0" w:firstLineChars="0"/>
                    <w:jc w:val="center"/>
                    <w:textAlignment w:val="baseline"/>
                    <w:rPr>
                      <w:rFonts w:hint="eastAsia" w:ascii="宋体" w:hAnsi="宋体" w:eastAsia="宋体" w:cs="宋体"/>
                      <w:kern w:val="44"/>
                      <w:sz w:val="21"/>
                      <w:szCs w:val="21"/>
                      <w:lang w:val="en-US" w:eastAsia="zh-CN" w:bidi="ar-SA"/>
                    </w:rPr>
                  </w:pPr>
                  <w:r>
                    <w:rPr>
                      <w:rFonts w:hint="eastAsia" w:ascii="宋体" w:hAnsi="宋体" w:eastAsia="宋体" w:cs="宋体"/>
                      <w:szCs w:val="21"/>
                    </w:rPr>
                    <w:t>5</w:t>
                  </w:r>
                </w:p>
              </w:tc>
              <w:tc>
                <w:tcPr>
                  <w:tcW w:w="394" w:type="pct"/>
                  <w:noWrap w:val="0"/>
                  <w:vAlign w:val="center"/>
                </w:tcPr>
                <w:p w14:paraId="5C1A13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DA005</w:t>
                  </w:r>
                </w:p>
              </w:tc>
              <w:tc>
                <w:tcPr>
                  <w:tcW w:w="431" w:type="pct"/>
                  <w:noWrap w:val="0"/>
                  <w:vAlign w:val="center"/>
                </w:tcPr>
                <w:p w14:paraId="5F9CE5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固化</w:t>
                  </w:r>
                </w:p>
              </w:tc>
              <w:tc>
                <w:tcPr>
                  <w:tcW w:w="972" w:type="dxa"/>
                  <w:noWrap w:val="0"/>
                  <w:vAlign w:val="center"/>
                </w:tcPr>
                <w:p w14:paraId="391407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非甲烷总烃</w:t>
                  </w:r>
                </w:p>
              </w:tc>
              <w:tc>
                <w:tcPr>
                  <w:tcW w:w="670" w:type="pct"/>
                  <w:noWrap w:val="0"/>
                  <w:vAlign w:val="center"/>
                </w:tcPr>
                <w:p w14:paraId="6E9166FE">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szCs w:val="21"/>
                    </w:rPr>
                  </w:pPr>
                  <w:r>
                    <w:rPr>
                      <w:rFonts w:hint="eastAsia" w:ascii="宋体" w:hAnsi="宋体" w:eastAsia="宋体" w:cs="宋体"/>
                      <w:szCs w:val="21"/>
                    </w:rPr>
                    <w:t>119°</w:t>
                  </w:r>
                  <w:r>
                    <w:rPr>
                      <w:rFonts w:hint="eastAsia" w:ascii="宋体" w:hAnsi="宋体" w:eastAsia="宋体" w:cs="宋体"/>
                      <w:szCs w:val="21"/>
                      <w:lang w:val="en-US" w:eastAsia="zh-CN"/>
                    </w:rPr>
                    <w:t>16</w:t>
                  </w:r>
                  <w:r>
                    <w:rPr>
                      <w:rFonts w:hint="eastAsia" w:ascii="宋体" w:hAnsi="宋体" w:eastAsia="宋体" w:cs="宋体"/>
                      <w:szCs w:val="21"/>
                    </w:rPr>
                    <w:t>′</w:t>
                  </w:r>
                  <w:r>
                    <w:rPr>
                      <w:rFonts w:hint="eastAsia" w:ascii="宋体" w:hAnsi="宋体" w:eastAsia="宋体" w:cs="宋体"/>
                      <w:szCs w:val="21"/>
                      <w:lang w:val="en-US" w:eastAsia="zh-CN"/>
                    </w:rPr>
                    <w:t>13.796</w:t>
                  </w:r>
                  <w:r>
                    <w:rPr>
                      <w:rFonts w:hint="eastAsia" w:ascii="宋体" w:hAnsi="宋体" w:eastAsia="宋体" w:cs="宋体"/>
                      <w:szCs w:val="21"/>
                    </w:rPr>
                    <w:t>″</w:t>
                  </w:r>
                </w:p>
              </w:tc>
              <w:tc>
                <w:tcPr>
                  <w:tcW w:w="624" w:type="pct"/>
                  <w:noWrap w:val="0"/>
                  <w:vAlign w:val="center"/>
                </w:tcPr>
                <w:p w14:paraId="60E58F8B">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szCs w:val="21"/>
                    </w:rPr>
                  </w:pPr>
                  <w:r>
                    <w:rPr>
                      <w:rFonts w:hint="eastAsia" w:ascii="宋体" w:hAnsi="宋体" w:eastAsia="宋体" w:cs="宋体"/>
                      <w:szCs w:val="21"/>
                    </w:rPr>
                    <w:t>3</w:t>
                  </w:r>
                  <w:r>
                    <w:rPr>
                      <w:rFonts w:hint="eastAsia" w:ascii="宋体" w:hAnsi="宋体" w:eastAsia="宋体" w:cs="宋体"/>
                      <w:szCs w:val="21"/>
                      <w:lang w:val="en-US" w:eastAsia="zh-CN"/>
                    </w:rPr>
                    <w:t>2</w:t>
                  </w:r>
                  <w:r>
                    <w:rPr>
                      <w:rFonts w:hint="eastAsia" w:ascii="宋体" w:hAnsi="宋体" w:eastAsia="宋体" w:cs="宋体"/>
                      <w:szCs w:val="21"/>
                    </w:rPr>
                    <w:t>°</w:t>
                  </w:r>
                  <w:r>
                    <w:rPr>
                      <w:rFonts w:hint="eastAsia" w:ascii="宋体" w:hAnsi="宋体" w:eastAsia="宋体" w:cs="宋体"/>
                      <w:szCs w:val="21"/>
                      <w:lang w:val="en-US" w:eastAsia="zh-CN"/>
                    </w:rPr>
                    <w:t>1</w:t>
                  </w:r>
                  <w:r>
                    <w:rPr>
                      <w:rFonts w:hint="eastAsia" w:ascii="宋体" w:hAnsi="宋体" w:eastAsia="宋体" w:cs="宋体"/>
                      <w:szCs w:val="21"/>
                    </w:rPr>
                    <w:t>′</w:t>
                  </w:r>
                  <w:r>
                    <w:rPr>
                      <w:rFonts w:hint="eastAsia" w:ascii="宋体" w:hAnsi="宋体" w:eastAsia="宋体" w:cs="宋体"/>
                      <w:szCs w:val="21"/>
                      <w:lang w:val="en-US" w:eastAsia="zh-CN"/>
                    </w:rPr>
                    <w:t>36.732</w:t>
                  </w:r>
                  <w:r>
                    <w:rPr>
                      <w:rFonts w:hint="eastAsia" w:ascii="宋体" w:hAnsi="宋体" w:eastAsia="宋体" w:cs="宋体"/>
                      <w:szCs w:val="21"/>
                    </w:rPr>
                    <w:t>″</w:t>
                  </w:r>
                </w:p>
              </w:tc>
              <w:tc>
                <w:tcPr>
                  <w:tcW w:w="511" w:type="pct"/>
                  <w:noWrap w:val="0"/>
                  <w:vAlign w:val="center"/>
                </w:tcPr>
                <w:p w14:paraId="4201951B">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szCs w:val="21"/>
                    </w:rPr>
                  </w:pPr>
                  <w:r>
                    <w:rPr>
                      <w:rFonts w:hint="eastAsia" w:ascii="宋体" w:hAnsi="宋体" w:eastAsia="宋体" w:cs="宋体"/>
                      <w:szCs w:val="21"/>
                    </w:rPr>
                    <w:t>15</w:t>
                  </w:r>
                </w:p>
              </w:tc>
              <w:tc>
                <w:tcPr>
                  <w:tcW w:w="510" w:type="pct"/>
                  <w:noWrap w:val="0"/>
                  <w:vAlign w:val="center"/>
                </w:tcPr>
                <w:p w14:paraId="63B07F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0.5</w:t>
                  </w:r>
                </w:p>
              </w:tc>
              <w:tc>
                <w:tcPr>
                  <w:tcW w:w="510" w:type="pct"/>
                  <w:noWrap w:val="0"/>
                  <w:vAlign w:val="center"/>
                </w:tcPr>
                <w:p w14:paraId="7E35DD4D">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szCs w:val="21"/>
                    </w:rPr>
                  </w:pPr>
                  <w:r>
                    <w:rPr>
                      <w:rFonts w:hint="eastAsia" w:ascii="宋体" w:hAnsi="宋体" w:eastAsia="宋体" w:cs="宋体"/>
                      <w:szCs w:val="21"/>
                    </w:rPr>
                    <w:t>常温</w:t>
                  </w:r>
                </w:p>
              </w:tc>
              <w:tc>
                <w:tcPr>
                  <w:tcW w:w="516" w:type="pct"/>
                  <w:noWrap w:val="0"/>
                  <w:vAlign w:val="center"/>
                </w:tcPr>
                <w:p w14:paraId="0555AC73">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szCs w:val="21"/>
                    </w:rPr>
                  </w:pPr>
                  <w:r>
                    <w:rPr>
                      <w:rFonts w:hint="eastAsia" w:ascii="宋体" w:hAnsi="宋体" w:eastAsia="宋体" w:cs="宋体"/>
                      <w:szCs w:val="21"/>
                    </w:rPr>
                    <w:t>一般排放口</w:t>
                  </w:r>
                </w:p>
              </w:tc>
            </w:tr>
          </w:tbl>
          <w:p w14:paraId="71D38B18">
            <w:pPr>
              <w:pStyle w:val="3"/>
              <w:keepNext/>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right="0"/>
              <w:textAlignment w:val="baseline"/>
              <w:rPr>
                <w:rFonts w:hint="eastAsia" w:ascii="宋体" w:hAnsi="宋体" w:eastAsia="宋体" w:cs="宋体"/>
                <w:b w:val="0"/>
                <w:bCs/>
                <w:sz w:val="24"/>
                <w:szCs w:val="24"/>
              </w:rPr>
            </w:pPr>
            <w:r>
              <w:rPr>
                <w:rFonts w:hint="eastAsia" w:ascii="宋体" w:hAnsi="宋体" w:eastAsia="宋体" w:cs="宋体"/>
                <w:b w:val="0"/>
                <w:bCs w:val="0"/>
                <w:sz w:val="24"/>
                <w:szCs w:val="24"/>
                <w:lang w:val="en-US" w:eastAsia="zh-CN"/>
              </w:rPr>
              <w:t>3、废气排放情况</w:t>
            </w:r>
          </w:p>
          <w:p w14:paraId="109CF3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sz w:val="24"/>
                <w:szCs w:val="24"/>
              </w:rPr>
            </w:pPr>
            <w:r>
              <w:rPr>
                <w:rFonts w:hint="eastAsia" w:ascii="宋体" w:hAnsi="宋体" w:eastAsia="宋体" w:cs="宋体"/>
                <w:b/>
                <w:bCs w:val="0"/>
                <w:sz w:val="24"/>
                <w:szCs w:val="24"/>
              </w:rPr>
              <w:t>表</w:t>
            </w:r>
            <w:r>
              <w:rPr>
                <w:rFonts w:hint="eastAsia" w:ascii="宋体" w:hAnsi="宋体" w:eastAsia="宋体" w:cs="宋体"/>
                <w:b/>
                <w:bCs w:val="0"/>
                <w:sz w:val="24"/>
                <w:szCs w:val="24"/>
                <w:lang w:val="en-US" w:eastAsia="zh-CN"/>
              </w:rPr>
              <w:t>4-7</w:t>
            </w:r>
            <w:r>
              <w:rPr>
                <w:rFonts w:hint="eastAsia" w:ascii="宋体" w:hAnsi="宋体" w:eastAsia="宋体" w:cs="宋体"/>
                <w:b/>
                <w:bCs w:val="0"/>
                <w:sz w:val="24"/>
                <w:szCs w:val="24"/>
              </w:rPr>
              <w:t xml:space="preserve"> 大气污染物有组织排放量核算表</w:t>
            </w:r>
          </w:p>
          <w:tbl>
            <w:tblPr>
              <w:tblStyle w:val="30"/>
              <w:tblW w:w="820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744"/>
              <w:gridCol w:w="1"/>
              <w:gridCol w:w="1395"/>
              <w:gridCol w:w="1398"/>
              <w:gridCol w:w="1399"/>
              <w:gridCol w:w="1534"/>
            </w:tblGrid>
            <w:tr w14:paraId="2100A2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738" w:type="dxa"/>
                  <w:noWrap w:val="0"/>
                  <w:vAlign w:val="center"/>
                </w:tcPr>
                <w:p w14:paraId="5E580FF2">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ascii="宋体" w:hAnsi="宋体" w:eastAsia="宋体" w:cs="宋体"/>
                      <w:b/>
                      <w:bCs/>
                      <w:sz w:val="21"/>
                      <w:szCs w:val="21"/>
                    </w:rPr>
                  </w:pPr>
                  <w:r>
                    <w:rPr>
                      <w:rFonts w:hint="eastAsia" w:ascii="宋体" w:hAnsi="宋体" w:eastAsia="宋体" w:cs="宋体"/>
                      <w:b/>
                      <w:bCs/>
                      <w:sz w:val="21"/>
                      <w:szCs w:val="21"/>
                    </w:rPr>
                    <w:t>序号</w:t>
                  </w:r>
                </w:p>
              </w:tc>
              <w:tc>
                <w:tcPr>
                  <w:tcW w:w="1744" w:type="dxa"/>
                  <w:noWrap w:val="0"/>
                  <w:vAlign w:val="center"/>
                </w:tcPr>
                <w:p w14:paraId="59392135">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ascii="宋体" w:hAnsi="宋体" w:eastAsia="宋体" w:cs="宋体"/>
                      <w:b/>
                      <w:bCs/>
                      <w:sz w:val="21"/>
                      <w:szCs w:val="21"/>
                    </w:rPr>
                  </w:pPr>
                  <w:r>
                    <w:rPr>
                      <w:rFonts w:hint="eastAsia" w:ascii="宋体" w:hAnsi="宋体" w:eastAsia="宋体" w:cs="宋体"/>
                      <w:b/>
                      <w:bCs/>
                      <w:sz w:val="21"/>
                      <w:szCs w:val="21"/>
                    </w:rPr>
                    <w:t>排放口编号</w:t>
                  </w:r>
                </w:p>
              </w:tc>
              <w:tc>
                <w:tcPr>
                  <w:tcW w:w="1396" w:type="dxa"/>
                  <w:gridSpan w:val="2"/>
                  <w:noWrap w:val="0"/>
                  <w:vAlign w:val="center"/>
                </w:tcPr>
                <w:p w14:paraId="37545939">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ascii="宋体" w:hAnsi="宋体" w:eastAsia="宋体" w:cs="宋体"/>
                      <w:b/>
                      <w:bCs/>
                      <w:sz w:val="21"/>
                      <w:szCs w:val="21"/>
                    </w:rPr>
                  </w:pPr>
                  <w:r>
                    <w:rPr>
                      <w:rFonts w:hint="eastAsia" w:ascii="宋体" w:hAnsi="宋体" w:eastAsia="宋体" w:cs="宋体"/>
                      <w:b/>
                      <w:bCs/>
                      <w:sz w:val="21"/>
                      <w:szCs w:val="21"/>
                    </w:rPr>
                    <w:t>污染物</w:t>
                  </w:r>
                </w:p>
              </w:tc>
              <w:tc>
                <w:tcPr>
                  <w:tcW w:w="1398" w:type="dxa"/>
                  <w:noWrap w:val="0"/>
                  <w:vAlign w:val="center"/>
                </w:tcPr>
                <w:p w14:paraId="36F69AAA">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ascii="宋体" w:hAnsi="宋体" w:eastAsia="宋体" w:cs="宋体"/>
                      <w:b/>
                      <w:bCs/>
                      <w:sz w:val="21"/>
                      <w:szCs w:val="21"/>
                    </w:rPr>
                  </w:pPr>
                  <w:r>
                    <w:rPr>
                      <w:rFonts w:hint="eastAsia" w:ascii="宋体" w:hAnsi="宋体" w:eastAsia="宋体" w:cs="宋体"/>
                      <w:b/>
                      <w:bCs/>
                      <w:sz w:val="21"/>
                      <w:szCs w:val="21"/>
                    </w:rPr>
                    <w:t>核算排放浓度 （mg/m</w:t>
                  </w:r>
                  <w:r>
                    <w:rPr>
                      <w:rFonts w:hint="eastAsia" w:ascii="宋体" w:hAnsi="宋体" w:eastAsia="宋体" w:cs="宋体"/>
                      <w:b/>
                      <w:bCs/>
                      <w:sz w:val="21"/>
                      <w:szCs w:val="21"/>
                      <w:vertAlign w:val="superscript"/>
                    </w:rPr>
                    <w:t>3</w:t>
                  </w:r>
                  <w:r>
                    <w:rPr>
                      <w:rFonts w:hint="eastAsia" w:ascii="宋体" w:hAnsi="宋体" w:eastAsia="宋体" w:cs="宋体"/>
                      <w:b/>
                      <w:bCs/>
                      <w:sz w:val="21"/>
                      <w:szCs w:val="21"/>
                    </w:rPr>
                    <w:t>）</w:t>
                  </w:r>
                </w:p>
              </w:tc>
              <w:tc>
                <w:tcPr>
                  <w:tcW w:w="1399" w:type="dxa"/>
                  <w:noWrap w:val="0"/>
                  <w:vAlign w:val="center"/>
                </w:tcPr>
                <w:p w14:paraId="3AA15F34">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ascii="宋体" w:hAnsi="宋体" w:eastAsia="宋体" w:cs="宋体"/>
                      <w:b/>
                      <w:bCs/>
                      <w:sz w:val="21"/>
                      <w:szCs w:val="21"/>
                    </w:rPr>
                  </w:pPr>
                  <w:r>
                    <w:rPr>
                      <w:rFonts w:hint="eastAsia" w:ascii="宋体" w:hAnsi="宋体" w:eastAsia="宋体" w:cs="宋体"/>
                      <w:b/>
                      <w:bCs/>
                      <w:sz w:val="21"/>
                      <w:szCs w:val="21"/>
                    </w:rPr>
                    <w:t>核算排放速率（kg/h）</w:t>
                  </w:r>
                </w:p>
              </w:tc>
              <w:tc>
                <w:tcPr>
                  <w:tcW w:w="1534" w:type="dxa"/>
                  <w:noWrap w:val="0"/>
                  <w:vAlign w:val="center"/>
                </w:tcPr>
                <w:p w14:paraId="4E38FDFB">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ascii="宋体" w:hAnsi="宋体" w:eastAsia="宋体" w:cs="宋体"/>
                      <w:b/>
                      <w:bCs/>
                      <w:sz w:val="21"/>
                      <w:szCs w:val="21"/>
                    </w:rPr>
                  </w:pPr>
                  <w:r>
                    <w:rPr>
                      <w:rFonts w:hint="eastAsia" w:ascii="宋体" w:hAnsi="宋体" w:eastAsia="宋体" w:cs="宋体"/>
                      <w:b/>
                      <w:bCs/>
                      <w:sz w:val="21"/>
                      <w:szCs w:val="21"/>
                    </w:rPr>
                    <w:t>核算年排放量（t/a）</w:t>
                  </w:r>
                </w:p>
              </w:tc>
            </w:tr>
            <w:tr w14:paraId="06A347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8209" w:type="dxa"/>
                  <w:gridSpan w:val="7"/>
                  <w:noWrap w:val="0"/>
                  <w:vAlign w:val="center"/>
                </w:tcPr>
                <w:p w14:paraId="155B561E">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ascii="宋体" w:hAnsi="宋体" w:eastAsia="宋体" w:cs="宋体"/>
                      <w:sz w:val="21"/>
                      <w:szCs w:val="21"/>
                    </w:rPr>
                  </w:pPr>
                  <w:r>
                    <w:rPr>
                      <w:rFonts w:hint="eastAsia" w:ascii="宋体" w:hAnsi="宋体" w:eastAsia="宋体" w:cs="宋体"/>
                      <w:b/>
                      <w:bCs/>
                      <w:sz w:val="21"/>
                      <w:szCs w:val="21"/>
                      <w:lang w:eastAsia="zh-CN"/>
                    </w:rPr>
                    <w:t>一般</w:t>
                  </w:r>
                  <w:r>
                    <w:rPr>
                      <w:rFonts w:hint="eastAsia" w:ascii="宋体" w:hAnsi="宋体" w:eastAsia="宋体" w:cs="宋体"/>
                      <w:b/>
                      <w:bCs/>
                      <w:sz w:val="21"/>
                      <w:szCs w:val="21"/>
                    </w:rPr>
                    <w:t>排放口</w:t>
                  </w:r>
                </w:p>
              </w:tc>
            </w:tr>
            <w:tr w14:paraId="27ECCC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38" w:type="dxa"/>
                  <w:noWrap w:val="0"/>
                  <w:vAlign w:val="center"/>
                </w:tcPr>
                <w:p w14:paraId="7B34C4EA">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1744" w:type="dxa"/>
                  <w:noWrap w:val="0"/>
                  <w:vAlign w:val="center"/>
                </w:tcPr>
                <w:p w14:paraId="06DC6A74">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DA001</w:t>
                  </w:r>
                  <w:r>
                    <w:rPr>
                      <w:rFonts w:hint="eastAsia" w:ascii="宋体" w:hAnsi="宋体" w:eastAsia="宋体" w:cs="宋体"/>
                      <w:sz w:val="21"/>
                      <w:szCs w:val="21"/>
                    </w:rPr>
                    <w:t>排气筒</w:t>
                  </w:r>
                </w:p>
              </w:tc>
              <w:tc>
                <w:tcPr>
                  <w:tcW w:w="1396" w:type="dxa"/>
                  <w:gridSpan w:val="2"/>
                  <w:noWrap w:val="0"/>
                  <w:vAlign w:val="center"/>
                </w:tcPr>
                <w:p w14:paraId="7ED757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颗粒物</w:t>
                  </w:r>
                </w:p>
              </w:tc>
              <w:tc>
                <w:tcPr>
                  <w:tcW w:w="1398" w:type="dxa"/>
                  <w:noWrap w:val="0"/>
                  <w:vAlign w:val="center"/>
                </w:tcPr>
                <w:p w14:paraId="3EF8AB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8.3</w:t>
                  </w:r>
                </w:p>
              </w:tc>
              <w:tc>
                <w:tcPr>
                  <w:tcW w:w="1399" w:type="dxa"/>
                  <w:noWrap w:val="0"/>
                  <w:vAlign w:val="center"/>
                </w:tcPr>
                <w:p w14:paraId="70631F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0.1</w:t>
                  </w:r>
                </w:p>
              </w:tc>
              <w:tc>
                <w:tcPr>
                  <w:tcW w:w="1534" w:type="dxa"/>
                  <w:noWrap w:val="0"/>
                  <w:vAlign w:val="center"/>
                </w:tcPr>
                <w:p w14:paraId="24103A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0.197</w:t>
                  </w:r>
                </w:p>
              </w:tc>
            </w:tr>
            <w:tr w14:paraId="30C4C4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38" w:type="dxa"/>
                  <w:noWrap w:val="0"/>
                  <w:vAlign w:val="center"/>
                </w:tcPr>
                <w:p w14:paraId="50785A76">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744" w:type="dxa"/>
                  <w:noWrap w:val="0"/>
                  <w:vAlign w:val="center"/>
                </w:tcPr>
                <w:p w14:paraId="143AF2F3">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DA002</w:t>
                  </w:r>
                  <w:r>
                    <w:rPr>
                      <w:rFonts w:hint="eastAsia" w:ascii="宋体" w:hAnsi="宋体" w:eastAsia="宋体" w:cs="宋体"/>
                      <w:sz w:val="21"/>
                      <w:szCs w:val="21"/>
                    </w:rPr>
                    <w:t>排气筒</w:t>
                  </w:r>
                </w:p>
              </w:tc>
              <w:tc>
                <w:tcPr>
                  <w:tcW w:w="1396" w:type="dxa"/>
                  <w:gridSpan w:val="2"/>
                  <w:noWrap w:val="0"/>
                  <w:vAlign w:val="center"/>
                </w:tcPr>
                <w:p w14:paraId="0AB475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rightChars="0" w:firstLine="0" w:firstLineChars="0"/>
                    <w:jc w:val="center"/>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eastAsia="zh-CN"/>
                    </w:rPr>
                    <w:t>颗粒物</w:t>
                  </w:r>
                </w:p>
              </w:tc>
              <w:tc>
                <w:tcPr>
                  <w:tcW w:w="1398" w:type="dxa"/>
                  <w:noWrap w:val="0"/>
                  <w:vAlign w:val="center"/>
                </w:tcPr>
                <w:p w14:paraId="1F905A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8.3</w:t>
                  </w:r>
                </w:p>
              </w:tc>
              <w:tc>
                <w:tcPr>
                  <w:tcW w:w="1399" w:type="dxa"/>
                  <w:noWrap w:val="0"/>
                  <w:vAlign w:val="center"/>
                </w:tcPr>
                <w:p w14:paraId="015843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0.1</w:t>
                  </w:r>
                </w:p>
              </w:tc>
              <w:tc>
                <w:tcPr>
                  <w:tcW w:w="1534" w:type="dxa"/>
                  <w:noWrap w:val="0"/>
                  <w:vAlign w:val="center"/>
                </w:tcPr>
                <w:p w14:paraId="66F5C2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0.197</w:t>
                  </w:r>
                </w:p>
              </w:tc>
            </w:tr>
            <w:tr w14:paraId="0B9EDE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38" w:type="dxa"/>
                  <w:shd w:val="clear" w:color="auto" w:fill="auto"/>
                  <w:noWrap w:val="0"/>
                  <w:vAlign w:val="center"/>
                </w:tcPr>
                <w:p w14:paraId="7752B39B">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3</w:t>
                  </w:r>
                </w:p>
              </w:tc>
              <w:tc>
                <w:tcPr>
                  <w:tcW w:w="1744" w:type="dxa"/>
                  <w:noWrap w:val="0"/>
                  <w:vAlign w:val="center"/>
                </w:tcPr>
                <w:p w14:paraId="0F27221E">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DA003</w:t>
                  </w:r>
                  <w:r>
                    <w:rPr>
                      <w:rFonts w:hint="eastAsia" w:ascii="宋体" w:hAnsi="宋体" w:eastAsia="宋体" w:cs="宋体"/>
                      <w:sz w:val="21"/>
                      <w:szCs w:val="21"/>
                    </w:rPr>
                    <w:t>排气筒</w:t>
                  </w:r>
                </w:p>
              </w:tc>
              <w:tc>
                <w:tcPr>
                  <w:tcW w:w="1396" w:type="dxa"/>
                  <w:gridSpan w:val="2"/>
                  <w:noWrap w:val="0"/>
                  <w:vAlign w:val="center"/>
                </w:tcPr>
                <w:p w14:paraId="4F6540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rightChars="0" w:firstLine="0" w:firstLineChars="0"/>
                    <w:jc w:val="center"/>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eastAsia="zh-CN"/>
                    </w:rPr>
                    <w:t>颗粒物</w:t>
                  </w:r>
                </w:p>
              </w:tc>
              <w:tc>
                <w:tcPr>
                  <w:tcW w:w="1398" w:type="dxa"/>
                  <w:noWrap w:val="0"/>
                  <w:vAlign w:val="center"/>
                </w:tcPr>
                <w:p w14:paraId="64816B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8.6</w:t>
                  </w:r>
                </w:p>
              </w:tc>
              <w:tc>
                <w:tcPr>
                  <w:tcW w:w="1399" w:type="dxa"/>
                  <w:noWrap w:val="0"/>
                  <w:vAlign w:val="center"/>
                </w:tcPr>
                <w:p w14:paraId="1150D3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0.052</w:t>
                  </w:r>
                </w:p>
              </w:tc>
              <w:tc>
                <w:tcPr>
                  <w:tcW w:w="1534" w:type="dxa"/>
                  <w:noWrap w:val="0"/>
                  <w:vAlign w:val="center"/>
                </w:tcPr>
                <w:p w14:paraId="5EA103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0.104</w:t>
                  </w:r>
                </w:p>
              </w:tc>
            </w:tr>
            <w:tr w14:paraId="0857A8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38" w:type="dxa"/>
                  <w:vMerge w:val="restart"/>
                  <w:noWrap w:val="0"/>
                  <w:vAlign w:val="center"/>
                </w:tcPr>
                <w:p w14:paraId="0025D263">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w:t>
                  </w:r>
                </w:p>
              </w:tc>
              <w:tc>
                <w:tcPr>
                  <w:tcW w:w="1744" w:type="dxa"/>
                  <w:vMerge w:val="restart"/>
                  <w:noWrap w:val="0"/>
                  <w:vAlign w:val="center"/>
                </w:tcPr>
                <w:p w14:paraId="6A44932F">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DA004</w:t>
                  </w:r>
                  <w:r>
                    <w:rPr>
                      <w:rFonts w:hint="eastAsia" w:ascii="宋体" w:hAnsi="宋体" w:eastAsia="宋体" w:cs="宋体"/>
                      <w:sz w:val="21"/>
                      <w:szCs w:val="21"/>
                    </w:rPr>
                    <w:t>排气筒</w:t>
                  </w:r>
                </w:p>
              </w:tc>
              <w:tc>
                <w:tcPr>
                  <w:tcW w:w="1396" w:type="dxa"/>
                  <w:gridSpan w:val="2"/>
                  <w:noWrap w:val="0"/>
                  <w:vAlign w:val="center"/>
                </w:tcPr>
                <w:p w14:paraId="6648B5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颗粒物</w:t>
                  </w:r>
                </w:p>
              </w:tc>
              <w:tc>
                <w:tcPr>
                  <w:tcW w:w="1398" w:type="dxa"/>
                  <w:noWrap w:val="0"/>
                  <w:vAlign w:val="center"/>
                </w:tcPr>
                <w:p w14:paraId="088BD4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2.8</w:t>
                  </w:r>
                </w:p>
              </w:tc>
              <w:tc>
                <w:tcPr>
                  <w:tcW w:w="1399" w:type="dxa"/>
                  <w:noWrap w:val="0"/>
                  <w:vAlign w:val="center"/>
                </w:tcPr>
                <w:p w14:paraId="3B48AC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0.014</w:t>
                  </w:r>
                </w:p>
              </w:tc>
              <w:tc>
                <w:tcPr>
                  <w:tcW w:w="1534" w:type="dxa"/>
                  <w:noWrap w:val="0"/>
                  <w:vAlign w:val="center"/>
                </w:tcPr>
                <w:p w14:paraId="0681B8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0.028</w:t>
                  </w:r>
                </w:p>
              </w:tc>
            </w:tr>
            <w:tr w14:paraId="6876ED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38" w:type="dxa"/>
                  <w:vMerge w:val="continue"/>
                  <w:noWrap w:val="0"/>
                  <w:vAlign w:val="center"/>
                </w:tcPr>
                <w:p w14:paraId="266B4F79">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ascii="宋体" w:hAnsi="宋体" w:eastAsia="宋体" w:cs="宋体"/>
                      <w:sz w:val="21"/>
                      <w:szCs w:val="21"/>
                      <w:lang w:val="en-US" w:eastAsia="zh-CN"/>
                    </w:rPr>
                  </w:pPr>
                </w:p>
              </w:tc>
              <w:tc>
                <w:tcPr>
                  <w:tcW w:w="1744" w:type="dxa"/>
                  <w:vMerge w:val="continue"/>
                  <w:noWrap w:val="0"/>
                  <w:vAlign w:val="center"/>
                </w:tcPr>
                <w:p w14:paraId="6F52F4B0">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ascii="宋体" w:hAnsi="宋体" w:eastAsia="宋体" w:cs="宋体"/>
                      <w:sz w:val="21"/>
                      <w:szCs w:val="21"/>
                      <w:lang w:val="en-US" w:eastAsia="zh-CN"/>
                    </w:rPr>
                  </w:pPr>
                </w:p>
              </w:tc>
              <w:tc>
                <w:tcPr>
                  <w:tcW w:w="1396" w:type="dxa"/>
                  <w:gridSpan w:val="2"/>
                  <w:noWrap w:val="0"/>
                  <w:vAlign w:val="center"/>
                </w:tcPr>
                <w:p w14:paraId="6080FA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二氧化硫</w:t>
                  </w:r>
                </w:p>
              </w:tc>
              <w:tc>
                <w:tcPr>
                  <w:tcW w:w="1398" w:type="dxa"/>
                  <w:noWrap w:val="0"/>
                  <w:vAlign w:val="center"/>
                </w:tcPr>
                <w:p w14:paraId="5A9D3A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w:t>
                  </w:r>
                </w:p>
              </w:tc>
              <w:tc>
                <w:tcPr>
                  <w:tcW w:w="1399" w:type="dxa"/>
                  <w:noWrap w:val="0"/>
                  <w:vAlign w:val="center"/>
                </w:tcPr>
                <w:p w14:paraId="6CB40F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0.01</w:t>
                  </w:r>
                </w:p>
              </w:tc>
              <w:tc>
                <w:tcPr>
                  <w:tcW w:w="1534" w:type="dxa"/>
                  <w:noWrap w:val="0"/>
                  <w:vAlign w:val="center"/>
                </w:tcPr>
                <w:p w14:paraId="5C2D72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0.02</w:t>
                  </w:r>
                </w:p>
              </w:tc>
            </w:tr>
            <w:tr w14:paraId="787930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38" w:type="dxa"/>
                  <w:vMerge w:val="continue"/>
                  <w:shd w:val="clear" w:color="auto" w:fill="auto"/>
                  <w:noWrap w:val="0"/>
                  <w:vAlign w:val="center"/>
                </w:tcPr>
                <w:p w14:paraId="44B1601D">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textAlignment w:val="auto"/>
                    <w:rPr>
                      <w:rFonts w:hint="eastAsia" w:ascii="宋体" w:hAnsi="宋体" w:eastAsia="宋体" w:cs="宋体"/>
                      <w:kern w:val="2"/>
                      <w:sz w:val="21"/>
                      <w:szCs w:val="21"/>
                      <w:lang w:val="en-US" w:eastAsia="zh-CN" w:bidi="ar-SA"/>
                    </w:rPr>
                  </w:pPr>
                </w:p>
              </w:tc>
              <w:tc>
                <w:tcPr>
                  <w:tcW w:w="1744" w:type="dxa"/>
                  <w:vMerge w:val="continue"/>
                  <w:noWrap w:val="0"/>
                  <w:vAlign w:val="center"/>
                </w:tcPr>
                <w:p w14:paraId="52F0C268">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ascii="宋体" w:hAnsi="宋体" w:eastAsia="宋体" w:cs="宋体"/>
                      <w:sz w:val="21"/>
                      <w:szCs w:val="21"/>
                      <w:lang w:val="en-US" w:eastAsia="zh-CN"/>
                    </w:rPr>
                  </w:pPr>
                </w:p>
              </w:tc>
              <w:tc>
                <w:tcPr>
                  <w:tcW w:w="1396" w:type="dxa"/>
                  <w:gridSpan w:val="2"/>
                  <w:noWrap w:val="0"/>
                  <w:vAlign w:val="center"/>
                </w:tcPr>
                <w:p w14:paraId="46732D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kern w:val="2"/>
                      <w:sz w:val="21"/>
                      <w:szCs w:val="21"/>
                      <w:vertAlign w:val="subscript"/>
                      <w:lang w:val="en-US" w:eastAsia="zh-CN" w:bidi="ar-SA"/>
                    </w:rPr>
                  </w:pPr>
                  <w:r>
                    <w:rPr>
                      <w:rFonts w:hint="eastAsia" w:ascii="宋体" w:hAnsi="宋体" w:eastAsia="宋体" w:cs="宋体"/>
                      <w:sz w:val="21"/>
                      <w:szCs w:val="21"/>
                      <w:lang w:val="en-US" w:eastAsia="zh-CN"/>
                    </w:rPr>
                    <w:t>氮氧化物</w:t>
                  </w:r>
                </w:p>
              </w:tc>
              <w:tc>
                <w:tcPr>
                  <w:tcW w:w="1398" w:type="dxa"/>
                  <w:noWrap w:val="0"/>
                  <w:vAlign w:val="center"/>
                </w:tcPr>
                <w:p w14:paraId="072599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20</w:t>
                  </w:r>
                </w:p>
              </w:tc>
              <w:tc>
                <w:tcPr>
                  <w:tcW w:w="1399" w:type="dxa"/>
                  <w:noWrap w:val="0"/>
                  <w:vAlign w:val="center"/>
                </w:tcPr>
                <w:p w14:paraId="758686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0.1</w:t>
                  </w:r>
                </w:p>
              </w:tc>
              <w:tc>
                <w:tcPr>
                  <w:tcW w:w="1534" w:type="dxa"/>
                  <w:noWrap w:val="0"/>
                  <w:vAlign w:val="center"/>
                </w:tcPr>
                <w:p w14:paraId="07C32D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0.187</w:t>
                  </w:r>
                </w:p>
              </w:tc>
            </w:tr>
            <w:tr w14:paraId="67A06A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38" w:type="dxa"/>
                  <w:noWrap w:val="0"/>
                  <w:vAlign w:val="center"/>
                </w:tcPr>
                <w:p w14:paraId="08C663B2">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1744" w:type="dxa"/>
                  <w:noWrap w:val="0"/>
                  <w:vAlign w:val="center"/>
                </w:tcPr>
                <w:p w14:paraId="5C50F150">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DA005</w:t>
                  </w:r>
                  <w:r>
                    <w:rPr>
                      <w:rFonts w:hint="eastAsia" w:ascii="宋体" w:hAnsi="宋体" w:eastAsia="宋体" w:cs="宋体"/>
                      <w:sz w:val="21"/>
                      <w:szCs w:val="21"/>
                    </w:rPr>
                    <w:t>排气筒</w:t>
                  </w:r>
                </w:p>
              </w:tc>
              <w:tc>
                <w:tcPr>
                  <w:tcW w:w="1396" w:type="dxa"/>
                  <w:gridSpan w:val="2"/>
                  <w:noWrap w:val="0"/>
                  <w:vAlign w:val="center"/>
                </w:tcPr>
                <w:p w14:paraId="11F408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非甲烷总烃</w:t>
                  </w:r>
                </w:p>
              </w:tc>
              <w:tc>
                <w:tcPr>
                  <w:tcW w:w="1398" w:type="dxa"/>
                  <w:noWrap w:val="0"/>
                  <w:vAlign w:val="center"/>
                </w:tcPr>
                <w:p w14:paraId="6FB4D1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0.1</w:t>
                  </w:r>
                </w:p>
              </w:tc>
              <w:tc>
                <w:tcPr>
                  <w:tcW w:w="1399" w:type="dxa"/>
                  <w:noWrap w:val="0"/>
                  <w:vAlign w:val="center"/>
                </w:tcPr>
                <w:p w14:paraId="5FDA08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0.001</w:t>
                  </w:r>
                </w:p>
              </w:tc>
              <w:tc>
                <w:tcPr>
                  <w:tcW w:w="1534" w:type="dxa"/>
                  <w:noWrap w:val="0"/>
                  <w:vAlign w:val="center"/>
                </w:tcPr>
                <w:p w14:paraId="3AE444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0.002</w:t>
                  </w:r>
                </w:p>
              </w:tc>
            </w:tr>
            <w:tr w14:paraId="29E1AE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83" w:type="dxa"/>
                  <w:gridSpan w:val="3"/>
                  <w:vMerge w:val="restart"/>
                  <w:noWrap w:val="0"/>
                  <w:vAlign w:val="center"/>
                </w:tcPr>
                <w:p w14:paraId="157C28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一般排放口合</w:t>
                  </w:r>
                  <w:r>
                    <w:rPr>
                      <w:rFonts w:hint="eastAsia" w:ascii="宋体" w:hAnsi="宋体" w:eastAsia="宋体" w:cs="宋体"/>
                      <w:sz w:val="21"/>
                      <w:szCs w:val="21"/>
                    </w:rPr>
                    <w:t>计</w:t>
                  </w:r>
                </w:p>
              </w:tc>
              <w:tc>
                <w:tcPr>
                  <w:tcW w:w="4192" w:type="dxa"/>
                  <w:gridSpan w:val="3"/>
                  <w:noWrap w:val="0"/>
                  <w:vAlign w:val="center"/>
                </w:tcPr>
                <w:p w14:paraId="3EBE4D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颗粒物</w:t>
                  </w:r>
                </w:p>
              </w:tc>
              <w:tc>
                <w:tcPr>
                  <w:tcW w:w="1534" w:type="dxa"/>
                  <w:noWrap w:val="0"/>
                  <w:vAlign w:val="center"/>
                </w:tcPr>
                <w:p w14:paraId="6BC6FC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0.526</w:t>
                  </w:r>
                </w:p>
              </w:tc>
            </w:tr>
            <w:tr w14:paraId="06AB89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83" w:type="dxa"/>
                  <w:gridSpan w:val="3"/>
                  <w:vMerge w:val="continue"/>
                  <w:noWrap w:val="0"/>
                  <w:vAlign w:val="center"/>
                </w:tcPr>
                <w:p w14:paraId="3B98C4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lang w:eastAsia="zh-CN"/>
                    </w:rPr>
                  </w:pPr>
                </w:p>
              </w:tc>
              <w:tc>
                <w:tcPr>
                  <w:tcW w:w="4192" w:type="dxa"/>
                  <w:gridSpan w:val="3"/>
                  <w:noWrap w:val="0"/>
                  <w:vAlign w:val="center"/>
                </w:tcPr>
                <w:p w14:paraId="1F923E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非甲烷总烃</w:t>
                  </w:r>
                </w:p>
              </w:tc>
              <w:tc>
                <w:tcPr>
                  <w:tcW w:w="1534" w:type="dxa"/>
                  <w:noWrap w:val="0"/>
                  <w:vAlign w:val="center"/>
                </w:tcPr>
                <w:p w14:paraId="4BB2FA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0.002</w:t>
                  </w:r>
                </w:p>
              </w:tc>
            </w:tr>
            <w:tr w14:paraId="45EF57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83" w:type="dxa"/>
                  <w:gridSpan w:val="3"/>
                  <w:vMerge w:val="continue"/>
                  <w:noWrap w:val="0"/>
                  <w:vAlign w:val="center"/>
                </w:tcPr>
                <w:p w14:paraId="67C391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lang w:eastAsia="zh-CN"/>
                    </w:rPr>
                  </w:pPr>
                </w:p>
              </w:tc>
              <w:tc>
                <w:tcPr>
                  <w:tcW w:w="4192" w:type="dxa"/>
                  <w:gridSpan w:val="3"/>
                  <w:noWrap w:val="0"/>
                  <w:vAlign w:val="center"/>
                </w:tcPr>
                <w:p w14:paraId="18B18D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rightChars="0" w:firstLine="0" w:firstLineChars="0"/>
                    <w:jc w:val="center"/>
                    <w:textAlignment w:val="auto"/>
                    <w:outlineLvl w:val="9"/>
                    <w:rPr>
                      <w:rFonts w:hint="eastAsia" w:ascii="宋体" w:hAnsi="宋体" w:eastAsia="宋体" w:cs="宋体"/>
                      <w:kern w:val="2"/>
                      <w:sz w:val="21"/>
                      <w:szCs w:val="21"/>
                      <w:vertAlign w:val="subscript"/>
                      <w:lang w:val="en-US" w:eastAsia="zh-CN" w:bidi="ar-SA"/>
                    </w:rPr>
                  </w:pPr>
                  <w:r>
                    <w:rPr>
                      <w:rFonts w:hint="eastAsia" w:ascii="宋体" w:hAnsi="宋体" w:eastAsia="宋体" w:cs="宋体"/>
                      <w:sz w:val="21"/>
                      <w:szCs w:val="21"/>
                      <w:lang w:val="en-US" w:eastAsia="zh-CN"/>
                    </w:rPr>
                    <w:t>二氧化硫</w:t>
                  </w:r>
                </w:p>
              </w:tc>
              <w:tc>
                <w:tcPr>
                  <w:tcW w:w="1534" w:type="dxa"/>
                  <w:noWrap w:val="0"/>
                  <w:vAlign w:val="center"/>
                </w:tcPr>
                <w:p w14:paraId="361B09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0.02</w:t>
                  </w:r>
                </w:p>
              </w:tc>
            </w:tr>
            <w:tr w14:paraId="0E7D3E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83" w:type="dxa"/>
                  <w:gridSpan w:val="3"/>
                  <w:vMerge w:val="continue"/>
                  <w:noWrap w:val="0"/>
                  <w:vAlign w:val="center"/>
                </w:tcPr>
                <w:p w14:paraId="115945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lang w:eastAsia="zh-CN"/>
                    </w:rPr>
                  </w:pPr>
                </w:p>
              </w:tc>
              <w:tc>
                <w:tcPr>
                  <w:tcW w:w="4192" w:type="dxa"/>
                  <w:gridSpan w:val="3"/>
                  <w:noWrap w:val="0"/>
                  <w:vAlign w:val="center"/>
                </w:tcPr>
                <w:p w14:paraId="720946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氮氧化物</w:t>
                  </w:r>
                </w:p>
              </w:tc>
              <w:tc>
                <w:tcPr>
                  <w:tcW w:w="1534" w:type="dxa"/>
                  <w:noWrap w:val="0"/>
                  <w:vAlign w:val="center"/>
                </w:tcPr>
                <w:p w14:paraId="6E4BD4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0.187</w:t>
                  </w:r>
                </w:p>
              </w:tc>
            </w:tr>
            <w:tr w14:paraId="1CD88C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83" w:type="dxa"/>
                  <w:gridSpan w:val="3"/>
                  <w:vMerge w:val="restart"/>
                  <w:noWrap w:val="0"/>
                  <w:vAlign w:val="center"/>
                </w:tcPr>
                <w:p w14:paraId="1C625A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有组织排放总计</w:t>
                  </w:r>
                </w:p>
              </w:tc>
              <w:tc>
                <w:tcPr>
                  <w:tcW w:w="4192" w:type="dxa"/>
                  <w:gridSpan w:val="3"/>
                  <w:noWrap w:val="0"/>
                  <w:vAlign w:val="center"/>
                </w:tcPr>
                <w:p w14:paraId="467A0F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颗粒物</w:t>
                  </w:r>
                </w:p>
              </w:tc>
              <w:tc>
                <w:tcPr>
                  <w:tcW w:w="1534" w:type="dxa"/>
                  <w:noWrap w:val="0"/>
                  <w:vAlign w:val="center"/>
                </w:tcPr>
                <w:p w14:paraId="238ECE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0.526</w:t>
                  </w:r>
                </w:p>
              </w:tc>
            </w:tr>
            <w:tr w14:paraId="113BDC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83" w:type="dxa"/>
                  <w:gridSpan w:val="3"/>
                  <w:vMerge w:val="continue"/>
                  <w:noWrap w:val="0"/>
                  <w:vAlign w:val="center"/>
                </w:tcPr>
                <w:p w14:paraId="52390D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lang w:eastAsia="zh-CN"/>
                    </w:rPr>
                  </w:pPr>
                </w:p>
              </w:tc>
              <w:tc>
                <w:tcPr>
                  <w:tcW w:w="4192" w:type="dxa"/>
                  <w:gridSpan w:val="3"/>
                  <w:noWrap w:val="0"/>
                  <w:vAlign w:val="center"/>
                </w:tcPr>
                <w:p w14:paraId="7E97BE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非甲烷总烃</w:t>
                  </w:r>
                </w:p>
              </w:tc>
              <w:tc>
                <w:tcPr>
                  <w:tcW w:w="1534" w:type="dxa"/>
                  <w:noWrap w:val="0"/>
                  <w:vAlign w:val="center"/>
                </w:tcPr>
                <w:p w14:paraId="663A16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0.002</w:t>
                  </w:r>
                </w:p>
              </w:tc>
            </w:tr>
            <w:tr w14:paraId="3D4F05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83" w:type="dxa"/>
                  <w:gridSpan w:val="3"/>
                  <w:vMerge w:val="continue"/>
                  <w:noWrap w:val="0"/>
                  <w:vAlign w:val="center"/>
                </w:tcPr>
                <w:p w14:paraId="60A202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lang w:eastAsia="zh-CN"/>
                    </w:rPr>
                  </w:pPr>
                </w:p>
              </w:tc>
              <w:tc>
                <w:tcPr>
                  <w:tcW w:w="4192" w:type="dxa"/>
                  <w:gridSpan w:val="3"/>
                  <w:noWrap w:val="0"/>
                  <w:vAlign w:val="center"/>
                </w:tcPr>
                <w:p w14:paraId="56B954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rightChars="0" w:firstLine="0" w:firstLineChars="0"/>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二氧化硫</w:t>
                  </w:r>
                </w:p>
              </w:tc>
              <w:tc>
                <w:tcPr>
                  <w:tcW w:w="1534" w:type="dxa"/>
                  <w:noWrap w:val="0"/>
                  <w:vAlign w:val="center"/>
                </w:tcPr>
                <w:p w14:paraId="48FDCD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0.02</w:t>
                  </w:r>
                </w:p>
              </w:tc>
            </w:tr>
            <w:tr w14:paraId="5169BF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83" w:type="dxa"/>
                  <w:gridSpan w:val="3"/>
                  <w:vMerge w:val="continue"/>
                  <w:noWrap w:val="0"/>
                  <w:vAlign w:val="center"/>
                </w:tcPr>
                <w:p w14:paraId="3E8822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lang w:eastAsia="zh-CN"/>
                    </w:rPr>
                  </w:pPr>
                </w:p>
              </w:tc>
              <w:tc>
                <w:tcPr>
                  <w:tcW w:w="4192" w:type="dxa"/>
                  <w:gridSpan w:val="3"/>
                  <w:noWrap w:val="0"/>
                  <w:vAlign w:val="center"/>
                </w:tcPr>
                <w:p w14:paraId="7CC345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rightChars="0" w:firstLine="0" w:firstLineChars="0"/>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氮氧化物</w:t>
                  </w:r>
                </w:p>
              </w:tc>
              <w:tc>
                <w:tcPr>
                  <w:tcW w:w="1534" w:type="dxa"/>
                  <w:noWrap w:val="0"/>
                  <w:vAlign w:val="center"/>
                </w:tcPr>
                <w:p w14:paraId="4F05A8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0.187</w:t>
                  </w:r>
                </w:p>
              </w:tc>
            </w:tr>
          </w:tbl>
          <w:p w14:paraId="7068AF68">
            <w:pPr>
              <w:keepNext w:val="0"/>
              <w:keepLines w:val="0"/>
              <w:suppressLineNumbers w:val="0"/>
              <w:adjustRightInd w:val="0"/>
              <w:snapToGrid w:val="0"/>
              <w:spacing w:before="0" w:beforeAutospacing="0" w:after="0" w:afterAutospacing="0" w:line="500" w:lineRule="exact"/>
              <w:ind w:left="0" w:right="0"/>
              <w:jc w:val="center"/>
              <w:rPr>
                <w:rFonts w:hint="eastAsia" w:ascii="宋体" w:hAnsi="宋体" w:eastAsia="宋体" w:cs="宋体"/>
                <w:b/>
                <w:bCs w:val="0"/>
                <w:sz w:val="24"/>
                <w:szCs w:val="24"/>
              </w:rPr>
            </w:pPr>
          </w:p>
          <w:p w14:paraId="661CCAE7">
            <w:pPr>
              <w:keepNext w:val="0"/>
              <w:keepLines w:val="0"/>
              <w:suppressLineNumbers w:val="0"/>
              <w:adjustRightInd w:val="0"/>
              <w:snapToGrid w:val="0"/>
              <w:spacing w:before="0" w:beforeAutospacing="0" w:after="0" w:afterAutospacing="0" w:line="500" w:lineRule="exact"/>
              <w:ind w:left="0" w:right="0"/>
              <w:jc w:val="center"/>
              <w:rPr>
                <w:rFonts w:hint="eastAsia" w:ascii="宋体" w:hAnsi="宋体" w:eastAsia="宋体" w:cs="宋体"/>
                <w:b/>
                <w:bCs w:val="0"/>
                <w:sz w:val="24"/>
                <w:szCs w:val="24"/>
              </w:rPr>
            </w:pPr>
          </w:p>
          <w:p w14:paraId="21129AB0">
            <w:pPr>
              <w:keepNext w:val="0"/>
              <w:keepLines w:val="0"/>
              <w:suppressLineNumbers w:val="0"/>
              <w:adjustRightInd w:val="0"/>
              <w:snapToGrid w:val="0"/>
              <w:spacing w:before="0" w:beforeAutospacing="0" w:after="0" w:afterAutospacing="0" w:line="500" w:lineRule="exact"/>
              <w:ind w:left="0" w:right="0"/>
              <w:jc w:val="center"/>
              <w:rPr>
                <w:rFonts w:hint="eastAsia" w:ascii="宋体" w:hAnsi="宋体" w:eastAsia="宋体" w:cs="宋体"/>
                <w:b/>
                <w:bCs w:val="0"/>
                <w:sz w:val="24"/>
                <w:szCs w:val="24"/>
              </w:rPr>
            </w:pPr>
          </w:p>
          <w:p w14:paraId="6F2F2E59">
            <w:pPr>
              <w:keepNext w:val="0"/>
              <w:keepLines w:val="0"/>
              <w:suppressLineNumbers w:val="0"/>
              <w:adjustRightInd w:val="0"/>
              <w:snapToGrid w:val="0"/>
              <w:spacing w:before="0" w:beforeAutospacing="0" w:after="0" w:afterAutospacing="0" w:line="500" w:lineRule="exact"/>
              <w:ind w:left="0" w:right="0"/>
              <w:jc w:val="center"/>
              <w:rPr>
                <w:rFonts w:hint="eastAsia" w:ascii="宋体" w:hAnsi="宋体" w:eastAsia="宋体" w:cs="宋体"/>
                <w:b/>
                <w:sz w:val="24"/>
                <w:szCs w:val="24"/>
              </w:rPr>
            </w:pPr>
            <w:r>
              <w:rPr>
                <w:rFonts w:hint="eastAsia" w:ascii="宋体" w:hAnsi="宋体" w:eastAsia="宋体" w:cs="宋体"/>
                <w:b/>
                <w:bCs w:val="0"/>
                <w:sz w:val="24"/>
                <w:szCs w:val="24"/>
              </w:rPr>
              <w:t>表</w:t>
            </w:r>
            <w:r>
              <w:rPr>
                <w:rFonts w:hint="eastAsia" w:ascii="宋体" w:hAnsi="宋体" w:eastAsia="宋体" w:cs="宋体"/>
                <w:b/>
                <w:bCs w:val="0"/>
                <w:sz w:val="24"/>
                <w:szCs w:val="24"/>
                <w:lang w:val="en-US" w:eastAsia="zh-CN"/>
              </w:rPr>
              <w:t xml:space="preserve">4-8  </w:t>
            </w:r>
            <w:r>
              <w:rPr>
                <w:rFonts w:hint="eastAsia" w:ascii="宋体" w:hAnsi="宋体" w:eastAsia="宋体" w:cs="宋体"/>
                <w:b/>
                <w:bCs w:val="0"/>
                <w:sz w:val="24"/>
                <w:szCs w:val="24"/>
              </w:rPr>
              <w:t>大气污染物无组织排放量核算表</w:t>
            </w:r>
          </w:p>
          <w:tbl>
            <w:tblPr>
              <w:tblStyle w:val="30"/>
              <w:tblW w:w="843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4"/>
              <w:gridCol w:w="739"/>
              <w:gridCol w:w="1002"/>
              <w:gridCol w:w="1021"/>
              <w:gridCol w:w="903"/>
              <w:gridCol w:w="1700"/>
              <w:gridCol w:w="794"/>
              <w:gridCol w:w="498"/>
              <w:gridCol w:w="1135"/>
            </w:tblGrid>
            <w:tr w14:paraId="3C4F25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72" w:hRule="atLeast"/>
                <w:jc w:val="center"/>
              </w:trPr>
              <w:tc>
                <w:tcPr>
                  <w:tcW w:w="644" w:type="dxa"/>
                  <w:vMerge w:val="restart"/>
                  <w:noWrap w:val="0"/>
                  <w:vAlign w:val="center"/>
                </w:tcPr>
                <w:p w14:paraId="4AB3FD8F">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ascii="宋体" w:hAnsi="宋体" w:eastAsia="宋体" w:cs="宋体"/>
                      <w:b/>
                      <w:bCs/>
                      <w:sz w:val="21"/>
                      <w:szCs w:val="21"/>
                    </w:rPr>
                  </w:pPr>
                  <w:r>
                    <w:rPr>
                      <w:rFonts w:hint="eastAsia" w:ascii="宋体" w:hAnsi="宋体" w:eastAsia="宋体" w:cs="宋体"/>
                      <w:b/>
                      <w:bCs/>
                      <w:sz w:val="21"/>
                      <w:szCs w:val="21"/>
                    </w:rPr>
                    <w:t>序号</w:t>
                  </w:r>
                </w:p>
              </w:tc>
              <w:tc>
                <w:tcPr>
                  <w:tcW w:w="739" w:type="dxa"/>
                  <w:vMerge w:val="restart"/>
                  <w:noWrap w:val="0"/>
                  <w:vAlign w:val="center"/>
                </w:tcPr>
                <w:p w14:paraId="2467BDF8">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ascii="宋体" w:hAnsi="宋体" w:eastAsia="宋体" w:cs="宋体"/>
                      <w:b/>
                      <w:bCs/>
                      <w:sz w:val="21"/>
                      <w:szCs w:val="21"/>
                    </w:rPr>
                  </w:pPr>
                  <w:r>
                    <w:rPr>
                      <w:rFonts w:hint="eastAsia" w:ascii="宋体" w:hAnsi="宋体" w:eastAsia="宋体" w:cs="宋体"/>
                      <w:b/>
                      <w:bCs/>
                      <w:sz w:val="21"/>
                      <w:szCs w:val="21"/>
                    </w:rPr>
                    <w:t>排放口编号</w:t>
                  </w:r>
                </w:p>
              </w:tc>
              <w:tc>
                <w:tcPr>
                  <w:tcW w:w="1002" w:type="dxa"/>
                  <w:vMerge w:val="restart"/>
                  <w:noWrap w:val="0"/>
                  <w:vAlign w:val="center"/>
                </w:tcPr>
                <w:p w14:paraId="5448BC96">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ascii="宋体" w:hAnsi="宋体" w:eastAsia="宋体" w:cs="宋体"/>
                      <w:b/>
                      <w:bCs/>
                      <w:sz w:val="21"/>
                      <w:szCs w:val="21"/>
                    </w:rPr>
                  </w:pPr>
                  <w:r>
                    <w:rPr>
                      <w:rFonts w:hint="eastAsia" w:ascii="宋体" w:hAnsi="宋体" w:eastAsia="宋体" w:cs="宋体"/>
                      <w:b/>
                      <w:bCs/>
                      <w:sz w:val="21"/>
                      <w:szCs w:val="21"/>
                    </w:rPr>
                    <w:t>产污</w:t>
                  </w:r>
                </w:p>
                <w:p w14:paraId="75471D32">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ascii="宋体" w:hAnsi="宋体" w:eastAsia="宋体" w:cs="宋体"/>
                      <w:b/>
                      <w:bCs/>
                      <w:sz w:val="21"/>
                      <w:szCs w:val="21"/>
                    </w:rPr>
                  </w:pPr>
                  <w:r>
                    <w:rPr>
                      <w:rFonts w:hint="eastAsia" w:ascii="宋体" w:hAnsi="宋体" w:eastAsia="宋体" w:cs="宋体"/>
                      <w:b/>
                      <w:bCs/>
                      <w:sz w:val="21"/>
                      <w:szCs w:val="21"/>
                    </w:rPr>
                    <w:t>环节</w:t>
                  </w:r>
                </w:p>
              </w:tc>
              <w:tc>
                <w:tcPr>
                  <w:tcW w:w="1021" w:type="dxa"/>
                  <w:vMerge w:val="restart"/>
                  <w:noWrap w:val="0"/>
                  <w:vAlign w:val="center"/>
                </w:tcPr>
                <w:p w14:paraId="5E359F31">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ascii="宋体" w:hAnsi="宋体" w:eastAsia="宋体" w:cs="宋体"/>
                      <w:b/>
                      <w:bCs/>
                      <w:sz w:val="21"/>
                      <w:szCs w:val="21"/>
                    </w:rPr>
                  </w:pPr>
                  <w:r>
                    <w:rPr>
                      <w:rFonts w:hint="eastAsia" w:ascii="宋体" w:hAnsi="宋体" w:eastAsia="宋体" w:cs="宋体"/>
                      <w:b/>
                      <w:bCs/>
                      <w:sz w:val="21"/>
                      <w:szCs w:val="21"/>
                    </w:rPr>
                    <w:t>污染物</w:t>
                  </w:r>
                </w:p>
              </w:tc>
              <w:tc>
                <w:tcPr>
                  <w:tcW w:w="903" w:type="dxa"/>
                  <w:vMerge w:val="restart"/>
                  <w:noWrap w:val="0"/>
                  <w:vAlign w:val="center"/>
                </w:tcPr>
                <w:p w14:paraId="6DD3E1D8">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ascii="宋体" w:hAnsi="宋体" w:eastAsia="宋体" w:cs="宋体"/>
                      <w:b/>
                      <w:bCs/>
                      <w:sz w:val="21"/>
                      <w:szCs w:val="21"/>
                    </w:rPr>
                  </w:pPr>
                  <w:r>
                    <w:rPr>
                      <w:rFonts w:hint="eastAsia" w:ascii="宋体" w:hAnsi="宋体" w:eastAsia="宋体" w:cs="宋体"/>
                      <w:b/>
                      <w:bCs/>
                      <w:sz w:val="21"/>
                      <w:szCs w:val="21"/>
                    </w:rPr>
                    <w:t>主要污染防治措施</w:t>
                  </w:r>
                </w:p>
              </w:tc>
              <w:tc>
                <w:tcPr>
                  <w:tcW w:w="2992" w:type="dxa"/>
                  <w:gridSpan w:val="3"/>
                  <w:noWrap w:val="0"/>
                  <w:vAlign w:val="center"/>
                </w:tcPr>
                <w:p w14:paraId="7E0776F4">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ascii="宋体" w:hAnsi="宋体" w:eastAsia="宋体" w:cs="宋体"/>
                      <w:b/>
                      <w:bCs/>
                      <w:sz w:val="21"/>
                      <w:szCs w:val="21"/>
                    </w:rPr>
                  </w:pPr>
                  <w:r>
                    <w:rPr>
                      <w:rFonts w:hint="eastAsia" w:ascii="宋体" w:hAnsi="宋体" w:eastAsia="宋体" w:cs="宋体"/>
                      <w:b/>
                      <w:bCs/>
                      <w:sz w:val="21"/>
                      <w:szCs w:val="21"/>
                    </w:rPr>
                    <w:t>国家或地方污染物排放标准</w:t>
                  </w:r>
                </w:p>
              </w:tc>
              <w:tc>
                <w:tcPr>
                  <w:tcW w:w="1135" w:type="dxa"/>
                  <w:vMerge w:val="restart"/>
                  <w:noWrap w:val="0"/>
                  <w:vAlign w:val="center"/>
                </w:tcPr>
                <w:p w14:paraId="598F5379">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ascii="宋体" w:hAnsi="宋体" w:eastAsia="宋体" w:cs="宋体"/>
                      <w:b/>
                      <w:bCs/>
                      <w:sz w:val="21"/>
                      <w:szCs w:val="21"/>
                    </w:rPr>
                  </w:pPr>
                  <w:r>
                    <w:rPr>
                      <w:rFonts w:hint="eastAsia" w:ascii="宋体" w:hAnsi="宋体" w:eastAsia="宋体" w:cs="宋体"/>
                      <w:b/>
                      <w:bCs/>
                      <w:sz w:val="21"/>
                      <w:szCs w:val="21"/>
                    </w:rPr>
                    <w:t>年排放量(t/a)</w:t>
                  </w:r>
                </w:p>
              </w:tc>
            </w:tr>
            <w:tr w14:paraId="2358A2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44" w:type="dxa"/>
                  <w:vMerge w:val="continue"/>
                  <w:noWrap w:val="0"/>
                  <w:vAlign w:val="center"/>
                </w:tcPr>
                <w:p w14:paraId="05FE8E66">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ascii="宋体" w:hAnsi="宋体" w:eastAsia="宋体" w:cs="宋体"/>
                      <w:sz w:val="21"/>
                      <w:szCs w:val="21"/>
                    </w:rPr>
                  </w:pPr>
                </w:p>
              </w:tc>
              <w:tc>
                <w:tcPr>
                  <w:tcW w:w="739" w:type="dxa"/>
                  <w:vMerge w:val="continue"/>
                  <w:noWrap w:val="0"/>
                  <w:vAlign w:val="center"/>
                </w:tcPr>
                <w:p w14:paraId="4475F546">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ascii="宋体" w:hAnsi="宋体" w:eastAsia="宋体" w:cs="宋体"/>
                      <w:sz w:val="21"/>
                      <w:szCs w:val="21"/>
                    </w:rPr>
                  </w:pPr>
                </w:p>
              </w:tc>
              <w:tc>
                <w:tcPr>
                  <w:tcW w:w="1002" w:type="dxa"/>
                  <w:vMerge w:val="continue"/>
                  <w:noWrap w:val="0"/>
                  <w:vAlign w:val="center"/>
                </w:tcPr>
                <w:p w14:paraId="57CF8BD7">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ascii="宋体" w:hAnsi="宋体" w:eastAsia="宋体" w:cs="宋体"/>
                      <w:sz w:val="21"/>
                      <w:szCs w:val="21"/>
                    </w:rPr>
                  </w:pPr>
                </w:p>
              </w:tc>
              <w:tc>
                <w:tcPr>
                  <w:tcW w:w="1021" w:type="dxa"/>
                  <w:vMerge w:val="continue"/>
                  <w:noWrap w:val="0"/>
                  <w:vAlign w:val="center"/>
                </w:tcPr>
                <w:p w14:paraId="56AAB788">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ascii="宋体" w:hAnsi="宋体" w:eastAsia="宋体" w:cs="宋体"/>
                      <w:sz w:val="21"/>
                      <w:szCs w:val="21"/>
                    </w:rPr>
                  </w:pPr>
                </w:p>
              </w:tc>
              <w:tc>
                <w:tcPr>
                  <w:tcW w:w="903" w:type="dxa"/>
                  <w:vMerge w:val="continue"/>
                  <w:noWrap w:val="0"/>
                  <w:vAlign w:val="center"/>
                </w:tcPr>
                <w:p w14:paraId="1A84E59E">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ascii="宋体" w:hAnsi="宋体" w:eastAsia="宋体" w:cs="宋体"/>
                      <w:sz w:val="21"/>
                      <w:szCs w:val="21"/>
                    </w:rPr>
                  </w:pPr>
                </w:p>
              </w:tc>
              <w:tc>
                <w:tcPr>
                  <w:tcW w:w="1700" w:type="dxa"/>
                  <w:noWrap w:val="0"/>
                  <w:vAlign w:val="center"/>
                </w:tcPr>
                <w:p w14:paraId="3F0AD6D5">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ascii="宋体" w:hAnsi="宋体" w:eastAsia="宋体" w:cs="宋体"/>
                      <w:b/>
                      <w:bCs/>
                      <w:sz w:val="21"/>
                      <w:szCs w:val="21"/>
                    </w:rPr>
                  </w:pPr>
                  <w:r>
                    <w:rPr>
                      <w:rFonts w:hint="eastAsia" w:ascii="宋体" w:hAnsi="宋体" w:eastAsia="宋体" w:cs="宋体"/>
                      <w:b/>
                      <w:bCs/>
                      <w:sz w:val="21"/>
                      <w:szCs w:val="21"/>
                    </w:rPr>
                    <w:t>标准名称</w:t>
                  </w:r>
                </w:p>
              </w:tc>
              <w:tc>
                <w:tcPr>
                  <w:tcW w:w="1292" w:type="dxa"/>
                  <w:gridSpan w:val="2"/>
                  <w:noWrap w:val="0"/>
                  <w:vAlign w:val="center"/>
                </w:tcPr>
                <w:p w14:paraId="1DFB4C04">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ascii="宋体" w:hAnsi="宋体" w:eastAsia="宋体" w:cs="宋体"/>
                      <w:b/>
                      <w:bCs/>
                      <w:sz w:val="21"/>
                      <w:szCs w:val="21"/>
                    </w:rPr>
                  </w:pPr>
                  <w:r>
                    <w:rPr>
                      <w:rFonts w:hint="eastAsia" w:ascii="宋体" w:hAnsi="宋体" w:eastAsia="宋体" w:cs="宋体"/>
                      <w:b/>
                      <w:bCs/>
                      <w:sz w:val="21"/>
                      <w:szCs w:val="21"/>
                    </w:rPr>
                    <w:t>浓度限值(mg/m</w:t>
                  </w:r>
                  <w:r>
                    <w:rPr>
                      <w:rFonts w:hint="eastAsia" w:ascii="宋体" w:hAnsi="宋体" w:eastAsia="宋体" w:cs="宋体"/>
                      <w:b/>
                      <w:bCs/>
                      <w:sz w:val="21"/>
                      <w:szCs w:val="21"/>
                      <w:vertAlign w:val="superscript"/>
                    </w:rPr>
                    <w:t>3</w:t>
                  </w:r>
                  <w:r>
                    <w:rPr>
                      <w:rFonts w:hint="eastAsia" w:ascii="宋体" w:hAnsi="宋体" w:eastAsia="宋体" w:cs="宋体"/>
                      <w:b/>
                      <w:bCs/>
                      <w:sz w:val="21"/>
                      <w:szCs w:val="21"/>
                    </w:rPr>
                    <w:t>)</w:t>
                  </w:r>
                </w:p>
              </w:tc>
              <w:tc>
                <w:tcPr>
                  <w:tcW w:w="1135" w:type="dxa"/>
                  <w:vMerge w:val="continue"/>
                  <w:noWrap w:val="0"/>
                  <w:vAlign w:val="center"/>
                </w:tcPr>
                <w:p w14:paraId="0876556E">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ascii="宋体" w:hAnsi="宋体" w:eastAsia="宋体" w:cs="宋体"/>
                      <w:sz w:val="21"/>
                      <w:szCs w:val="21"/>
                    </w:rPr>
                  </w:pPr>
                </w:p>
              </w:tc>
            </w:tr>
            <w:tr w14:paraId="727850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44" w:type="dxa"/>
                  <w:vMerge w:val="restart"/>
                  <w:noWrap w:val="0"/>
                  <w:vAlign w:val="center"/>
                </w:tcPr>
                <w:p w14:paraId="442DC080">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739" w:type="dxa"/>
                  <w:vMerge w:val="restart"/>
                  <w:noWrap w:val="0"/>
                  <w:vAlign w:val="center"/>
                </w:tcPr>
                <w:p w14:paraId="5289B1AF">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生产车间</w:t>
                  </w:r>
                </w:p>
              </w:tc>
              <w:tc>
                <w:tcPr>
                  <w:tcW w:w="1002" w:type="dxa"/>
                  <w:vMerge w:val="restart"/>
                  <w:noWrap w:val="0"/>
                  <w:vAlign w:val="center"/>
                </w:tcPr>
                <w:p w14:paraId="33429C65">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righ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喷塑、打磨</w:t>
                  </w:r>
                </w:p>
              </w:tc>
              <w:tc>
                <w:tcPr>
                  <w:tcW w:w="1021" w:type="dxa"/>
                  <w:noWrap w:val="0"/>
                  <w:vAlign w:val="center"/>
                </w:tcPr>
                <w:p w14:paraId="4F81F772">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right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颗粒物</w:t>
                  </w:r>
                </w:p>
              </w:tc>
              <w:tc>
                <w:tcPr>
                  <w:tcW w:w="903" w:type="dxa"/>
                  <w:vMerge w:val="restart"/>
                  <w:noWrap w:val="0"/>
                  <w:vAlign w:val="center"/>
                </w:tcPr>
                <w:p w14:paraId="2C219F03">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ascii="宋体" w:hAnsi="宋体" w:eastAsia="宋体" w:cs="宋体"/>
                      <w:sz w:val="21"/>
                      <w:szCs w:val="21"/>
                    </w:rPr>
                  </w:pPr>
                  <w:r>
                    <w:rPr>
                      <w:rFonts w:hint="eastAsia" w:ascii="宋体" w:hAnsi="宋体" w:eastAsia="宋体" w:cs="宋体"/>
                      <w:sz w:val="21"/>
                      <w:szCs w:val="21"/>
                    </w:rPr>
                    <w:t>合理布置车间，加强车间换风</w:t>
                  </w:r>
                </w:p>
              </w:tc>
              <w:tc>
                <w:tcPr>
                  <w:tcW w:w="1700" w:type="dxa"/>
                  <w:vMerge w:val="restart"/>
                  <w:noWrap w:val="0"/>
                  <w:vAlign w:val="center"/>
                </w:tcPr>
                <w:p w14:paraId="4A4C0487">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ascii="宋体" w:hAnsi="宋体" w:eastAsia="宋体" w:cs="宋体"/>
                      <w:sz w:val="21"/>
                      <w:szCs w:val="21"/>
                    </w:rPr>
                  </w:pPr>
                  <w:r>
                    <w:rPr>
                      <w:rFonts w:hint="eastAsia" w:ascii="宋体" w:hAnsi="宋体" w:eastAsia="宋体" w:cs="宋体"/>
                      <w:sz w:val="21"/>
                      <w:szCs w:val="21"/>
                      <w:lang w:val="zh-CN"/>
                    </w:rPr>
                    <w:t>《大气污染物综合排放标准》（</w:t>
                  </w:r>
                  <w:r>
                    <w:rPr>
                      <w:rFonts w:hint="eastAsia" w:ascii="宋体" w:hAnsi="宋体" w:eastAsia="宋体" w:cs="宋体"/>
                      <w:sz w:val="21"/>
                      <w:szCs w:val="21"/>
                      <w:lang w:val="en-US" w:eastAsia="zh-CN"/>
                    </w:rPr>
                    <w:t>DB32/4041-2021</w:t>
                  </w:r>
                  <w:r>
                    <w:rPr>
                      <w:rFonts w:hint="eastAsia" w:ascii="宋体" w:hAnsi="宋体" w:eastAsia="宋体" w:cs="宋体"/>
                      <w:sz w:val="21"/>
                      <w:szCs w:val="21"/>
                      <w:lang w:val="zh-CN"/>
                    </w:rPr>
                    <w:t>）表</w:t>
                  </w:r>
                  <w:r>
                    <w:rPr>
                      <w:rFonts w:hint="eastAsia" w:ascii="宋体" w:hAnsi="宋体" w:eastAsia="宋体" w:cs="宋体"/>
                      <w:sz w:val="21"/>
                      <w:szCs w:val="21"/>
                      <w:lang w:val="en-US" w:eastAsia="zh-CN"/>
                    </w:rPr>
                    <w:t>3</w:t>
                  </w:r>
                </w:p>
              </w:tc>
              <w:tc>
                <w:tcPr>
                  <w:tcW w:w="1292" w:type="dxa"/>
                  <w:gridSpan w:val="2"/>
                  <w:noWrap w:val="0"/>
                  <w:vAlign w:val="center"/>
                </w:tcPr>
                <w:p w14:paraId="23336C03">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0.5</w:t>
                  </w:r>
                </w:p>
              </w:tc>
              <w:tc>
                <w:tcPr>
                  <w:tcW w:w="1135" w:type="dxa"/>
                  <w:noWrap w:val="0"/>
                  <w:vAlign w:val="center"/>
                </w:tcPr>
                <w:p w14:paraId="12070B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0.524</w:t>
                  </w:r>
                </w:p>
              </w:tc>
            </w:tr>
            <w:tr w14:paraId="6B2D94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44" w:type="dxa"/>
                  <w:vMerge w:val="continue"/>
                  <w:noWrap w:val="0"/>
                  <w:vAlign w:val="center"/>
                </w:tcPr>
                <w:p w14:paraId="2C8F4078">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ascii="宋体" w:hAnsi="宋体" w:eastAsia="宋体" w:cs="宋体"/>
                      <w:sz w:val="21"/>
                      <w:szCs w:val="21"/>
                    </w:rPr>
                  </w:pPr>
                </w:p>
              </w:tc>
              <w:tc>
                <w:tcPr>
                  <w:tcW w:w="739" w:type="dxa"/>
                  <w:vMerge w:val="continue"/>
                  <w:noWrap w:val="0"/>
                  <w:vAlign w:val="center"/>
                </w:tcPr>
                <w:p w14:paraId="37C9A7DE">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ascii="宋体" w:hAnsi="宋体" w:eastAsia="宋体" w:cs="宋体"/>
                      <w:sz w:val="21"/>
                      <w:szCs w:val="21"/>
                      <w:lang w:eastAsia="zh-CN"/>
                    </w:rPr>
                  </w:pPr>
                </w:p>
              </w:tc>
              <w:tc>
                <w:tcPr>
                  <w:tcW w:w="1002" w:type="dxa"/>
                  <w:vMerge w:val="continue"/>
                  <w:noWrap w:val="0"/>
                  <w:vAlign w:val="center"/>
                </w:tcPr>
                <w:p w14:paraId="566C1E59">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rightChars="0" w:firstLine="0" w:firstLineChars="0"/>
                    <w:textAlignment w:val="auto"/>
                    <w:rPr>
                      <w:rFonts w:hint="eastAsia" w:ascii="宋体" w:hAnsi="宋体" w:eastAsia="宋体" w:cs="宋体"/>
                      <w:sz w:val="21"/>
                      <w:szCs w:val="21"/>
                      <w:lang w:val="en-US" w:eastAsia="zh-CN"/>
                    </w:rPr>
                  </w:pPr>
                </w:p>
              </w:tc>
              <w:tc>
                <w:tcPr>
                  <w:tcW w:w="1021" w:type="dxa"/>
                  <w:noWrap w:val="0"/>
                  <w:vAlign w:val="center"/>
                </w:tcPr>
                <w:p w14:paraId="3757248A">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right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非甲烷总烃</w:t>
                  </w:r>
                </w:p>
              </w:tc>
              <w:tc>
                <w:tcPr>
                  <w:tcW w:w="903" w:type="dxa"/>
                  <w:vMerge w:val="continue"/>
                  <w:noWrap w:val="0"/>
                  <w:vAlign w:val="center"/>
                </w:tcPr>
                <w:p w14:paraId="1DD7D5C3">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ascii="宋体" w:hAnsi="宋体" w:eastAsia="宋体" w:cs="宋体"/>
                      <w:sz w:val="21"/>
                      <w:szCs w:val="21"/>
                    </w:rPr>
                  </w:pPr>
                </w:p>
              </w:tc>
              <w:tc>
                <w:tcPr>
                  <w:tcW w:w="1700" w:type="dxa"/>
                  <w:vMerge w:val="continue"/>
                  <w:noWrap w:val="0"/>
                  <w:vAlign w:val="center"/>
                </w:tcPr>
                <w:p w14:paraId="4601D68E">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ascii="宋体" w:hAnsi="宋体" w:eastAsia="宋体" w:cs="宋体"/>
                      <w:sz w:val="21"/>
                      <w:szCs w:val="21"/>
                      <w:lang w:val="zh-CN"/>
                    </w:rPr>
                  </w:pPr>
                </w:p>
              </w:tc>
              <w:tc>
                <w:tcPr>
                  <w:tcW w:w="1292" w:type="dxa"/>
                  <w:gridSpan w:val="2"/>
                  <w:noWrap w:val="0"/>
                  <w:vAlign w:val="center"/>
                </w:tcPr>
                <w:p w14:paraId="1C6B1AD3">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4.0</w:t>
                  </w:r>
                </w:p>
              </w:tc>
              <w:tc>
                <w:tcPr>
                  <w:tcW w:w="1135" w:type="dxa"/>
                  <w:noWrap w:val="0"/>
                  <w:vAlign w:val="center"/>
                </w:tcPr>
                <w:p w14:paraId="0A839A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kern w:val="2"/>
                      <w:sz w:val="21"/>
                      <w:szCs w:val="21"/>
                      <w:lang w:val="en-US" w:eastAsia="zh-CN" w:bidi="zh-CN"/>
                    </w:rPr>
                  </w:pPr>
                  <w:r>
                    <w:rPr>
                      <w:rFonts w:hint="eastAsia" w:ascii="宋体" w:hAnsi="宋体" w:eastAsia="宋体" w:cs="宋体"/>
                      <w:color w:val="auto"/>
                      <w:kern w:val="2"/>
                      <w:sz w:val="21"/>
                      <w:szCs w:val="21"/>
                      <w:lang w:val="en-US" w:eastAsia="zh-CN" w:bidi="zh-CN"/>
                    </w:rPr>
                    <w:t>0.002</w:t>
                  </w:r>
                </w:p>
              </w:tc>
            </w:tr>
            <w:tr w14:paraId="299D71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436" w:type="dxa"/>
                  <w:gridSpan w:val="9"/>
                  <w:noWrap w:val="0"/>
                  <w:vAlign w:val="center"/>
                </w:tcPr>
                <w:p w14:paraId="5F21020E">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ascii="宋体" w:hAnsi="宋体" w:eastAsia="宋体" w:cs="宋体"/>
                      <w:sz w:val="21"/>
                      <w:szCs w:val="21"/>
                    </w:rPr>
                  </w:pPr>
                  <w:r>
                    <w:rPr>
                      <w:rFonts w:hint="eastAsia" w:ascii="宋体" w:hAnsi="宋体" w:eastAsia="宋体" w:cs="宋体"/>
                      <w:b/>
                      <w:bCs/>
                      <w:sz w:val="21"/>
                      <w:szCs w:val="21"/>
                    </w:rPr>
                    <w:t>无组织排放总计</w:t>
                  </w:r>
                </w:p>
              </w:tc>
            </w:tr>
            <w:tr w14:paraId="7A993D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85" w:type="dxa"/>
                  <w:gridSpan w:val="3"/>
                  <w:vMerge w:val="restart"/>
                  <w:noWrap w:val="0"/>
                  <w:vAlign w:val="center"/>
                </w:tcPr>
                <w:p w14:paraId="4C663990">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ascii="宋体" w:hAnsi="宋体" w:eastAsia="宋体" w:cs="宋体"/>
                      <w:sz w:val="21"/>
                      <w:szCs w:val="21"/>
                    </w:rPr>
                  </w:pPr>
                  <w:r>
                    <w:rPr>
                      <w:rFonts w:hint="eastAsia" w:ascii="宋体" w:hAnsi="宋体" w:eastAsia="宋体" w:cs="宋体"/>
                      <w:sz w:val="21"/>
                      <w:szCs w:val="21"/>
                    </w:rPr>
                    <w:t>无组织排放总量</w:t>
                  </w:r>
                </w:p>
              </w:tc>
              <w:tc>
                <w:tcPr>
                  <w:tcW w:w="4418" w:type="dxa"/>
                  <w:gridSpan w:val="4"/>
                  <w:noWrap w:val="0"/>
                  <w:vAlign w:val="center"/>
                </w:tcPr>
                <w:p w14:paraId="2442C267">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颗粒物</w:t>
                  </w:r>
                </w:p>
              </w:tc>
              <w:tc>
                <w:tcPr>
                  <w:tcW w:w="1633" w:type="dxa"/>
                  <w:gridSpan w:val="2"/>
                  <w:noWrap w:val="0"/>
                  <w:vAlign w:val="center"/>
                </w:tcPr>
                <w:p w14:paraId="5552CF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default" w:ascii="宋体" w:hAnsi="宋体" w:eastAsia="宋体" w:cs="宋体"/>
                      <w:sz w:val="21"/>
                      <w:szCs w:val="21"/>
                      <w:lang w:val="en-US" w:eastAsia="zh-CN"/>
                    </w:rPr>
                  </w:pPr>
                  <w:r>
                    <w:rPr>
                      <w:rFonts w:hint="eastAsia" w:ascii="宋体" w:hAnsi="宋体" w:eastAsia="宋体" w:cs="宋体"/>
                      <w:color w:val="auto"/>
                      <w:kern w:val="2"/>
                      <w:sz w:val="21"/>
                      <w:szCs w:val="21"/>
                      <w:lang w:val="en-US" w:eastAsia="zh-CN" w:bidi="zh-CN"/>
                    </w:rPr>
                    <w:t>0.524</w:t>
                  </w:r>
                </w:p>
              </w:tc>
            </w:tr>
            <w:tr w14:paraId="62A1A7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85" w:type="dxa"/>
                  <w:gridSpan w:val="3"/>
                  <w:vMerge w:val="continue"/>
                  <w:noWrap w:val="0"/>
                  <w:vAlign w:val="center"/>
                </w:tcPr>
                <w:p w14:paraId="7AEC2C4D">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ascii="宋体" w:hAnsi="宋体" w:eastAsia="宋体" w:cs="宋体"/>
                      <w:sz w:val="21"/>
                      <w:szCs w:val="21"/>
                    </w:rPr>
                  </w:pPr>
                </w:p>
              </w:tc>
              <w:tc>
                <w:tcPr>
                  <w:tcW w:w="4418" w:type="dxa"/>
                  <w:gridSpan w:val="4"/>
                  <w:noWrap w:val="0"/>
                  <w:vAlign w:val="center"/>
                </w:tcPr>
                <w:p w14:paraId="24B93811">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非甲烷总烃</w:t>
                  </w:r>
                </w:p>
              </w:tc>
              <w:tc>
                <w:tcPr>
                  <w:tcW w:w="1633" w:type="dxa"/>
                  <w:gridSpan w:val="2"/>
                  <w:noWrap w:val="0"/>
                  <w:vAlign w:val="center"/>
                </w:tcPr>
                <w:p w14:paraId="1F7958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eastAsia" w:ascii="宋体" w:hAnsi="宋体" w:eastAsia="宋体" w:cs="宋体"/>
                      <w:kern w:val="0"/>
                      <w:sz w:val="21"/>
                      <w:szCs w:val="21"/>
                      <w:lang w:val="en-US" w:eastAsia="zh-CN"/>
                    </w:rPr>
                  </w:pPr>
                  <w:r>
                    <w:rPr>
                      <w:rFonts w:hint="eastAsia" w:ascii="宋体" w:hAnsi="宋体" w:eastAsia="宋体" w:cs="宋体"/>
                      <w:color w:val="auto"/>
                      <w:kern w:val="2"/>
                      <w:sz w:val="21"/>
                      <w:szCs w:val="21"/>
                      <w:lang w:val="en-US" w:eastAsia="zh-CN" w:bidi="zh-CN"/>
                    </w:rPr>
                    <w:t>0.002</w:t>
                  </w:r>
                </w:p>
              </w:tc>
            </w:tr>
          </w:tbl>
          <w:p w14:paraId="44C499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sz w:val="24"/>
                <w:szCs w:val="24"/>
              </w:rPr>
            </w:pPr>
            <w:r>
              <w:rPr>
                <w:rFonts w:hint="eastAsia" w:ascii="宋体" w:hAnsi="宋体" w:eastAsia="宋体" w:cs="宋体"/>
                <w:b/>
                <w:bCs/>
                <w:sz w:val="24"/>
                <w:szCs w:val="24"/>
              </w:rPr>
              <w:t>表4</w:t>
            </w:r>
            <w:r>
              <w:rPr>
                <w:rFonts w:hint="eastAsia" w:ascii="宋体" w:hAnsi="宋体" w:eastAsia="宋体" w:cs="宋体"/>
                <w:b/>
                <w:bCs/>
                <w:sz w:val="24"/>
                <w:szCs w:val="24"/>
                <w:lang w:val="en-US" w:eastAsia="zh-CN"/>
              </w:rPr>
              <w:t>-9</w:t>
            </w:r>
            <w:r>
              <w:rPr>
                <w:rFonts w:hint="eastAsia" w:ascii="宋体" w:hAnsi="宋体" w:eastAsia="宋体" w:cs="宋体"/>
                <w:b/>
                <w:bCs/>
                <w:sz w:val="24"/>
                <w:szCs w:val="24"/>
              </w:rPr>
              <w:t xml:space="preserve"> 大气污染物排放量核算表</w:t>
            </w:r>
          </w:p>
          <w:tbl>
            <w:tblPr>
              <w:tblStyle w:val="30"/>
              <w:tblW w:w="44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95"/>
              <w:gridCol w:w="3523"/>
            </w:tblGrid>
            <w:tr w14:paraId="731573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2656" w:type="pct"/>
                  <w:noWrap w:val="0"/>
                  <w:tcMar>
                    <w:top w:w="0" w:type="dxa"/>
                    <w:left w:w="0" w:type="dxa"/>
                    <w:bottom w:w="0" w:type="dxa"/>
                    <w:right w:w="0" w:type="dxa"/>
                  </w:tcMar>
                  <w:vAlign w:val="center"/>
                </w:tcPr>
                <w:p w14:paraId="5EC852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污染因子</w:t>
                  </w:r>
                </w:p>
              </w:tc>
              <w:tc>
                <w:tcPr>
                  <w:tcW w:w="2343" w:type="pct"/>
                  <w:noWrap w:val="0"/>
                  <w:tcMar>
                    <w:top w:w="0" w:type="dxa"/>
                    <w:left w:w="0" w:type="dxa"/>
                    <w:bottom w:w="0" w:type="dxa"/>
                    <w:right w:w="0" w:type="dxa"/>
                  </w:tcMar>
                  <w:vAlign w:val="center"/>
                </w:tcPr>
                <w:p w14:paraId="6C170E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排放量（t/a）</w:t>
                  </w:r>
                </w:p>
              </w:tc>
            </w:tr>
            <w:tr w14:paraId="7F6900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2656" w:type="pct"/>
                  <w:noWrap w:val="0"/>
                  <w:tcMar>
                    <w:top w:w="0" w:type="dxa"/>
                    <w:left w:w="0" w:type="dxa"/>
                    <w:bottom w:w="0" w:type="dxa"/>
                    <w:right w:w="0" w:type="dxa"/>
                  </w:tcMar>
                  <w:vAlign w:val="center"/>
                </w:tcPr>
                <w:p w14:paraId="6D602A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颗粒物</w:t>
                  </w:r>
                </w:p>
              </w:tc>
              <w:tc>
                <w:tcPr>
                  <w:tcW w:w="2343" w:type="pct"/>
                  <w:noWrap w:val="0"/>
                  <w:tcMar>
                    <w:top w:w="0" w:type="dxa"/>
                    <w:left w:w="0" w:type="dxa"/>
                    <w:bottom w:w="0" w:type="dxa"/>
                    <w:right w:w="0" w:type="dxa"/>
                  </w:tcMar>
                  <w:vAlign w:val="center"/>
                </w:tcPr>
                <w:p w14:paraId="795C14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1.05</w:t>
                  </w:r>
                </w:p>
              </w:tc>
            </w:tr>
            <w:tr w14:paraId="5BA116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2656" w:type="pct"/>
                  <w:noWrap w:val="0"/>
                  <w:tcMar>
                    <w:top w:w="0" w:type="dxa"/>
                    <w:left w:w="0" w:type="dxa"/>
                    <w:bottom w:w="0" w:type="dxa"/>
                    <w:right w:w="0" w:type="dxa"/>
                  </w:tcMar>
                  <w:vAlign w:val="center"/>
                </w:tcPr>
                <w:p w14:paraId="671C57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非甲烷总烃</w:t>
                  </w:r>
                </w:p>
              </w:tc>
              <w:tc>
                <w:tcPr>
                  <w:tcW w:w="2343" w:type="pct"/>
                  <w:noWrap w:val="0"/>
                  <w:tcMar>
                    <w:top w:w="0" w:type="dxa"/>
                    <w:left w:w="0" w:type="dxa"/>
                    <w:bottom w:w="0" w:type="dxa"/>
                    <w:right w:w="0" w:type="dxa"/>
                  </w:tcMar>
                  <w:vAlign w:val="center"/>
                </w:tcPr>
                <w:p w14:paraId="6E9461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0.004</w:t>
                  </w:r>
                </w:p>
              </w:tc>
            </w:tr>
            <w:tr w14:paraId="0421D1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2656" w:type="pct"/>
                  <w:noWrap w:val="0"/>
                  <w:tcMar>
                    <w:top w:w="0" w:type="dxa"/>
                    <w:left w:w="0" w:type="dxa"/>
                    <w:bottom w:w="0" w:type="dxa"/>
                    <w:right w:w="0" w:type="dxa"/>
                  </w:tcMar>
                  <w:vAlign w:val="center"/>
                </w:tcPr>
                <w:p w14:paraId="5CB868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rightChars="0" w:firstLine="0" w:firstLineChars="0"/>
                    <w:jc w:val="center"/>
                    <w:textAlignment w:val="auto"/>
                    <w:outlineLvl w:val="9"/>
                    <w:rPr>
                      <w:rFonts w:hint="eastAsia" w:ascii="宋体" w:hAnsi="宋体" w:eastAsia="宋体" w:cs="宋体"/>
                      <w:kern w:val="2"/>
                      <w:sz w:val="21"/>
                      <w:szCs w:val="21"/>
                      <w:vertAlign w:val="subscript"/>
                      <w:lang w:val="en-US" w:eastAsia="zh-CN" w:bidi="ar-SA"/>
                    </w:rPr>
                  </w:pPr>
                  <w:r>
                    <w:rPr>
                      <w:rFonts w:hint="eastAsia" w:ascii="宋体" w:hAnsi="宋体" w:eastAsia="宋体" w:cs="宋体"/>
                      <w:sz w:val="21"/>
                      <w:szCs w:val="21"/>
                      <w:lang w:val="en-US" w:eastAsia="zh-CN"/>
                    </w:rPr>
                    <w:t>二氧化硫</w:t>
                  </w:r>
                </w:p>
              </w:tc>
              <w:tc>
                <w:tcPr>
                  <w:tcW w:w="3523" w:type="dxa"/>
                  <w:noWrap w:val="0"/>
                  <w:tcMar>
                    <w:top w:w="0" w:type="dxa"/>
                    <w:left w:w="0" w:type="dxa"/>
                    <w:bottom w:w="0" w:type="dxa"/>
                    <w:right w:w="0" w:type="dxa"/>
                  </w:tcMar>
                  <w:vAlign w:val="center"/>
                </w:tcPr>
                <w:p w14:paraId="0E6B9E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0.02</w:t>
                  </w:r>
                </w:p>
              </w:tc>
            </w:tr>
            <w:tr w14:paraId="390E3F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2656" w:type="pct"/>
                  <w:noWrap w:val="0"/>
                  <w:tcMar>
                    <w:top w:w="0" w:type="dxa"/>
                    <w:left w:w="0" w:type="dxa"/>
                    <w:bottom w:w="0" w:type="dxa"/>
                    <w:right w:w="0" w:type="dxa"/>
                  </w:tcMar>
                  <w:vAlign w:val="center"/>
                </w:tcPr>
                <w:p w14:paraId="44EB9C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氮氧化物</w:t>
                  </w:r>
                </w:p>
              </w:tc>
              <w:tc>
                <w:tcPr>
                  <w:tcW w:w="3523" w:type="dxa"/>
                  <w:noWrap w:val="0"/>
                  <w:tcMar>
                    <w:top w:w="0" w:type="dxa"/>
                    <w:left w:w="0" w:type="dxa"/>
                    <w:bottom w:w="0" w:type="dxa"/>
                    <w:right w:w="0" w:type="dxa"/>
                  </w:tcMar>
                  <w:vAlign w:val="center"/>
                </w:tcPr>
                <w:p w14:paraId="791DDD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0.187</w:t>
                  </w:r>
                </w:p>
              </w:tc>
            </w:tr>
          </w:tbl>
          <w:p w14:paraId="47219219">
            <w:pPr>
              <w:pStyle w:val="3"/>
              <w:keepNext/>
              <w:keepLines/>
              <w:suppressLineNumbers w:val="0"/>
              <w:autoSpaceDE w:val="0"/>
              <w:autoSpaceDN w:val="0"/>
              <w:adjustRightInd w:val="0"/>
              <w:snapToGrid w:val="0"/>
              <w:spacing w:before="0" w:beforeAutospacing="0" w:after="0" w:afterAutospacing="0"/>
              <w:ind w:right="0"/>
              <w:textAlignment w:val="baseline"/>
              <w:outlineLvl w:val="1"/>
              <w:rPr>
                <w:rFonts w:hint="eastAsia" w:ascii="宋体" w:hAnsi="宋体" w:eastAsia="宋体" w:cs="宋体"/>
                <w:b w:val="0"/>
                <w:szCs w:val="24"/>
              </w:rPr>
            </w:pPr>
            <w:r>
              <w:rPr>
                <w:rFonts w:hint="eastAsia" w:ascii="宋体" w:hAnsi="宋体" w:eastAsia="宋体" w:cs="宋体"/>
                <w:b w:val="0"/>
                <w:szCs w:val="24"/>
              </w:rPr>
              <w:t>4、影响分析</w:t>
            </w:r>
          </w:p>
          <w:p w14:paraId="41DA1E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480" w:firstLineChars="200"/>
              <w:textAlignment w:val="auto"/>
              <w:rPr>
                <w:rFonts w:hint="eastAsia" w:ascii="宋体" w:hAnsi="宋体" w:eastAsia="宋体" w:cs="宋体"/>
                <w:bCs/>
                <w:lang w:val="en-US" w:eastAsia="zh-CN"/>
              </w:rPr>
            </w:pPr>
            <w:r>
              <w:rPr>
                <w:rFonts w:hint="eastAsia" w:ascii="宋体" w:hAnsi="宋体" w:eastAsia="宋体" w:cs="宋体"/>
                <w:bCs/>
              </w:rPr>
              <w:t>本项目建成后，各类废气污染物排放速率和排放浓度均可实现达标排放且排放量较小，通过</w:t>
            </w:r>
            <w:r>
              <w:rPr>
                <w:rFonts w:hint="eastAsia" w:ascii="宋体" w:hAnsi="宋体" w:eastAsia="宋体" w:cs="宋体"/>
                <w:bCs/>
                <w:lang w:val="en-US" w:eastAsia="zh-CN"/>
              </w:rPr>
              <w:t>5</w:t>
            </w:r>
            <w:r>
              <w:rPr>
                <w:rFonts w:hint="eastAsia" w:ascii="宋体" w:hAnsi="宋体" w:eastAsia="宋体" w:cs="宋体"/>
                <w:bCs/>
              </w:rPr>
              <w:t>个15m高排气筒有组织排放。项目各类废气污染物排放对区域环境空气质量影响较小，不会对区域环境空气质量及人居生活环境产生明显不利影响。</w:t>
            </w:r>
          </w:p>
          <w:p w14:paraId="6CDDCD29">
            <w:pPr>
              <w:keepNext w:val="0"/>
              <w:keepLines w:val="0"/>
              <w:suppressLineNumbers w:val="0"/>
              <w:adjustRightInd w:val="0"/>
              <w:snapToGrid w:val="0"/>
              <w:spacing w:before="0" w:beforeAutospacing="0" w:after="0" w:afterAutospacing="0"/>
              <w:ind w:left="0" w:right="0"/>
              <w:rPr>
                <w:rFonts w:hint="eastAsia" w:ascii="宋体" w:hAnsi="宋体" w:eastAsia="宋体" w:cs="宋体"/>
                <w:bCs/>
              </w:rPr>
            </w:pPr>
            <w:r>
              <w:rPr>
                <w:rFonts w:hint="eastAsia" w:ascii="宋体" w:hAnsi="宋体" w:eastAsia="宋体" w:cs="宋体"/>
                <w:bCs/>
                <w:lang w:val="en-US" w:eastAsia="zh-CN"/>
              </w:rPr>
              <w:t>5</w:t>
            </w:r>
            <w:r>
              <w:rPr>
                <w:rFonts w:hint="eastAsia" w:ascii="宋体" w:hAnsi="宋体" w:eastAsia="宋体" w:cs="宋体"/>
                <w:bCs/>
              </w:rPr>
              <w:t>、监测要求</w:t>
            </w:r>
          </w:p>
          <w:p w14:paraId="0C1A8D2B">
            <w:pPr>
              <w:pStyle w:val="16"/>
              <w:keepNext w:val="0"/>
              <w:keepLines w:val="0"/>
              <w:numPr>
                <w:ilvl w:val="0"/>
                <w:numId w:val="0"/>
              </w:numPr>
              <w:suppressLineNumbers w:val="0"/>
              <w:adjustRightInd w:val="0"/>
              <w:snapToGrid w:val="0"/>
              <w:spacing w:before="0" w:beforeAutospacing="0" w:after="0" w:afterAutospacing="0"/>
              <w:ind w:left="0" w:right="0" w:firstLine="480" w:firstLineChars="200"/>
              <w:rPr>
                <w:rFonts w:hint="eastAsia" w:ascii="宋体" w:hAnsi="宋体" w:eastAsia="宋体" w:cs="宋体"/>
                <w:b/>
                <w:bCs w:val="0"/>
                <w:lang w:bidi="ar"/>
              </w:rPr>
            </w:pPr>
            <w:r>
              <w:rPr>
                <w:rFonts w:hint="eastAsia" w:ascii="宋体" w:hAnsi="宋体" w:eastAsia="宋体" w:cs="宋体"/>
              </w:rPr>
              <w:t>根据《排污单位自行监测技术指南  涂装》（HJ1086-2020）要求，本项目建成后全厂废气监测计划见表4-</w:t>
            </w:r>
            <w:r>
              <w:rPr>
                <w:rFonts w:hint="eastAsia" w:ascii="宋体" w:hAnsi="宋体" w:eastAsia="宋体" w:cs="宋体"/>
                <w:lang w:val="en-US" w:eastAsia="zh-CN"/>
              </w:rPr>
              <w:t>10</w:t>
            </w:r>
            <w:r>
              <w:rPr>
                <w:rFonts w:hint="eastAsia" w:ascii="宋体" w:hAnsi="宋体" w:eastAsia="宋体" w:cs="宋体"/>
              </w:rPr>
              <w:t>。</w:t>
            </w:r>
          </w:p>
          <w:p w14:paraId="7E9237D4">
            <w:pPr>
              <w:keepNext w:val="0"/>
              <w:keepLines w:val="0"/>
              <w:suppressLineNumbers w:val="0"/>
              <w:adjustRightInd w:val="0"/>
              <w:snapToGrid w:val="0"/>
              <w:spacing w:before="0" w:beforeAutospacing="0" w:after="0" w:afterAutospacing="0"/>
              <w:ind w:left="0" w:right="0" w:firstLine="241" w:firstLineChars="100"/>
              <w:jc w:val="center"/>
              <w:rPr>
                <w:rFonts w:hint="eastAsia" w:ascii="宋体" w:hAnsi="宋体" w:eastAsia="宋体" w:cs="宋体"/>
                <w:bCs/>
              </w:rPr>
            </w:pPr>
            <w:r>
              <w:rPr>
                <w:rFonts w:hint="eastAsia" w:ascii="宋体" w:hAnsi="宋体" w:eastAsia="宋体" w:cs="宋体"/>
                <w:b/>
                <w:bCs w:val="0"/>
                <w:lang w:bidi="ar"/>
              </w:rPr>
              <w:t>表4-</w:t>
            </w:r>
            <w:r>
              <w:rPr>
                <w:rFonts w:hint="eastAsia" w:ascii="宋体" w:hAnsi="宋体" w:eastAsia="宋体" w:cs="宋体"/>
                <w:b/>
                <w:bCs w:val="0"/>
                <w:lang w:val="en-US" w:eastAsia="zh-CN" w:bidi="ar"/>
              </w:rPr>
              <w:t>10</w:t>
            </w:r>
            <w:r>
              <w:rPr>
                <w:rFonts w:hint="eastAsia" w:ascii="宋体" w:hAnsi="宋体" w:eastAsia="宋体" w:cs="宋体"/>
                <w:b/>
                <w:bCs w:val="0"/>
                <w:lang w:bidi="ar"/>
              </w:rPr>
              <w:t xml:space="preserve">  项目废气自行监测要求</w:t>
            </w:r>
          </w:p>
          <w:tbl>
            <w:tblPr>
              <w:tblStyle w:val="30"/>
              <w:tblW w:w="82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2134"/>
              <w:gridCol w:w="1127"/>
              <w:gridCol w:w="3801"/>
            </w:tblGrid>
            <w:tr w14:paraId="6751F4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196" w:type="dxa"/>
                  <w:noWrap w:val="0"/>
                  <w:vAlign w:val="center"/>
                </w:tcPr>
                <w:p w14:paraId="31BEF3F9">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监测点位</w:t>
                  </w:r>
                </w:p>
              </w:tc>
              <w:tc>
                <w:tcPr>
                  <w:tcW w:w="2134" w:type="dxa"/>
                  <w:noWrap w:val="0"/>
                  <w:vAlign w:val="center"/>
                </w:tcPr>
                <w:p w14:paraId="005FEF76">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监测指标</w:t>
                  </w:r>
                </w:p>
              </w:tc>
              <w:tc>
                <w:tcPr>
                  <w:tcW w:w="1127" w:type="dxa"/>
                  <w:noWrap w:val="0"/>
                  <w:vAlign w:val="center"/>
                </w:tcPr>
                <w:p w14:paraId="550CA6F5">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监测频次</w:t>
                  </w:r>
                </w:p>
              </w:tc>
              <w:tc>
                <w:tcPr>
                  <w:tcW w:w="3801" w:type="dxa"/>
                  <w:noWrap w:val="0"/>
                  <w:vAlign w:val="center"/>
                </w:tcPr>
                <w:p w14:paraId="1C42F371">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排放执行标准</w:t>
                  </w:r>
                </w:p>
              </w:tc>
            </w:tr>
            <w:tr w14:paraId="7360C0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6" w:type="dxa"/>
                  <w:noWrap w:val="0"/>
                  <w:vAlign w:val="center"/>
                </w:tcPr>
                <w:p w14:paraId="5929B6CC">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DA001</w:t>
                  </w:r>
                </w:p>
              </w:tc>
              <w:tc>
                <w:tcPr>
                  <w:tcW w:w="2134" w:type="dxa"/>
                  <w:noWrap w:val="0"/>
                  <w:vAlign w:val="center"/>
                </w:tcPr>
                <w:p w14:paraId="7E4C0853">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szCs w:val="21"/>
                      <w:lang w:eastAsia="zh-CN"/>
                    </w:rPr>
                  </w:pPr>
                  <w:r>
                    <w:rPr>
                      <w:rFonts w:hint="eastAsia" w:ascii="宋体" w:hAnsi="宋体" w:eastAsia="宋体" w:cs="宋体"/>
                      <w:szCs w:val="21"/>
                      <w:lang w:val="en-US" w:eastAsia="zh-CN"/>
                    </w:rPr>
                    <w:t>颗粒物</w:t>
                  </w:r>
                </w:p>
              </w:tc>
              <w:tc>
                <w:tcPr>
                  <w:tcW w:w="1127" w:type="dxa"/>
                  <w:noWrap w:val="0"/>
                  <w:vAlign w:val="center"/>
                </w:tcPr>
                <w:p w14:paraId="552B283E">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1次/年</w:t>
                  </w:r>
                </w:p>
              </w:tc>
              <w:tc>
                <w:tcPr>
                  <w:tcW w:w="3801" w:type="dxa"/>
                  <w:vMerge w:val="restart"/>
                  <w:noWrap w:val="0"/>
                  <w:vAlign w:val="center"/>
                </w:tcPr>
                <w:p w14:paraId="7675A94D">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eastAsia="zh-CN"/>
                    </w:rPr>
                  </w:pPr>
                  <w:r>
                    <w:rPr>
                      <w:rFonts w:hint="eastAsia" w:ascii="宋体" w:hAnsi="宋体" w:eastAsia="宋体" w:cs="宋体"/>
                      <w:sz w:val="21"/>
                      <w:szCs w:val="21"/>
                    </w:rPr>
                    <w:t>《工业涂装工序大气污染物排放标准》（DB32/4439-2022）表1</w:t>
                  </w:r>
                </w:p>
              </w:tc>
            </w:tr>
            <w:tr w14:paraId="2716F0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6" w:type="dxa"/>
                  <w:noWrap w:val="0"/>
                  <w:vAlign w:val="center"/>
                </w:tcPr>
                <w:p w14:paraId="12CA5AFA">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DA002</w:t>
                  </w:r>
                </w:p>
              </w:tc>
              <w:tc>
                <w:tcPr>
                  <w:tcW w:w="2134" w:type="dxa"/>
                  <w:noWrap w:val="0"/>
                  <w:vAlign w:val="center"/>
                </w:tcPr>
                <w:p w14:paraId="76DFA2B3">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szCs w:val="21"/>
                      <w:lang w:eastAsia="zh-CN"/>
                    </w:rPr>
                  </w:pPr>
                  <w:r>
                    <w:rPr>
                      <w:rFonts w:hint="eastAsia" w:ascii="宋体" w:hAnsi="宋体" w:eastAsia="宋体" w:cs="宋体"/>
                      <w:szCs w:val="21"/>
                      <w:lang w:val="en-US" w:eastAsia="zh-CN"/>
                    </w:rPr>
                    <w:t>颗粒物</w:t>
                  </w:r>
                </w:p>
              </w:tc>
              <w:tc>
                <w:tcPr>
                  <w:tcW w:w="1127" w:type="dxa"/>
                  <w:noWrap w:val="0"/>
                  <w:vAlign w:val="center"/>
                </w:tcPr>
                <w:p w14:paraId="35D9A03C">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1次/年</w:t>
                  </w:r>
                </w:p>
              </w:tc>
              <w:tc>
                <w:tcPr>
                  <w:tcW w:w="3801" w:type="dxa"/>
                  <w:vMerge w:val="continue"/>
                  <w:noWrap w:val="0"/>
                  <w:vAlign w:val="center"/>
                </w:tcPr>
                <w:p w14:paraId="73352173">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eastAsia="zh-CN"/>
                    </w:rPr>
                  </w:pPr>
                </w:p>
              </w:tc>
            </w:tr>
            <w:tr w14:paraId="093608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6" w:type="dxa"/>
                  <w:noWrap w:val="0"/>
                  <w:vAlign w:val="center"/>
                </w:tcPr>
                <w:p w14:paraId="63395E40">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DA00</w:t>
                  </w:r>
                  <w:r>
                    <w:rPr>
                      <w:rFonts w:hint="eastAsia" w:ascii="宋体" w:hAnsi="宋体" w:eastAsia="宋体" w:cs="宋体"/>
                      <w:sz w:val="21"/>
                      <w:szCs w:val="21"/>
                      <w:lang w:val="en-US" w:eastAsia="zh-CN"/>
                    </w:rPr>
                    <w:t>5</w:t>
                  </w:r>
                </w:p>
              </w:tc>
              <w:tc>
                <w:tcPr>
                  <w:tcW w:w="2134" w:type="dxa"/>
                  <w:noWrap w:val="0"/>
                  <w:vAlign w:val="center"/>
                </w:tcPr>
                <w:p w14:paraId="207422B5">
                  <w:pPr>
                    <w:pStyle w:val="13"/>
                    <w:keepNext w:val="0"/>
                    <w:keepLines w:val="0"/>
                    <w:suppressLineNumbers w:val="0"/>
                    <w:snapToGrid w:val="0"/>
                    <w:spacing w:before="0" w:beforeAutospacing="0" w:after="0" w:afterAutospacing="0" w:line="240" w:lineRule="atLeast"/>
                    <w:ind w:left="0" w:leftChars="0" w:right="0" w:rightChars="0" w:firstLine="0" w:firstLineChars="0"/>
                    <w:jc w:val="center"/>
                    <w:textAlignment w:val="baseline"/>
                    <w:rPr>
                      <w:rFonts w:hint="eastAsia" w:ascii="宋体" w:hAnsi="宋体" w:eastAsia="宋体" w:cs="宋体"/>
                      <w:kern w:val="44"/>
                      <w:sz w:val="21"/>
                      <w:szCs w:val="21"/>
                      <w:lang w:val="en-US" w:eastAsia="zh-CN" w:bidi="ar-SA"/>
                    </w:rPr>
                  </w:pPr>
                  <w:r>
                    <w:rPr>
                      <w:rFonts w:hint="eastAsia" w:ascii="宋体" w:hAnsi="宋体" w:eastAsia="宋体" w:cs="宋体"/>
                      <w:szCs w:val="21"/>
                    </w:rPr>
                    <w:t>非甲烷总烃</w:t>
                  </w:r>
                </w:p>
              </w:tc>
              <w:tc>
                <w:tcPr>
                  <w:tcW w:w="1127" w:type="dxa"/>
                  <w:noWrap w:val="0"/>
                  <w:vAlign w:val="center"/>
                </w:tcPr>
                <w:p w14:paraId="041E6A81">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1次/年</w:t>
                  </w:r>
                </w:p>
              </w:tc>
              <w:tc>
                <w:tcPr>
                  <w:tcW w:w="3801" w:type="dxa"/>
                  <w:vMerge w:val="continue"/>
                  <w:noWrap w:val="0"/>
                  <w:vAlign w:val="center"/>
                </w:tcPr>
                <w:p w14:paraId="1C30DC37">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eastAsia="zh-CN"/>
                    </w:rPr>
                  </w:pPr>
                </w:p>
              </w:tc>
            </w:tr>
            <w:tr w14:paraId="414303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6" w:type="dxa"/>
                  <w:noWrap w:val="0"/>
                  <w:vAlign w:val="center"/>
                </w:tcPr>
                <w:p w14:paraId="7690BF33">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eastAsia="zh-CN"/>
                    </w:rPr>
                  </w:pPr>
                  <w:r>
                    <w:rPr>
                      <w:rFonts w:hint="eastAsia" w:ascii="宋体" w:hAnsi="宋体" w:eastAsia="宋体" w:cs="宋体"/>
                      <w:sz w:val="21"/>
                      <w:szCs w:val="21"/>
                    </w:rPr>
                    <w:t>DA00</w:t>
                  </w:r>
                  <w:r>
                    <w:rPr>
                      <w:rFonts w:hint="eastAsia" w:ascii="宋体" w:hAnsi="宋体" w:eastAsia="宋体" w:cs="宋体"/>
                      <w:sz w:val="21"/>
                      <w:szCs w:val="21"/>
                      <w:lang w:val="en-US" w:eastAsia="zh-CN"/>
                    </w:rPr>
                    <w:t>3</w:t>
                  </w:r>
                </w:p>
              </w:tc>
              <w:tc>
                <w:tcPr>
                  <w:tcW w:w="2134" w:type="dxa"/>
                  <w:noWrap w:val="0"/>
                  <w:vAlign w:val="center"/>
                </w:tcPr>
                <w:p w14:paraId="364CF668">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szCs w:val="21"/>
                    </w:rPr>
                  </w:pPr>
                  <w:r>
                    <w:rPr>
                      <w:rFonts w:hint="eastAsia" w:ascii="宋体" w:hAnsi="宋体" w:eastAsia="宋体" w:cs="宋体"/>
                      <w:szCs w:val="21"/>
                      <w:lang w:eastAsia="zh-CN"/>
                    </w:rPr>
                    <w:t>颗粒物</w:t>
                  </w:r>
                </w:p>
              </w:tc>
              <w:tc>
                <w:tcPr>
                  <w:tcW w:w="1127" w:type="dxa"/>
                  <w:noWrap w:val="0"/>
                  <w:vAlign w:val="center"/>
                </w:tcPr>
                <w:p w14:paraId="236FC512">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1次/年</w:t>
                  </w:r>
                </w:p>
              </w:tc>
              <w:tc>
                <w:tcPr>
                  <w:tcW w:w="3801" w:type="dxa"/>
                  <w:noWrap w:val="0"/>
                  <w:vAlign w:val="center"/>
                </w:tcPr>
                <w:p w14:paraId="33B8FCEB">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《大气污染物综合排放标准》</w:t>
                  </w:r>
                </w:p>
                <w:p w14:paraId="394132F9">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（DB32/4041-2021）表1</w:t>
                  </w:r>
                </w:p>
              </w:tc>
            </w:tr>
            <w:tr w14:paraId="2AAE09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6" w:type="dxa"/>
                  <w:noWrap w:val="0"/>
                  <w:vAlign w:val="center"/>
                </w:tcPr>
                <w:p w14:paraId="61B5679B">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eastAsia="zh-CN"/>
                    </w:rPr>
                  </w:pPr>
                  <w:r>
                    <w:rPr>
                      <w:rFonts w:hint="eastAsia" w:ascii="宋体" w:hAnsi="宋体" w:eastAsia="宋体" w:cs="宋体"/>
                      <w:sz w:val="21"/>
                      <w:szCs w:val="21"/>
                    </w:rPr>
                    <w:t>DA00</w:t>
                  </w:r>
                  <w:r>
                    <w:rPr>
                      <w:rFonts w:hint="eastAsia" w:ascii="宋体" w:hAnsi="宋体" w:eastAsia="宋体" w:cs="宋体"/>
                      <w:sz w:val="21"/>
                      <w:szCs w:val="21"/>
                      <w:lang w:val="en-US" w:eastAsia="zh-CN"/>
                    </w:rPr>
                    <w:t>4</w:t>
                  </w:r>
                </w:p>
              </w:tc>
              <w:tc>
                <w:tcPr>
                  <w:tcW w:w="2134" w:type="dxa"/>
                  <w:noWrap w:val="0"/>
                  <w:vAlign w:val="center"/>
                </w:tcPr>
                <w:p w14:paraId="23CA3393">
                  <w:pPr>
                    <w:pStyle w:val="13"/>
                    <w:keepNext w:val="0"/>
                    <w:keepLines w:val="0"/>
                    <w:suppressLineNumbers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szCs w:val="21"/>
                    </w:rPr>
                  </w:pPr>
                  <w:r>
                    <w:rPr>
                      <w:rFonts w:hint="eastAsia" w:ascii="宋体" w:hAnsi="宋体" w:eastAsia="宋体" w:cs="宋体"/>
                      <w:szCs w:val="21"/>
                      <w:lang w:eastAsia="zh-CN"/>
                    </w:rPr>
                    <w:t>颗粒物、</w:t>
                  </w:r>
                  <w:r>
                    <w:rPr>
                      <w:rFonts w:hint="eastAsia" w:ascii="宋体" w:hAnsi="宋体" w:eastAsia="宋体" w:cs="宋体"/>
                      <w:szCs w:val="21"/>
                    </w:rPr>
                    <w:t>二氧化硫、氮氧化物</w:t>
                  </w:r>
                </w:p>
              </w:tc>
              <w:tc>
                <w:tcPr>
                  <w:tcW w:w="1127" w:type="dxa"/>
                  <w:noWrap w:val="0"/>
                  <w:vAlign w:val="center"/>
                </w:tcPr>
                <w:p w14:paraId="20556FD0">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1次/年</w:t>
                  </w:r>
                </w:p>
              </w:tc>
              <w:tc>
                <w:tcPr>
                  <w:tcW w:w="3801" w:type="dxa"/>
                  <w:noWrap w:val="0"/>
                  <w:vAlign w:val="center"/>
                </w:tcPr>
                <w:p w14:paraId="4AAD0E86">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《锅炉大气污染物排放标准》（DB32/4385-2022）表1</w:t>
                  </w:r>
                </w:p>
              </w:tc>
            </w:tr>
            <w:tr w14:paraId="4C8D9A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196" w:type="dxa"/>
                  <w:noWrap w:val="0"/>
                  <w:vAlign w:val="center"/>
                </w:tcPr>
                <w:p w14:paraId="6AA57359">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厂界</w:t>
                  </w:r>
                </w:p>
              </w:tc>
              <w:tc>
                <w:tcPr>
                  <w:tcW w:w="2134" w:type="dxa"/>
                  <w:noWrap w:val="0"/>
                  <w:vAlign w:val="center"/>
                </w:tcPr>
                <w:p w14:paraId="707F55D3">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eastAsia="zh-CN"/>
                    </w:rPr>
                  </w:pPr>
                  <w:r>
                    <w:rPr>
                      <w:rFonts w:hint="eastAsia" w:ascii="宋体" w:hAnsi="宋体" w:eastAsia="宋体" w:cs="宋体"/>
                      <w:sz w:val="21"/>
                      <w:szCs w:val="21"/>
                    </w:rPr>
                    <w:t>颗粒物、非甲烷总烃</w:t>
                  </w:r>
                </w:p>
              </w:tc>
              <w:tc>
                <w:tcPr>
                  <w:tcW w:w="1127" w:type="dxa"/>
                  <w:noWrap w:val="0"/>
                  <w:vAlign w:val="center"/>
                </w:tcPr>
                <w:p w14:paraId="3D57A92E">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1次/半年</w:t>
                  </w:r>
                </w:p>
              </w:tc>
              <w:tc>
                <w:tcPr>
                  <w:tcW w:w="3801" w:type="dxa"/>
                  <w:noWrap w:val="0"/>
                  <w:vAlign w:val="center"/>
                </w:tcPr>
                <w:p w14:paraId="28A4E10E">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《大气污染物综合排放标准》</w:t>
                  </w:r>
                </w:p>
                <w:p w14:paraId="301AE479">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（DB32/4041-2021）表3</w:t>
                  </w:r>
                </w:p>
              </w:tc>
            </w:tr>
            <w:tr w14:paraId="05589F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196" w:type="dxa"/>
                  <w:noWrap w:val="0"/>
                  <w:vAlign w:val="center"/>
                </w:tcPr>
                <w:p w14:paraId="2DFE70A9">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lang w:bidi="ar"/>
                    </w:rPr>
                    <w:t>涂装工段旁</w:t>
                  </w:r>
                </w:p>
              </w:tc>
              <w:tc>
                <w:tcPr>
                  <w:tcW w:w="2134" w:type="dxa"/>
                  <w:noWrap w:val="0"/>
                  <w:vAlign w:val="center"/>
                </w:tcPr>
                <w:p w14:paraId="7C514DC3">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非甲烷总烃</w:t>
                  </w:r>
                </w:p>
              </w:tc>
              <w:tc>
                <w:tcPr>
                  <w:tcW w:w="1127" w:type="dxa"/>
                  <w:noWrap w:val="0"/>
                  <w:vAlign w:val="center"/>
                </w:tcPr>
                <w:p w14:paraId="13BF9D82">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季度/次</w:t>
                  </w:r>
                </w:p>
              </w:tc>
              <w:tc>
                <w:tcPr>
                  <w:tcW w:w="3801" w:type="dxa"/>
                  <w:noWrap w:val="0"/>
                  <w:vAlign w:val="center"/>
                </w:tcPr>
                <w:p w14:paraId="0BBE8A64">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《工业涂装工序大气污染物排放标准》（DB32/4439-2022）表3</w:t>
                  </w:r>
                </w:p>
              </w:tc>
            </w:tr>
          </w:tbl>
          <w:p w14:paraId="41D23A4C">
            <w:pPr>
              <w:keepNext w:val="0"/>
              <w:keepLines w:val="0"/>
              <w:suppressLineNumbers w:val="0"/>
              <w:adjustRightInd w:val="0"/>
              <w:snapToGrid w:val="0"/>
              <w:spacing w:before="0" w:beforeAutospacing="0" w:after="0" w:afterAutospacing="0"/>
              <w:ind w:left="0" w:right="0"/>
              <w:rPr>
                <w:rFonts w:hint="eastAsia" w:ascii="宋体" w:hAnsi="宋体" w:eastAsia="宋体" w:cs="宋体"/>
              </w:rPr>
            </w:pPr>
            <w:r>
              <w:rPr>
                <w:rFonts w:hint="eastAsia" w:ascii="宋体" w:hAnsi="宋体" w:eastAsia="宋体" w:cs="宋体"/>
              </w:rPr>
              <w:t>二、废水</w:t>
            </w:r>
          </w:p>
          <w:p w14:paraId="491DB4AF">
            <w:pPr>
              <w:pStyle w:val="44"/>
              <w:keepNext w:val="0"/>
              <w:keepLines w:val="0"/>
              <w:suppressLineNumbers w:val="0"/>
              <w:snapToGrid w:val="0"/>
              <w:spacing w:before="0" w:beforeAutospacing="0" w:after="0" w:afterAutospacing="0"/>
              <w:ind w:left="0" w:right="0" w:firstLine="0" w:firstLineChars="0"/>
              <w:jc w:val="both"/>
              <w:rPr>
                <w:rFonts w:hint="eastAsia" w:ascii="宋体" w:hAnsi="宋体" w:eastAsia="宋体" w:cs="宋体"/>
                <w:b w:val="0"/>
                <w:kern w:val="2"/>
                <w:szCs w:val="24"/>
              </w:rPr>
            </w:pPr>
            <w:r>
              <w:rPr>
                <w:rFonts w:hint="eastAsia" w:ascii="宋体" w:hAnsi="宋体" w:eastAsia="宋体" w:cs="宋体"/>
                <w:b w:val="0"/>
                <w:kern w:val="2"/>
                <w:szCs w:val="24"/>
              </w:rPr>
              <w:t>1、废水源强核算</w:t>
            </w:r>
          </w:p>
          <w:p w14:paraId="4F7779F5">
            <w:pPr>
              <w:pStyle w:val="1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rPr>
            </w:pPr>
            <w:r>
              <w:rPr>
                <w:rFonts w:hint="eastAsia" w:ascii="宋体" w:hAnsi="宋体" w:eastAsia="宋体" w:cs="宋体"/>
              </w:rPr>
              <w:t>厂区内实行雨污分流制，本项目采用雨污分流制，雨水经厂区雨水管网收集排入市政雨水管网</w:t>
            </w:r>
            <w:r>
              <w:rPr>
                <w:rFonts w:hint="eastAsia" w:ascii="宋体" w:hAnsi="宋体" w:eastAsia="宋体" w:cs="宋体"/>
                <w:lang w:eastAsia="zh-CN"/>
              </w:rPr>
              <w:t>，</w:t>
            </w:r>
            <w:r>
              <w:rPr>
                <w:rFonts w:hint="eastAsia" w:ascii="宋体" w:hAnsi="宋体" w:eastAsia="宋体" w:cs="宋体"/>
              </w:rPr>
              <w:t>本项目产生的</w:t>
            </w:r>
            <w:r>
              <w:rPr>
                <w:rFonts w:hint="eastAsia" w:ascii="宋体" w:hAnsi="宋体" w:eastAsia="宋体" w:cs="宋体"/>
                <w:lang w:val="en-US" w:eastAsia="zh-CN"/>
              </w:rPr>
              <w:t>生活污水经化粪池处理后通过市政污水管网进入句容市边城镇污水处理厂处理；水洗废水定期排至厂内污水处理站处理后回用于水洗工段，不外排</w:t>
            </w:r>
            <w:r>
              <w:rPr>
                <w:rFonts w:hint="eastAsia" w:ascii="宋体" w:hAnsi="宋体" w:eastAsia="宋体" w:cs="宋体"/>
              </w:rPr>
              <w:t>。</w:t>
            </w:r>
          </w:p>
          <w:p w14:paraId="5AD5DEA9">
            <w:pPr>
              <w:pStyle w:val="1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宋体" w:hAnsi="宋体" w:eastAsia="宋体" w:cs="宋体"/>
                <w:lang w:val="en-US" w:eastAsia="zh-CN"/>
              </w:rPr>
            </w:pPr>
            <w:r>
              <w:rPr>
                <w:rFonts w:hint="eastAsia" w:ascii="宋体" w:hAnsi="宋体" w:eastAsia="宋体" w:cs="宋体"/>
              </w:rPr>
              <w:t>根据水平衡分析，本项目</w:t>
            </w:r>
            <w:r>
              <w:rPr>
                <w:rFonts w:hint="eastAsia" w:ascii="宋体" w:hAnsi="宋体" w:eastAsia="宋体" w:cs="宋体"/>
                <w:lang w:val="en-US" w:eastAsia="zh-CN"/>
              </w:rPr>
              <w:t>污水处理站处理水</w:t>
            </w:r>
            <w:r>
              <w:rPr>
                <w:rFonts w:hint="eastAsia" w:ascii="宋体" w:hAnsi="宋体" w:eastAsia="宋体" w:cs="宋体"/>
              </w:rPr>
              <w:t>量为</w:t>
            </w:r>
            <w:r>
              <w:rPr>
                <w:rFonts w:hint="eastAsia" w:ascii="宋体" w:hAnsi="宋体" w:eastAsia="宋体" w:cs="宋体"/>
                <w:lang w:val="en-US" w:eastAsia="zh-CN"/>
              </w:rPr>
              <w:t>110.4</w:t>
            </w:r>
            <w:r>
              <w:rPr>
                <w:rFonts w:hint="eastAsia" w:ascii="宋体" w:hAnsi="宋体" w:eastAsia="宋体" w:cs="宋体"/>
              </w:rPr>
              <w:t>t/a</w:t>
            </w:r>
            <w:r>
              <w:rPr>
                <w:rFonts w:hint="eastAsia" w:ascii="宋体" w:hAnsi="宋体" w:eastAsia="宋体" w:cs="宋体"/>
                <w:lang w:eastAsia="zh-CN"/>
              </w:rPr>
              <w:t>（</w:t>
            </w:r>
            <w:r>
              <w:rPr>
                <w:rFonts w:hint="eastAsia" w:ascii="宋体" w:hAnsi="宋体" w:eastAsia="宋体" w:cs="宋体"/>
                <w:lang w:val="en-US" w:eastAsia="zh-CN"/>
              </w:rPr>
              <w:t>2.3t/周×48周</w:t>
            </w:r>
            <w:r>
              <w:rPr>
                <w:rFonts w:hint="eastAsia" w:ascii="宋体" w:hAnsi="宋体" w:eastAsia="宋体" w:cs="宋体"/>
                <w:lang w:eastAsia="zh-CN"/>
              </w:rPr>
              <w:t>）</w:t>
            </w:r>
            <w:r>
              <w:rPr>
                <w:rFonts w:hint="eastAsia" w:ascii="宋体" w:hAnsi="宋体" w:eastAsia="宋体" w:cs="宋体"/>
              </w:rPr>
              <w:t>，水洗废水经污水处理站处理后</w:t>
            </w:r>
            <w:r>
              <w:rPr>
                <w:rFonts w:hint="eastAsia" w:ascii="宋体" w:hAnsi="宋体" w:eastAsia="宋体" w:cs="宋体"/>
                <w:lang w:eastAsia="zh-CN"/>
              </w:rPr>
              <w:t>回用于水洗工序</w:t>
            </w:r>
            <w:r>
              <w:rPr>
                <w:rFonts w:hint="eastAsia" w:ascii="宋体" w:hAnsi="宋体" w:eastAsia="宋体" w:cs="宋体"/>
              </w:rPr>
              <w:t xml:space="preserve">。废水主要污染物为COD、SS、石油类，产生浓度类比《江苏研图科技材料有限公司年产30万平方米幕墙铝单板生产线新建项目竣工环境保护验收监测报告》（2022年10月，污水处理站进口检测数据），污染物产生情况：COD 412mg/L、SS </w:t>
            </w:r>
            <w:r>
              <w:rPr>
                <w:rFonts w:hint="eastAsia" w:ascii="宋体" w:hAnsi="宋体" w:eastAsia="宋体" w:cs="宋体"/>
                <w:lang w:eastAsia="zh-CN"/>
              </w:rPr>
              <w:t>190</w:t>
            </w:r>
            <w:r>
              <w:rPr>
                <w:rFonts w:hint="eastAsia" w:ascii="宋体" w:hAnsi="宋体" w:eastAsia="宋体" w:cs="宋体"/>
              </w:rPr>
              <w:t>mg/L、石油类1.26mg/L。</w:t>
            </w:r>
            <w:r>
              <w:rPr>
                <w:rFonts w:hint="eastAsia" w:ascii="宋体" w:hAnsi="宋体" w:eastAsia="宋体" w:cs="宋体"/>
                <w:lang w:val="en-US" w:eastAsia="zh-CN"/>
              </w:rPr>
              <w:t>该企业从事表面预处理工艺（脱脂、硅烷），使用的脱脂剂、硅烷剂成分与本项目基本一致。</w:t>
            </w:r>
          </w:p>
          <w:p w14:paraId="5C25C61E">
            <w:pPr>
              <w:pStyle w:val="1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bCs/>
                <w:color w:val="auto"/>
              </w:rPr>
            </w:pPr>
            <w:r>
              <w:rPr>
                <w:rFonts w:hint="eastAsia" w:ascii="宋体" w:hAnsi="宋体" w:eastAsia="宋体" w:cs="宋体"/>
                <w:bCs/>
                <w:color w:val="auto"/>
                <w:kern w:val="2"/>
                <w:sz w:val="24"/>
                <w:szCs w:val="24"/>
                <w:lang w:bidi="ar"/>
              </w:rPr>
              <w:t>废水污染物产生及预计排放情况见表4-</w:t>
            </w:r>
            <w:r>
              <w:rPr>
                <w:rFonts w:hint="eastAsia" w:ascii="宋体" w:hAnsi="宋体" w:eastAsia="宋体" w:cs="宋体"/>
                <w:bCs/>
                <w:color w:val="auto"/>
                <w:kern w:val="2"/>
                <w:sz w:val="24"/>
                <w:szCs w:val="24"/>
                <w:lang w:val="en-US" w:eastAsia="zh-CN" w:bidi="ar"/>
              </w:rPr>
              <w:t>11</w:t>
            </w:r>
            <w:r>
              <w:rPr>
                <w:rFonts w:hint="eastAsia" w:ascii="宋体" w:hAnsi="宋体" w:eastAsia="宋体" w:cs="宋体"/>
                <w:bCs/>
                <w:color w:val="auto"/>
                <w:kern w:val="2"/>
                <w:sz w:val="24"/>
                <w:szCs w:val="24"/>
                <w:lang w:bidi="ar"/>
              </w:rPr>
              <w:t>。</w:t>
            </w:r>
            <w:bookmarkStart w:id="166" w:name="_Toc29612"/>
            <w:bookmarkStart w:id="167" w:name="_Toc2514"/>
          </w:p>
          <w:p w14:paraId="092B8A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center"/>
              <w:textAlignment w:val="auto"/>
              <w:outlineLvl w:val="0"/>
              <w:rPr>
                <w:rFonts w:hint="eastAsia" w:ascii="宋体" w:hAnsi="宋体" w:eastAsia="宋体" w:cs="宋体"/>
                <w:b/>
                <w:bCs/>
                <w:color w:val="auto"/>
                <w:szCs w:val="21"/>
              </w:rPr>
            </w:pPr>
            <w:r>
              <w:rPr>
                <w:rFonts w:hint="eastAsia" w:ascii="宋体" w:hAnsi="宋体" w:eastAsia="宋体" w:cs="宋体"/>
                <w:b/>
                <w:bCs w:val="0"/>
                <w:color w:val="auto"/>
              </w:rPr>
              <w:t>表4-</w:t>
            </w:r>
            <w:r>
              <w:rPr>
                <w:rFonts w:hint="eastAsia" w:ascii="宋体" w:hAnsi="宋体" w:eastAsia="宋体" w:cs="宋体"/>
                <w:b/>
                <w:bCs w:val="0"/>
                <w:color w:val="auto"/>
                <w:lang w:val="en-US" w:eastAsia="zh-CN"/>
              </w:rPr>
              <w:t>11</w:t>
            </w:r>
            <w:r>
              <w:rPr>
                <w:rFonts w:hint="eastAsia" w:ascii="宋体" w:hAnsi="宋体" w:eastAsia="宋体" w:cs="宋体"/>
                <w:b/>
                <w:bCs w:val="0"/>
                <w:color w:val="auto"/>
              </w:rPr>
              <w:t xml:space="preserve"> 本项目废水污染源核算结果及相关参数一览表</w:t>
            </w:r>
            <w:bookmarkEnd w:id="166"/>
            <w:bookmarkEnd w:id="167"/>
          </w:p>
          <w:tbl>
            <w:tblPr>
              <w:tblStyle w:val="30"/>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2"/>
              <w:gridCol w:w="978"/>
              <w:gridCol w:w="1225"/>
              <w:gridCol w:w="1009"/>
              <w:gridCol w:w="1035"/>
              <w:gridCol w:w="1143"/>
              <w:gridCol w:w="1029"/>
              <w:gridCol w:w="1228"/>
            </w:tblGrid>
            <w:tr w14:paraId="24D96A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tcBorders>
                    <w:tl2br w:val="nil"/>
                    <w:tr2bl w:val="nil"/>
                  </w:tcBorders>
                  <w:noWrap w:val="0"/>
                  <w:vAlign w:val="center"/>
                </w:tcPr>
                <w:p w14:paraId="604BEB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color w:val="auto"/>
                      <w:kern w:val="0"/>
                      <w:sz w:val="21"/>
                      <w:szCs w:val="21"/>
                    </w:rPr>
                  </w:pPr>
                  <w:r>
                    <w:rPr>
                      <w:rFonts w:hint="eastAsia" w:ascii="宋体" w:hAnsi="宋体" w:eastAsia="宋体" w:cs="宋体"/>
                      <w:b/>
                      <w:color w:val="auto"/>
                      <w:kern w:val="0"/>
                      <w:sz w:val="21"/>
                      <w:szCs w:val="21"/>
                    </w:rPr>
                    <w:t>类别</w:t>
                  </w:r>
                </w:p>
              </w:tc>
              <w:tc>
                <w:tcPr>
                  <w:tcW w:w="584" w:type="pct"/>
                  <w:tcBorders>
                    <w:tl2br w:val="nil"/>
                    <w:tr2bl w:val="nil"/>
                  </w:tcBorders>
                  <w:noWrap w:val="0"/>
                  <w:vAlign w:val="center"/>
                </w:tcPr>
                <w:p w14:paraId="75A1B1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color w:val="auto"/>
                      <w:kern w:val="0"/>
                      <w:sz w:val="21"/>
                      <w:szCs w:val="21"/>
                    </w:rPr>
                  </w:pPr>
                  <w:r>
                    <w:rPr>
                      <w:rFonts w:hint="eastAsia" w:ascii="宋体" w:hAnsi="宋体" w:eastAsia="宋体" w:cs="宋体"/>
                      <w:b/>
                      <w:color w:val="auto"/>
                      <w:kern w:val="0"/>
                      <w:sz w:val="21"/>
                      <w:szCs w:val="21"/>
                    </w:rPr>
                    <w:t>污染</w:t>
                  </w:r>
                </w:p>
                <w:p w14:paraId="7C3DF5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color w:val="auto"/>
                      <w:kern w:val="0"/>
                      <w:sz w:val="21"/>
                      <w:szCs w:val="21"/>
                    </w:rPr>
                  </w:pPr>
                  <w:r>
                    <w:rPr>
                      <w:rFonts w:hint="eastAsia" w:ascii="宋体" w:hAnsi="宋体" w:eastAsia="宋体" w:cs="宋体"/>
                      <w:b/>
                      <w:color w:val="auto"/>
                      <w:kern w:val="0"/>
                      <w:sz w:val="21"/>
                      <w:szCs w:val="21"/>
                    </w:rPr>
                    <w:t>因子</w:t>
                  </w:r>
                </w:p>
              </w:tc>
              <w:tc>
                <w:tcPr>
                  <w:tcW w:w="732" w:type="pct"/>
                  <w:tcBorders>
                    <w:tl2br w:val="nil"/>
                    <w:tr2bl w:val="nil"/>
                  </w:tcBorders>
                  <w:noWrap w:val="0"/>
                  <w:vAlign w:val="center"/>
                </w:tcPr>
                <w:p w14:paraId="430DF9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产生浓度(mg/L)</w:t>
                  </w:r>
                </w:p>
              </w:tc>
              <w:tc>
                <w:tcPr>
                  <w:tcW w:w="603" w:type="pct"/>
                  <w:tcBorders>
                    <w:tl2br w:val="nil"/>
                    <w:tr2bl w:val="nil"/>
                  </w:tcBorders>
                  <w:noWrap w:val="0"/>
                  <w:vAlign w:val="center"/>
                </w:tcPr>
                <w:p w14:paraId="02C023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产生量(t/a)</w:t>
                  </w:r>
                </w:p>
              </w:tc>
              <w:tc>
                <w:tcPr>
                  <w:tcW w:w="619" w:type="pct"/>
                  <w:tcBorders>
                    <w:tl2br w:val="nil"/>
                    <w:tr2bl w:val="nil"/>
                  </w:tcBorders>
                  <w:noWrap w:val="0"/>
                  <w:vAlign w:val="center"/>
                </w:tcPr>
                <w:p w14:paraId="7D16E4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治理</w:t>
                  </w:r>
                </w:p>
                <w:p w14:paraId="709AFC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方式</w:t>
                  </w:r>
                </w:p>
              </w:tc>
              <w:tc>
                <w:tcPr>
                  <w:tcW w:w="683" w:type="pct"/>
                  <w:tcBorders>
                    <w:tl2br w:val="nil"/>
                    <w:tr2bl w:val="nil"/>
                  </w:tcBorders>
                  <w:noWrap w:val="0"/>
                  <w:vAlign w:val="center"/>
                </w:tcPr>
                <w:p w14:paraId="1B3606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color w:val="auto"/>
                      <w:kern w:val="0"/>
                      <w:sz w:val="21"/>
                      <w:szCs w:val="21"/>
                    </w:rPr>
                  </w:pPr>
                  <w:r>
                    <w:rPr>
                      <w:rFonts w:hint="eastAsia" w:ascii="宋体" w:hAnsi="宋体" w:eastAsia="宋体" w:cs="宋体"/>
                      <w:b/>
                      <w:color w:val="auto"/>
                      <w:kern w:val="0"/>
                      <w:sz w:val="21"/>
                      <w:szCs w:val="21"/>
                    </w:rPr>
                    <w:t>接管浓度</w:t>
                  </w:r>
                </w:p>
                <w:p w14:paraId="2F0D48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color w:val="auto"/>
                      <w:kern w:val="0"/>
                      <w:sz w:val="21"/>
                      <w:szCs w:val="21"/>
                    </w:rPr>
                  </w:pPr>
                  <w:r>
                    <w:rPr>
                      <w:rFonts w:hint="eastAsia" w:ascii="宋体" w:hAnsi="宋体" w:eastAsia="宋体" w:cs="宋体"/>
                      <w:b/>
                      <w:color w:val="auto"/>
                      <w:kern w:val="0"/>
                      <w:sz w:val="21"/>
                      <w:szCs w:val="21"/>
                    </w:rPr>
                    <w:t>（mg/L）</w:t>
                  </w:r>
                </w:p>
              </w:tc>
              <w:tc>
                <w:tcPr>
                  <w:tcW w:w="615" w:type="pct"/>
                  <w:tcBorders>
                    <w:tl2br w:val="nil"/>
                    <w:tr2bl w:val="nil"/>
                  </w:tcBorders>
                  <w:noWrap w:val="0"/>
                  <w:vAlign w:val="center"/>
                </w:tcPr>
                <w:p w14:paraId="5B2CD6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color w:val="auto"/>
                      <w:kern w:val="0"/>
                      <w:sz w:val="21"/>
                      <w:szCs w:val="21"/>
                    </w:rPr>
                  </w:pPr>
                  <w:r>
                    <w:rPr>
                      <w:rFonts w:hint="eastAsia" w:ascii="宋体" w:hAnsi="宋体" w:eastAsia="宋体" w:cs="宋体"/>
                      <w:b/>
                      <w:color w:val="auto"/>
                      <w:kern w:val="0"/>
                      <w:sz w:val="21"/>
                      <w:szCs w:val="21"/>
                    </w:rPr>
                    <w:t>接管量</w:t>
                  </w:r>
                </w:p>
                <w:p w14:paraId="16DD6A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color w:val="auto"/>
                      <w:kern w:val="0"/>
                      <w:sz w:val="21"/>
                      <w:szCs w:val="21"/>
                    </w:rPr>
                  </w:pPr>
                  <w:r>
                    <w:rPr>
                      <w:rFonts w:hint="eastAsia" w:ascii="宋体" w:hAnsi="宋体" w:eastAsia="宋体" w:cs="宋体"/>
                      <w:b/>
                      <w:color w:val="auto"/>
                      <w:kern w:val="0"/>
                      <w:sz w:val="21"/>
                      <w:szCs w:val="21"/>
                    </w:rPr>
                    <w:t>(t/a)</w:t>
                  </w:r>
                </w:p>
              </w:tc>
              <w:tc>
                <w:tcPr>
                  <w:tcW w:w="734" w:type="pct"/>
                  <w:tcBorders>
                    <w:tl2br w:val="nil"/>
                    <w:tr2bl w:val="nil"/>
                  </w:tcBorders>
                  <w:noWrap w:val="0"/>
                  <w:vAlign w:val="center"/>
                </w:tcPr>
                <w:p w14:paraId="4741FC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color w:val="auto"/>
                      <w:kern w:val="0"/>
                      <w:sz w:val="21"/>
                      <w:szCs w:val="21"/>
                    </w:rPr>
                  </w:pPr>
                  <w:r>
                    <w:rPr>
                      <w:rFonts w:hint="eastAsia" w:ascii="宋体" w:hAnsi="宋体" w:eastAsia="宋体" w:cs="宋体"/>
                      <w:b/>
                      <w:color w:val="auto"/>
                      <w:kern w:val="0"/>
                      <w:sz w:val="21"/>
                      <w:szCs w:val="21"/>
                    </w:rPr>
                    <w:t>外排环境量(t/a)</w:t>
                  </w:r>
                </w:p>
              </w:tc>
            </w:tr>
            <w:tr w14:paraId="3ACB9B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restart"/>
                  <w:tcBorders>
                    <w:tl2br w:val="nil"/>
                    <w:tr2bl w:val="nil"/>
                  </w:tcBorders>
                  <w:noWrap w:val="0"/>
                  <w:vAlign w:val="center"/>
                </w:tcPr>
                <w:p w14:paraId="78AB2E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生活</w:t>
                  </w:r>
                </w:p>
                <w:p w14:paraId="5EB32B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rPr>
                    <w:t>污</w:t>
                  </w:r>
                  <w:r>
                    <w:rPr>
                      <w:rFonts w:hint="eastAsia" w:ascii="宋体" w:hAnsi="宋体" w:eastAsia="宋体" w:cs="宋体"/>
                      <w:color w:val="auto"/>
                      <w:kern w:val="0"/>
                      <w:sz w:val="21"/>
                      <w:szCs w:val="21"/>
                    </w:rPr>
                    <w:t>水</w:t>
                  </w:r>
                  <w:r>
                    <w:rPr>
                      <w:rFonts w:hint="eastAsia" w:ascii="宋体" w:hAnsi="宋体" w:eastAsia="宋体" w:cs="宋体"/>
                      <w:color w:val="auto"/>
                      <w:kern w:val="0"/>
                      <w:sz w:val="21"/>
                      <w:szCs w:val="21"/>
                      <w:lang w:val="en-US" w:eastAsia="zh-CN"/>
                    </w:rPr>
                    <w:t>1207</w:t>
                  </w:r>
                  <w:r>
                    <w:rPr>
                      <w:rFonts w:hint="eastAsia" w:ascii="宋体" w:hAnsi="宋体" w:eastAsia="宋体" w:cs="宋体"/>
                      <w:color w:val="auto"/>
                      <w:kern w:val="0"/>
                      <w:sz w:val="21"/>
                      <w:szCs w:val="21"/>
                    </w:rPr>
                    <w:t>t/a</w:t>
                  </w:r>
                </w:p>
              </w:tc>
              <w:tc>
                <w:tcPr>
                  <w:tcW w:w="584" w:type="pct"/>
                  <w:tcBorders>
                    <w:tl2br w:val="nil"/>
                    <w:tr2bl w:val="nil"/>
                  </w:tcBorders>
                  <w:noWrap w:val="0"/>
                  <w:vAlign w:val="center"/>
                </w:tcPr>
                <w:p w14:paraId="1BD9CE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COD</w:t>
                  </w:r>
                </w:p>
              </w:tc>
              <w:tc>
                <w:tcPr>
                  <w:tcW w:w="732" w:type="pct"/>
                  <w:tcBorders>
                    <w:tl2br w:val="nil"/>
                    <w:tr2bl w:val="nil"/>
                  </w:tcBorders>
                  <w:noWrap w:val="0"/>
                  <w:vAlign w:val="center"/>
                </w:tcPr>
                <w:p w14:paraId="561760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550</w:t>
                  </w:r>
                </w:p>
              </w:tc>
              <w:tc>
                <w:tcPr>
                  <w:tcW w:w="603" w:type="pct"/>
                  <w:tcBorders>
                    <w:tl2br w:val="nil"/>
                    <w:tr2bl w:val="nil"/>
                  </w:tcBorders>
                  <w:noWrap w:val="0"/>
                  <w:vAlign w:val="center"/>
                </w:tcPr>
                <w:p w14:paraId="690275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0.663</w:t>
                  </w:r>
                </w:p>
              </w:tc>
              <w:tc>
                <w:tcPr>
                  <w:tcW w:w="619" w:type="pct"/>
                  <w:vMerge w:val="restart"/>
                  <w:tcBorders>
                    <w:tl2br w:val="nil"/>
                    <w:tr2bl w:val="nil"/>
                  </w:tcBorders>
                  <w:noWrap w:val="0"/>
                  <w:vAlign w:val="center"/>
                </w:tcPr>
                <w:p w14:paraId="2C3902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化粪池</w:t>
                  </w:r>
                </w:p>
              </w:tc>
              <w:tc>
                <w:tcPr>
                  <w:tcW w:w="683" w:type="pct"/>
                  <w:tcBorders>
                    <w:tl2br w:val="nil"/>
                    <w:tr2bl w:val="nil"/>
                  </w:tcBorders>
                  <w:noWrap w:val="0"/>
                  <w:vAlign w:val="center"/>
                </w:tcPr>
                <w:p w14:paraId="60525A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500</w:t>
                  </w:r>
                </w:p>
              </w:tc>
              <w:tc>
                <w:tcPr>
                  <w:tcW w:w="615" w:type="pct"/>
                  <w:tcBorders>
                    <w:tl2br w:val="nil"/>
                    <w:tr2bl w:val="nil"/>
                  </w:tcBorders>
                  <w:noWrap w:val="0"/>
                  <w:vAlign w:val="center"/>
                </w:tcPr>
                <w:p w14:paraId="7D63C4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0.6</w:t>
                  </w:r>
                </w:p>
              </w:tc>
              <w:tc>
                <w:tcPr>
                  <w:tcW w:w="734" w:type="pct"/>
                  <w:tcBorders>
                    <w:tl2br w:val="nil"/>
                    <w:tr2bl w:val="nil"/>
                  </w:tcBorders>
                  <w:noWrap w:val="0"/>
                  <w:vAlign w:val="center"/>
                </w:tcPr>
                <w:p w14:paraId="31FAB4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0.06</w:t>
                  </w:r>
                </w:p>
              </w:tc>
            </w:tr>
            <w:tr w14:paraId="704AF9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tcBorders>
                    <w:tl2br w:val="nil"/>
                    <w:tr2bl w:val="nil"/>
                  </w:tcBorders>
                  <w:noWrap w:val="0"/>
                  <w:vAlign w:val="center"/>
                </w:tcPr>
                <w:p w14:paraId="2E5C42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left"/>
                    <w:textAlignment w:val="auto"/>
                    <w:rPr>
                      <w:rFonts w:hint="eastAsia" w:ascii="宋体" w:hAnsi="宋体" w:eastAsia="宋体" w:cs="宋体"/>
                      <w:color w:val="auto"/>
                      <w:kern w:val="0"/>
                      <w:sz w:val="21"/>
                      <w:szCs w:val="21"/>
                    </w:rPr>
                  </w:pPr>
                </w:p>
              </w:tc>
              <w:tc>
                <w:tcPr>
                  <w:tcW w:w="584" w:type="pct"/>
                  <w:tcBorders>
                    <w:tl2br w:val="nil"/>
                    <w:tr2bl w:val="nil"/>
                  </w:tcBorders>
                  <w:noWrap w:val="0"/>
                  <w:vAlign w:val="center"/>
                </w:tcPr>
                <w:p w14:paraId="3E4E7F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SS</w:t>
                  </w:r>
                </w:p>
              </w:tc>
              <w:tc>
                <w:tcPr>
                  <w:tcW w:w="732" w:type="pct"/>
                  <w:tcBorders>
                    <w:tl2br w:val="nil"/>
                    <w:tr2bl w:val="nil"/>
                  </w:tcBorders>
                  <w:noWrap w:val="0"/>
                  <w:vAlign w:val="center"/>
                </w:tcPr>
                <w:p w14:paraId="1410B2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450</w:t>
                  </w:r>
                </w:p>
              </w:tc>
              <w:tc>
                <w:tcPr>
                  <w:tcW w:w="603" w:type="pct"/>
                  <w:tcBorders>
                    <w:tl2br w:val="nil"/>
                    <w:tr2bl w:val="nil"/>
                  </w:tcBorders>
                  <w:noWrap w:val="0"/>
                  <w:vAlign w:val="center"/>
                </w:tcPr>
                <w:p w14:paraId="137890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0.543</w:t>
                  </w:r>
                </w:p>
              </w:tc>
              <w:tc>
                <w:tcPr>
                  <w:tcW w:w="619" w:type="pct"/>
                  <w:vMerge w:val="continue"/>
                  <w:tcBorders>
                    <w:tl2br w:val="nil"/>
                    <w:tr2bl w:val="nil"/>
                  </w:tcBorders>
                  <w:noWrap w:val="0"/>
                  <w:vAlign w:val="center"/>
                </w:tcPr>
                <w:p w14:paraId="4D3772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left"/>
                    <w:textAlignment w:val="auto"/>
                    <w:rPr>
                      <w:rFonts w:hint="eastAsia" w:ascii="宋体" w:hAnsi="宋体" w:eastAsia="宋体" w:cs="宋体"/>
                      <w:color w:val="auto"/>
                      <w:kern w:val="0"/>
                      <w:sz w:val="21"/>
                      <w:szCs w:val="21"/>
                    </w:rPr>
                  </w:pPr>
                </w:p>
              </w:tc>
              <w:tc>
                <w:tcPr>
                  <w:tcW w:w="683" w:type="pct"/>
                  <w:tcBorders>
                    <w:tl2br w:val="nil"/>
                    <w:tr2bl w:val="nil"/>
                  </w:tcBorders>
                  <w:noWrap w:val="0"/>
                  <w:vAlign w:val="center"/>
                </w:tcPr>
                <w:p w14:paraId="2169D1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400</w:t>
                  </w:r>
                </w:p>
              </w:tc>
              <w:tc>
                <w:tcPr>
                  <w:tcW w:w="615" w:type="pct"/>
                  <w:tcBorders>
                    <w:tl2br w:val="nil"/>
                    <w:tr2bl w:val="nil"/>
                  </w:tcBorders>
                  <w:noWrap w:val="0"/>
                  <w:vAlign w:val="center"/>
                </w:tcPr>
                <w:p w14:paraId="2B27B1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0.482</w:t>
                  </w:r>
                </w:p>
              </w:tc>
              <w:tc>
                <w:tcPr>
                  <w:tcW w:w="734" w:type="pct"/>
                  <w:tcBorders>
                    <w:tl2br w:val="nil"/>
                    <w:tr2bl w:val="nil"/>
                  </w:tcBorders>
                  <w:noWrap w:val="0"/>
                  <w:vAlign w:val="center"/>
                </w:tcPr>
                <w:p w14:paraId="39C04C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0.012</w:t>
                  </w:r>
                </w:p>
              </w:tc>
            </w:tr>
            <w:tr w14:paraId="3115D8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tcBorders>
                    <w:tl2br w:val="nil"/>
                    <w:tr2bl w:val="nil"/>
                  </w:tcBorders>
                  <w:noWrap w:val="0"/>
                  <w:vAlign w:val="center"/>
                </w:tcPr>
                <w:p w14:paraId="460C7A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left"/>
                    <w:textAlignment w:val="auto"/>
                    <w:rPr>
                      <w:rFonts w:hint="eastAsia" w:ascii="宋体" w:hAnsi="宋体" w:eastAsia="宋体" w:cs="宋体"/>
                      <w:color w:val="auto"/>
                      <w:kern w:val="0"/>
                      <w:sz w:val="21"/>
                      <w:szCs w:val="21"/>
                    </w:rPr>
                  </w:pPr>
                </w:p>
              </w:tc>
              <w:tc>
                <w:tcPr>
                  <w:tcW w:w="584" w:type="pct"/>
                  <w:tcBorders>
                    <w:tl2br w:val="nil"/>
                    <w:tr2bl w:val="nil"/>
                  </w:tcBorders>
                  <w:noWrap w:val="0"/>
                  <w:vAlign w:val="center"/>
                </w:tcPr>
                <w:p w14:paraId="67A71F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NH</w:t>
                  </w:r>
                  <w:r>
                    <w:rPr>
                      <w:rFonts w:hint="eastAsia" w:ascii="宋体" w:hAnsi="宋体" w:eastAsia="宋体" w:cs="宋体"/>
                      <w:color w:val="auto"/>
                      <w:kern w:val="0"/>
                      <w:sz w:val="21"/>
                      <w:szCs w:val="21"/>
                      <w:vertAlign w:val="subscript"/>
                    </w:rPr>
                    <w:t>3</w:t>
                  </w:r>
                  <w:r>
                    <w:rPr>
                      <w:rFonts w:hint="eastAsia" w:ascii="宋体" w:hAnsi="宋体" w:eastAsia="宋体" w:cs="宋体"/>
                      <w:color w:val="auto"/>
                      <w:kern w:val="0"/>
                      <w:sz w:val="21"/>
                      <w:szCs w:val="21"/>
                    </w:rPr>
                    <w:t>-N</w:t>
                  </w:r>
                </w:p>
              </w:tc>
              <w:tc>
                <w:tcPr>
                  <w:tcW w:w="732" w:type="pct"/>
                  <w:tcBorders>
                    <w:tl2br w:val="nil"/>
                    <w:tr2bl w:val="nil"/>
                  </w:tcBorders>
                  <w:noWrap w:val="0"/>
                  <w:vAlign w:val="center"/>
                </w:tcPr>
                <w:p w14:paraId="51C9BC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50</w:t>
                  </w:r>
                </w:p>
              </w:tc>
              <w:tc>
                <w:tcPr>
                  <w:tcW w:w="603" w:type="pct"/>
                  <w:tcBorders>
                    <w:tl2br w:val="nil"/>
                    <w:tr2bl w:val="nil"/>
                  </w:tcBorders>
                  <w:noWrap w:val="0"/>
                  <w:vAlign w:val="center"/>
                </w:tcPr>
                <w:p w14:paraId="38CCD4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0.06</w:t>
                  </w:r>
                </w:p>
              </w:tc>
              <w:tc>
                <w:tcPr>
                  <w:tcW w:w="619" w:type="pct"/>
                  <w:vMerge w:val="continue"/>
                  <w:tcBorders>
                    <w:tl2br w:val="nil"/>
                    <w:tr2bl w:val="nil"/>
                  </w:tcBorders>
                  <w:noWrap w:val="0"/>
                  <w:vAlign w:val="center"/>
                </w:tcPr>
                <w:p w14:paraId="2703B3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left"/>
                    <w:textAlignment w:val="auto"/>
                    <w:rPr>
                      <w:rFonts w:hint="eastAsia" w:ascii="宋体" w:hAnsi="宋体" w:eastAsia="宋体" w:cs="宋体"/>
                      <w:color w:val="auto"/>
                      <w:kern w:val="0"/>
                      <w:sz w:val="21"/>
                      <w:szCs w:val="21"/>
                    </w:rPr>
                  </w:pPr>
                </w:p>
              </w:tc>
              <w:tc>
                <w:tcPr>
                  <w:tcW w:w="683" w:type="pct"/>
                  <w:tcBorders>
                    <w:tl2br w:val="nil"/>
                    <w:tr2bl w:val="nil"/>
                  </w:tcBorders>
                  <w:noWrap w:val="0"/>
                  <w:vAlign w:val="center"/>
                </w:tcPr>
                <w:p w14:paraId="06FE2C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45</w:t>
                  </w:r>
                </w:p>
              </w:tc>
              <w:tc>
                <w:tcPr>
                  <w:tcW w:w="615" w:type="pct"/>
                  <w:tcBorders>
                    <w:tl2br w:val="nil"/>
                    <w:tr2bl w:val="nil"/>
                  </w:tcBorders>
                  <w:noWrap w:val="0"/>
                  <w:vAlign w:val="center"/>
                </w:tcPr>
                <w:p w14:paraId="0A566E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0.054</w:t>
                  </w:r>
                </w:p>
              </w:tc>
              <w:tc>
                <w:tcPr>
                  <w:tcW w:w="734" w:type="pct"/>
                  <w:tcBorders>
                    <w:tl2br w:val="nil"/>
                    <w:tr2bl w:val="nil"/>
                  </w:tcBorders>
                  <w:noWrap w:val="0"/>
                  <w:vAlign w:val="center"/>
                </w:tcPr>
                <w:p w14:paraId="36587A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0.005</w:t>
                  </w:r>
                </w:p>
              </w:tc>
            </w:tr>
            <w:tr w14:paraId="18B396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tcBorders>
                    <w:tl2br w:val="nil"/>
                    <w:tr2bl w:val="nil"/>
                  </w:tcBorders>
                  <w:noWrap w:val="0"/>
                  <w:vAlign w:val="center"/>
                </w:tcPr>
                <w:p w14:paraId="6DD149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left"/>
                    <w:textAlignment w:val="auto"/>
                    <w:rPr>
                      <w:rFonts w:hint="eastAsia" w:ascii="宋体" w:hAnsi="宋体" w:eastAsia="宋体" w:cs="宋体"/>
                      <w:color w:val="auto"/>
                      <w:kern w:val="0"/>
                      <w:sz w:val="21"/>
                      <w:szCs w:val="21"/>
                    </w:rPr>
                  </w:pPr>
                </w:p>
              </w:tc>
              <w:tc>
                <w:tcPr>
                  <w:tcW w:w="584" w:type="pct"/>
                  <w:tcBorders>
                    <w:tl2br w:val="nil"/>
                    <w:tr2bl w:val="nil"/>
                  </w:tcBorders>
                  <w:noWrap w:val="0"/>
                  <w:vAlign w:val="center"/>
                </w:tcPr>
                <w:p w14:paraId="675E35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TP</w:t>
                  </w:r>
                </w:p>
              </w:tc>
              <w:tc>
                <w:tcPr>
                  <w:tcW w:w="732" w:type="pct"/>
                  <w:tcBorders>
                    <w:tl2br w:val="nil"/>
                    <w:tr2bl w:val="nil"/>
                  </w:tcBorders>
                  <w:noWrap w:val="0"/>
                  <w:vAlign w:val="center"/>
                </w:tcPr>
                <w:p w14:paraId="696AB8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603" w:type="pct"/>
                  <w:tcBorders>
                    <w:tl2br w:val="nil"/>
                    <w:tr2bl w:val="nil"/>
                  </w:tcBorders>
                  <w:noWrap w:val="0"/>
                  <w:vAlign w:val="center"/>
                </w:tcPr>
                <w:p w14:paraId="0BAB06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0.012</w:t>
                  </w:r>
                </w:p>
              </w:tc>
              <w:tc>
                <w:tcPr>
                  <w:tcW w:w="619" w:type="pct"/>
                  <w:vMerge w:val="continue"/>
                  <w:tcBorders>
                    <w:tl2br w:val="nil"/>
                    <w:tr2bl w:val="nil"/>
                  </w:tcBorders>
                  <w:noWrap w:val="0"/>
                  <w:vAlign w:val="center"/>
                </w:tcPr>
                <w:p w14:paraId="0F9EEE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left"/>
                    <w:textAlignment w:val="auto"/>
                    <w:rPr>
                      <w:rFonts w:hint="eastAsia" w:ascii="宋体" w:hAnsi="宋体" w:eastAsia="宋体" w:cs="宋体"/>
                      <w:color w:val="auto"/>
                      <w:kern w:val="0"/>
                      <w:sz w:val="21"/>
                      <w:szCs w:val="21"/>
                    </w:rPr>
                  </w:pPr>
                </w:p>
              </w:tc>
              <w:tc>
                <w:tcPr>
                  <w:tcW w:w="683" w:type="pct"/>
                  <w:tcBorders>
                    <w:tl2br w:val="nil"/>
                    <w:tr2bl w:val="nil"/>
                  </w:tcBorders>
                  <w:noWrap w:val="0"/>
                  <w:vAlign w:val="center"/>
                </w:tcPr>
                <w:p w14:paraId="6433B9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8</w:t>
                  </w:r>
                </w:p>
              </w:tc>
              <w:tc>
                <w:tcPr>
                  <w:tcW w:w="615" w:type="pct"/>
                  <w:tcBorders>
                    <w:tl2br w:val="nil"/>
                    <w:tr2bl w:val="nil"/>
                  </w:tcBorders>
                  <w:noWrap w:val="0"/>
                  <w:vAlign w:val="center"/>
                </w:tcPr>
                <w:p w14:paraId="078A29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0.009</w:t>
                  </w:r>
                </w:p>
              </w:tc>
              <w:tc>
                <w:tcPr>
                  <w:tcW w:w="734" w:type="pct"/>
                  <w:tcBorders>
                    <w:tl2br w:val="nil"/>
                    <w:tr2bl w:val="nil"/>
                  </w:tcBorders>
                  <w:noWrap w:val="0"/>
                  <w:vAlign w:val="center"/>
                </w:tcPr>
                <w:p w14:paraId="10249C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0.0006</w:t>
                  </w:r>
                </w:p>
              </w:tc>
            </w:tr>
            <w:tr w14:paraId="616A8F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tcBorders>
                    <w:tl2br w:val="nil"/>
                    <w:tr2bl w:val="nil"/>
                  </w:tcBorders>
                  <w:noWrap w:val="0"/>
                  <w:vAlign w:val="center"/>
                </w:tcPr>
                <w:p w14:paraId="7B7C48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left"/>
                    <w:textAlignment w:val="auto"/>
                    <w:rPr>
                      <w:rFonts w:hint="eastAsia" w:ascii="宋体" w:hAnsi="宋体" w:eastAsia="宋体" w:cs="宋体"/>
                      <w:color w:val="auto"/>
                      <w:kern w:val="0"/>
                      <w:sz w:val="21"/>
                      <w:szCs w:val="21"/>
                    </w:rPr>
                  </w:pPr>
                </w:p>
              </w:tc>
              <w:tc>
                <w:tcPr>
                  <w:tcW w:w="584" w:type="pct"/>
                  <w:tcBorders>
                    <w:tl2br w:val="nil"/>
                    <w:tr2bl w:val="nil"/>
                  </w:tcBorders>
                  <w:noWrap w:val="0"/>
                  <w:vAlign w:val="center"/>
                </w:tcPr>
                <w:p w14:paraId="1D46B5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TN</w:t>
                  </w:r>
                </w:p>
              </w:tc>
              <w:tc>
                <w:tcPr>
                  <w:tcW w:w="732" w:type="pct"/>
                  <w:tcBorders>
                    <w:tl2br w:val="nil"/>
                    <w:tr2bl w:val="nil"/>
                  </w:tcBorders>
                  <w:noWrap w:val="0"/>
                  <w:vAlign w:val="center"/>
                </w:tcPr>
                <w:p w14:paraId="287B61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80</w:t>
                  </w:r>
                </w:p>
              </w:tc>
              <w:tc>
                <w:tcPr>
                  <w:tcW w:w="603" w:type="pct"/>
                  <w:tcBorders>
                    <w:tl2br w:val="nil"/>
                    <w:tr2bl w:val="nil"/>
                  </w:tcBorders>
                  <w:noWrap w:val="0"/>
                  <w:vAlign w:val="center"/>
                </w:tcPr>
                <w:p w14:paraId="7F43CC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0.096</w:t>
                  </w:r>
                </w:p>
              </w:tc>
              <w:tc>
                <w:tcPr>
                  <w:tcW w:w="619" w:type="pct"/>
                  <w:vMerge w:val="continue"/>
                  <w:tcBorders>
                    <w:tl2br w:val="nil"/>
                    <w:tr2bl w:val="nil"/>
                  </w:tcBorders>
                  <w:noWrap w:val="0"/>
                  <w:vAlign w:val="center"/>
                </w:tcPr>
                <w:p w14:paraId="5A1FE1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left"/>
                    <w:textAlignment w:val="auto"/>
                    <w:rPr>
                      <w:rFonts w:hint="eastAsia" w:ascii="宋体" w:hAnsi="宋体" w:eastAsia="宋体" w:cs="宋体"/>
                      <w:color w:val="auto"/>
                      <w:kern w:val="0"/>
                      <w:sz w:val="21"/>
                      <w:szCs w:val="21"/>
                    </w:rPr>
                  </w:pPr>
                </w:p>
              </w:tc>
              <w:tc>
                <w:tcPr>
                  <w:tcW w:w="683" w:type="pct"/>
                  <w:tcBorders>
                    <w:tl2br w:val="nil"/>
                    <w:tr2bl w:val="nil"/>
                  </w:tcBorders>
                  <w:noWrap w:val="0"/>
                  <w:vAlign w:val="center"/>
                </w:tcPr>
                <w:p w14:paraId="2A9031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70</w:t>
                  </w:r>
                </w:p>
              </w:tc>
              <w:tc>
                <w:tcPr>
                  <w:tcW w:w="615" w:type="pct"/>
                  <w:tcBorders>
                    <w:tl2br w:val="nil"/>
                    <w:tr2bl w:val="nil"/>
                  </w:tcBorders>
                  <w:noWrap w:val="0"/>
                  <w:vAlign w:val="center"/>
                </w:tcPr>
                <w:p w14:paraId="7F0961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0.084</w:t>
                  </w:r>
                </w:p>
              </w:tc>
              <w:tc>
                <w:tcPr>
                  <w:tcW w:w="734" w:type="pct"/>
                  <w:tcBorders>
                    <w:tl2br w:val="nil"/>
                    <w:tr2bl w:val="nil"/>
                  </w:tcBorders>
                  <w:noWrap w:val="0"/>
                  <w:vAlign w:val="center"/>
                </w:tcPr>
                <w:p w14:paraId="78EFA2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0.014</w:t>
                  </w:r>
                </w:p>
              </w:tc>
            </w:tr>
            <w:tr w14:paraId="4AB2D9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restart"/>
                  <w:tcBorders>
                    <w:tl2br w:val="nil"/>
                    <w:tr2bl w:val="nil"/>
                  </w:tcBorders>
                  <w:noWrap w:val="0"/>
                  <w:vAlign w:val="center"/>
                </w:tcPr>
                <w:p w14:paraId="51774F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left"/>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水洗废水110.4</w:t>
                  </w:r>
                  <w:r>
                    <w:rPr>
                      <w:rFonts w:hint="eastAsia" w:ascii="宋体" w:hAnsi="宋体" w:eastAsia="宋体" w:cs="宋体"/>
                      <w:color w:val="auto"/>
                      <w:kern w:val="0"/>
                      <w:sz w:val="21"/>
                      <w:szCs w:val="21"/>
                    </w:rPr>
                    <w:t>t/a</w:t>
                  </w:r>
                </w:p>
              </w:tc>
              <w:tc>
                <w:tcPr>
                  <w:tcW w:w="584" w:type="pct"/>
                  <w:tcBorders>
                    <w:tl2br w:val="nil"/>
                    <w:tr2bl w:val="nil"/>
                  </w:tcBorders>
                  <w:shd w:val="clear" w:color="auto" w:fill="auto"/>
                  <w:noWrap w:val="0"/>
                  <w:vAlign w:val="center"/>
                </w:tcPr>
                <w:p w14:paraId="23CF12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COD</w:t>
                  </w:r>
                </w:p>
              </w:tc>
              <w:tc>
                <w:tcPr>
                  <w:tcW w:w="732" w:type="pct"/>
                  <w:tcBorders>
                    <w:tl2br w:val="nil"/>
                    <w:tr2bl w:val="nil"/>
                  </w:tcBorders>
                  <w:noWrap w:val="0"/>
                  <w:vAlign w:val="center"/>
                </w:tcPr>
                <w:p w14:paraId="06ECE9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412</w:t>
                  </w:r>
                </w:p>
              </w:tc>
              <w:tc>
                <w:tcPr>
                  <w:tcW w:w="603" w:type="pct"/>
                  <w:tcBorders>
                    <w:tl2br w:val="nil"/>
                    <w:tr2bl w:val="nil"/>
                  </w:tcBorders>
                  <w:noWrap w:val="0"/>
                  <w:vAlign w:val="center"/>
                </w:tcPr>
                <w:p w14:paraId="701988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0.045</w:t>
                  </w:r>
                </w:p>
              </w:tc>
              <w:tc>
                <w:tcPr>
                  <w:tcW w:w="619" w:type="pct"/>
                  <w:vMerge w:val="restart"/>
                  <w:tcBorders>
                    <w:tl2br w:val="nil"/>
                    <w:tr2bl w:val="nil"/>
                  </w:tcBorders>
                  <w:noWrap w:val="0"/>
                  <w:vAlign w:val="center"/>
                </w:tcPr>
                <w:p w14:paraId="0441D2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污水处理站</w:t>
                  </w:r>
                </w:p>
              </w:tc>
              <w:tc>
                <w:tcPr>
                  <w:tcW w:w="2033" w:type="pct"/>
                  <w:gridSpan w:val="3"/>
                  <w:vMerge w:val="restart"/>
                  <w:tcBorders>
                    <w:tl2br w:val="nil"/>
                    <w:tr2bl w:val="nil"/>
                  </w:tcBorders>
                  <w:noWrap w:val="0"/>
                  <w:vAlign w:val="center"/>
                </w:tcPr>
                <w:p w14:paraId="02DB08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回用于水洗工段，不外排</w:t>
                  </w:r>
                </w:p>
              </w:tc>
            </w:tr>
            <w:tr w14:paraId="4DD98F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tcBorders>
                    <w:tl2br w:val="nil"/>
                    <w:tr2bl w:val="nil"/>
                  </w:tcBorders>
                  <w:noWrap w:val="0"/>
                  <w:vAlign w:val="center"/>
                </w:tcPr>
                <w:p w14:paraId="374FC4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left"/>
                    <w:textAlignment w:val="auto"/>
                    <w:rPr>
                      <w:rFonts w:hint="eastAsia" w:ascii="宋体" w:hAnsi="宋体" w:eastAsia="宋体" w:cs="宋体"/>
                      <w:color w:val="auto"/>
                      <w:kern w:val="0"/>
                      <w:sz w:val="21"/>
                      <w:szCs w:val="21"/>
                    </w:rPr>
                  </w:pPr>
                </w:p>
              </w:tc>
              <w:tc>
                <w:tcPr>
                  <w:tcW w:w="584" w:type="pct"/>
                  <w:tcBorders>
                    <w:tl2br w:val="nil"/>
                    <w:tr2bl w:val="nil"/>
                  </w:tcBorders>
                  <w:shd w:val="clear" w:color="auto" w:fill="auto"/>
                  <w:noWrap w:val="0"/>
                  <w:vAlign w:val="center"/>
                </w:tcPr>
                <w:p w14:paraId="70A819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SS</w:t>
                  </w:r>
                </w:p>
              </w:tc>
              <w:tc>
                <w:tcPr>
                  <w:tcW w:w="732" w:type="pct"/>
                  <w:tcBorders>
                    <w:tl2br w:val="nil"/>
                    <w:tr2bl w:val="nil"/>
                  </w:tcBorders>
                  <w:noWrap w:val="0"/>
                  <w:vAlign w:val="center"/>
                </w:tcPr>
                <w:p w14:paraId="67E592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190</w:t>
                  </w:r>
                </w:p>
              </w:tc>
              <w:tc>
                <w:tcPr>
                  <w:tcW w:w="603" w:type="pct"/>
                  <w:tcBorders>
                    <w:tl2br w:val="nil"/>
                    <w:tr2bl w:val="nil"/>
                  </w:tcBorders>
                  <w:noWrap w:val="0"/>
                  <w:vAlign w:val="center"/>
                </w:tcPr>
                <w:p w14:paraId="444FFC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0.021</w:t>
                  </w:r>
                </w:p>
              </w:tc>
              <w:tc>
                <w:tcPr>
                  <w:tcW w:w="619" w:type="pct"/>
                  <w:vMerge w:val="continue"/>
                  <w:tcBorders>
                    <w:tl2br w:val="nil"/>
                    <w:tr2bl w:val="nil"/>
                  </w:tcBorders>
                  <w:noWrap w:val="0"/>
                  <w:vAlign w:val="center"/>
                </w:tcPr>
                <w:p w14:paraId="63C62C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left"/>
                    <w:textAlignment w:val="auto"/>
                    <w:rPr>
                      <w:rFonts w:hint="eastAsia" w:ascii="宋体" w:hAnsi="宋体" w:eastAsia="宋体" w:cs="宋体"/>
                      <w:color w:val="auto"/>
                      <w:kern w:val="0"/>
                      <w:sz w:val="21"/>
                      <w:szCs w:val="21"/>
                    </w:rPr>
                  </w:pPr>
                </w:p>
              </w:tc>
              <w:tc>
                <w:tcPr>
                  <w:tcW w:w="2033" w:type="pct"/>
                  <w:gridSpan w:val="3"/>
                  <w:vMerge w:val="continue"/>
                  <w:tcBorders>
                    <w:tl2br w:val="nil"/>
                    <w:tr2bl w:val="nil"/>
                  </w:tcBorders>
                  <w:noWrap w:val="0"/>
                  <w:vAlign w:val="center"/>
                </w:tcPr>
                <w:p w14:paraId="5708E1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kern w:val="0"/>
                      <w:sz w:val="21"/>
                      <w:szCs w:val="21"/>
                      <w:lang w:val="en-US" w:eastAsia="zh-CN"/>
                    </w:rPr>
                  </w:pPr>
                </w:p>
              </w:tc>
            </w:tr>
            <w:tr w14:paraId="554557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tcBorders>
                    <w:tl2br w:val="nil"/>
                    <w:tr2bl w:val="nil"/>
                  </w:tcBorders>
                  <w:noWrap w:val="0"/>
                  <w:vAlign w:val="center"/>
                </w:tcPr>
                <w:p w14:paraId="2081FE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left"/>
                    <w:textAlignment w:val="auto"/>
                    <w:rPr>
                      <w:rFonts w:hint="eastAsia" w:ascii="宋体" w:hAnsi="宋体" w:eastAsia="宋体" w:cs="宋体"/>
                      <w:color w:val="auto"/>
                      <w:kern w:val="0"/>
                      <w:sz w:val="21"/>
                      <w:szCs w:val="21"/>
                    </w:rPr>
                  </w:pPr>
                </w:p>
              </w:tc>
              <w:tc>
                <w:tcPr>
                  <w:tcW w:w="584" w:type="pct"/>
                  <w:tcBorders>
                    <w:tl2br w:val="nil"/>
                    <w:tr2bl w:val="nil"/>
                  </w:tcBorders>
                  <w:noWrap w:val="0"/>
                  <w:vAlign w:val="center"/>
                </w:tcPr>
                <w:p w14:paraId="50815D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石油类</w:t>
                  </w:r>
                </w:p>
              </w:tc>
              <w:tc>
                <w:tcPr>
                  <w:tcW w:w="732" w:type="pct"/>
                  <w:tcBorders>
                    <w:tl2br w:val="nil"/>
                    <w:tr2bl w:val="nil"/>
                  </w:tcBorders>
                  <w:noWrap w:val="0"/>
                  <w:vAlign w:val="center"/>
                </w:tcPr>
                <w:p w14:paraId="643665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1.26</w:t>
                  </w:r>
                </w:p>
              </w:tc>
              <w:tc>
                <w:tcPr>
                  <w:tcW w:w="603" w:type="pct"/>
                  <w:tcBorders>
                    <w:tl2br w:val="nil"/>
                    <w:tr2bl w:val="nil"/>
                  </w:tcBorders>
                  <w:noWrap w:val="0"/>
                  <w:vAlign w:val="center"/>
                </w:tcPr>
                <w:p w14:paraId="2C4ECA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0.00014</w:t>
                  </w:r>
                </w:p>
              </w:tc>
              <w:tc>
                <w:tcPr>
                  <w:tcW w:w="619" w:type="pct"/>
                  <w:vMerge w:val="continue"/>
                  <w:tcBorders>
                    <w:tl2br w:val="nil"/>
                    <w:tr2bl w:val="nil"/>
                  </w:tcBorders>
                  <w:noWrap w:val="0"/>
                  <w:vAlign w:val="center"/>
                </w:tcPr>
                <w:p w14:paraId="56EE39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left"/>
                    <w:textAlignment w:val="auto"/>
                    <w:rPr>
                      <w:rFonts w:hint="eastAsia" w:ascii="宋体" w:hAnsi="宋体" w:eastAsia="宋体" w:cs="宋体"/>
                      <w:color w:val="auto"/>
                      <w:kern w:val="0"/>
                      <w:sz w:val="21"/>
                      <w:szCs w:val="21"/>
                    </w:rPr>
                  </w:pPr>
                </w:p>
              </w:tc>
              <w:tc>
                <w:tcPr>
                  <w:tcW w:w="2033" w:type="pct"/>
                  <w:gridSpan w:val="3"/>
                  <w:vMerge w:val="continue"/>
                  <w:tcBorders>
                    <w:tl2br w:val="nil"/>
                    <w:tr2bl w:val="nil"/>
                  </w:tcBorders>
                  <w:noWrap w:val="0"/>
                  <w:vAlign w:val="center"/>
                </w:tcPr>
                <w:p w14:paraId="3426C1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kern w:val="0"/>
                      <w:sz w:val="21"/>
                      <w:szCs w:val="21"/>
                      <w:lang w:val="en-US" w:eastAsia="zh-CN"/>
                    </w:rPr>
                  </w:pPr>
                </w:p>
              </w:tc>
            </w:tr>
          </w:tbl>
          <w:p w14:paraId="35DE6032">
            <w:pPr>
              <w:pStyle w:val="44"/>
              <w:keepNext w:val="0"/>
              <w:keepLines w:val="0"/>
              <w:suppressLineNumbers w:val="0"/>
              <w:spacing w:before="0" w:beforeAutospacing="0" w:after="0" w:afterAutospacing="0"/>
              <w:ind w:left="0" w:right="0" w:firstLine="480"/>
              <w:rPr>
                <w:rFonts w:hint="eastAsia" w:ascii="宋体" w:hAnsi="宋体" w:eastAsia="宋体" w:cs="宋体"/>
                <w:kern w:val="44"/>
              </w:rPr>
            </w:pPr>
            <w:r>
              <w:rPr>
                <w:rFonts w:hint="eastAsia" w:ascii="宋体" w:hAnsi="宋体" w:eastAsia="宋体" w:cs="宋体"/>
                <w:b/>
                <w:bCs w:val="0"/>
                <w:kern w:val="44"/>
              </w:rPr>
              <w:t>表4-</w:t>
            </w:r>
            <w:r>
              <w:rPr>
                <w:rFonts w:hint="eastAsia" w:ascii="宋体" w:hAnsi="宋体" w:eastAsia="宋体" w:cs="宋体"/>
                <w:b/>
                <w:bCs w:val="0"/>
                <w:kern w:val="44"/>
                <w:lang w:val="en-US" w:eastAsia="zh-CN"/>
              </w:rPr>
              <w:t>12</w:t>
            </w:r>
            <w:r>
              <w:rPr>
                <w:rFonts w:hint="eastAsia" w:ascii="宋体" w:hAnsi="宋体" w:eastAsia="宋体" w:cs="宋体"/>
                <w:b/>
                <w:bCs w:val="0"/>
                <w:kern w:val="44"/>
              </w:rPr>
              <w:t xml:space="preserve"> 废水排放口基本情况表</w:t>
            </w:r>
          </w:p>
          <w:tbl>
            <w:tblPr>
              <w:tblStyle w:val="30"/>
              <w:tblW w:w="82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8"/>
              <w:gridCol w:w="808"/>
              <w:gridCol w:w="2036"/>
              <w:gridCol w:w="2271"/>
              <w:gridCol w:w="1087"/>
              <w:gridCol w:w="1258"/>
            </w:tblGrid>
            <w:tr w14:paraId="491FA4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8" w:type="dxa"/>
                  <w:noWrap w:val="0"/>
                  <w:vAlign w:val="center"/>
                </w:tcPr>
                <w:p w14:paraId="5D0100CD">
                  <w:pPr>
                    <w:pStyle w:val="5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编号</w:t>
                  </w:r>
                </w:p>
              </w:tc>
              <w:tc>
                <w:tcPr>
                  <w:tcW w:w="808" w:type="dxa"/>
                  <w:noWrap w:val="0"/>
                  <w:vAlign w:val="center"/>
                </w:tcPr>
                <w:p w14:paraId="3F37E553">
                  <w:pPr>
                    <w:pStyle w:val="5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名称</w:t>
                  </w:r>
                </w:p>
              </w:tc>
              <w:tc>
                <w:tcPr>
                  <w:tcW w:w="2036" w:type="dxa"/>
                  <w:noWrap w:val="0"/>
                  <w:vAlign w:val="center"/>
                </w:tcPr>
                <w:p w14:paraId="6530D608">
                  <w:pPr>
                    <w:pStyle w:val="5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地理坐标</w:t>
                  </w:r>
                </w:p>
              </w:tc>
              <w:tc>
                <w:tcPr>
                  <w:tcW w:w="2271" w:type="dxa"/>
                  <w:noWrap w:val="0"/>
                  <w:vAlign w:val="center"/>
                </w:tcPr>
                <w:p w14:paraId="0EB9EC6B">
                  <w:pPr>
                    <w:pStyle w:val="5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排放规律</w:t>
                  </w:r>
                </w:p>
              </w:tc>
              <w:tc>
                <w:tcPr>
                  <w:tcW w:w="1087" w:type="dxa"/>
                  <w:noWrap w:val="0"/>
                  <w:vAlign w:val="center"/>
                </w:tcPr>
                <w:p w14:paraId="307A4797">
                  <w:pPr>
                    <w:pStyle w:val="5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排放方式</w:t>
                  </w:r>
                </w:p>
              </w:tc>
              <w:tc>
                <w:tcPr>
                  <w:tcW w:w="1258" w:type="dxa"/>
                  <w:noWrap w:val="0"/>
                  <w:vAlign w:val="center"/>
                </w:tcPr>
                <w:p w14:paraId="2DAE1D36">
                  <w:pPr>
                    <w:pStyle w:val="5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排放去向</w:t>
                  </w:r>
                </w:p>
              </w:tc>
            </w:tr>
            <w:tr w14:paraId="071DC3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4" w:hRule="atLeast"/>
                <w:jc w:val="center"/>
              </w:trPr>
              <w:tc>
                <w:tcPr>
                  <w:tcW w:w="778" w:type="dxa"/>
                  <w:noWrap w:val="0"/>
                  <w:vAlign w:val="center"/>
                </w:tcPr>
                <w:p w14:paraId="537B6607">
                  <w:pPr>
                    <w:pStyle w:val="5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eastAsia" w:ascii="宋体" w:hAnsi="宋体" w:eastAsia="宋体" w:cs="宋体"/>
                      <w:b w:val="0"/>
                      <w:bCs/>
                      <w:snapToGrid w:val="0"/>
                      <w:kern w:val="0"/>
                      <w:sz w:val="21"/>
                      <w:szCs w:val="21"/>
                    </w:rPr>
                  </w:pPr>
                  <w:r>
                    <w:rPr>
                      <w:rFonts w:hint="eastAsia" w:ascii="宋体" w:hAnsi="宋体" w:eastAsia="宋体" w:cs="宋体"/>
                      <w:b w:val="0"/>
                      <w:bCs/>
                      <w:snapToGrid w:val="0"/>
                      <w:kern w:val="0"/>
                      <w:sz w:val="21"/>
                      <w:szCs w:val="21"/>
                    </w:rPr>
                    <w:t>DW001</w:t>
                  </w:r>
                </w:p>
              </w:tc>
              <w:tc>
                <w:tcPr>
                  <w:tcW w:w="808" w:type="dxa"/>
                  <w:noWrap w:val="0"/>
                  <w:vAlign w:val="center"/>
                </w:tcPr>
                <w:p w14:paraId="696D48EE">
                  <w:pPr>
                    <w:pStyle w:val="5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eastAsia" w:ascii="宋体" w:hAnsi="宋体" w:eastAsia="宋体" w:cs="宋体"/>
                      <w:b w:val="0"/>
                      <w:bCs/>
                      <w:snapToGrid w:val="0"/>
                      <w:kern w:val="0"/>
                      <w:sz w:val="21"/>
                      <w:szCs w:val="21"/>
                    </w:rPr>
                  </w:pPr>
                  <w:r>
                    <w:rPr>
                      <w:rFonts w:hint="eastAsia" w:ascii="宋体" w:hAnsi="宋体" w:eastAsia="宋体" w:cs="宋体"/>
                      <w:b w:val="0"/>
                      <w:bCs/>
                      <w:snapToGrid w:val="0"/>
                      <w:kern w:val="0"/>
                      <w:sz w:val="21"/>
                      <w:szCs w:val="21"/>
                    </w:rPr>
                    <w:t>废水总排口</w:t>
                  </w:r>
                </w:p>
              </w:tc>
              <w:tc>
                <w:tcPr>
                  <w:tcW w:w="2036" w:type="dxa"/>
                  <w:noWrap w:val="0"/>
                  <w:vAlign w:val="center"/>
                </w:tcPr>
                <w:p w14:paraId="2F72766E">
                  <w:pPr>
                    <w:pStyle w:val="5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eastAsia" w:ascii="宋体" w:hAnsi="宋体" w:eastAsia="宋体" w:cs="宋体"/>
                      <w:b w:val="0"/>
                      <w:bCs/>
                      <w:snapToGrid w:val="0"/>
                      <w:kern w:val="0"/>
                      <w:sz w:val="21"/>
                      <w:szCs w:val="21"/>
                    </w:rPr>
                  </w:pPr>
                  <w:r>
                    <w:rPr>
                      <w:rFonts w:hint="eastAsia" w:ascii="宋体" w:hAnsi="宋体" w:eastAsia="宋体" w:cs="宋体"/>
                      <w:b w:val="0"/>
                      <w:bCs/>
                      <w:snapToGrid w:val="0"/>
                      <w:kern w:val="0"/>
                      <w:sz w:val="21"/>
                      <w:szCs w:val="21"/>
                    </w:rPr>
                    <w:t>119°</w:t>
                  </w:r>
                  <w:r>
                    <w:rPr>
                      <w:rFonts w:hint="eastAsia" w:ascii="宋体" w:hAnsi="宋体" w:eastAsia="宋体" w:cs="宋体"/>
                      <w:b w:val="0"/>
                      <w:bCs/>
                      <w:snapToGrid w:val="0"/>
                      <w:kern w:val="0"/>
                      <w:sz w:val="21"/>
                      <w:szCs w:val="21"/>
                      <w:lang w:val="en-US" w:eastAsia="zh-CN"/>
                    </w:rPr>
                    <w:t>16</w:t>
                  </w:r>
                  <w:r>
                    <w:rPr>
                      <w:rFonts w:hint="eastAsia" w:ascii="宋体" w:hAnsi="宋体" w:eastAsia="宋体" w:cs="宋体"/>
                      <w:b w:val="0"/>
                      <w:bCs/>
                      <w:snapToGrid w:val="0"/>
                      <w:kern w:val="0"/>
                      <w:sz w:val="21"/>
                      <w:szCs w:val="21"/>
                    </w:rPr>
                    <w:t>′</w:t>
                  </w:r>
                  <w:r>
                    <w:rPr>
                      <w:rFonts w:hint="eastAsia" w:ascii="宋体" w:hAnsi="宋体" w:eastAsia="宋体" w:cs="宋体"/>
                      <w:b w:val="0"/>
                      <w:bCs/>
                      <w:snapToGrid w:val="0"/>
                      <w:kern w:val="0"/>
                      <w:sz w:val="21"/>
                      <w:szCs w:val="21"/>
                      <w:lang w:val="en-US" w:eastAsia="zh-CN"/>
                    </w:rPr>
                    <w:t>12.241</w:t>
                  </w:r>
                  <w:r>
                    <w:rPr>
                      <w:rFonts w:hint="eastAsia" w:ascii="宋体" w:hAnsi="宋体" w:eastAsia="宋体" w:cs="宋体"/>
                      <w:b w:val="0"/>
                      <w:bCs/>
                      <w:snapToGrid w:val="0"/>
                      <w:kern w:val="0"/>
                      <w:sz w:val="21"/>
                      <w:szCs w:val="21"/>
                    </w:rPr>
                    <w:t>″</w:t>
                  </w:r>
                </w:p>
                <w:p w14:paraId="3253CCF1">
                  <w:pPr>
                    <w:pStyle w:val="5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eastAsia" w:ascii="宋体" w:hAnsi="宋体" w:eastAsia="宋体" w:cs="宋体"/>
                      <w:b w:val="0"/>
                      <w:bCs/>
                      <w:snapToGrid w:val="0"/>
                      <w:kern w:val="0"/>
                      <w:sz w:val="21"/>
                      <w:szCs w:val="21"/>
                    </w:rPr>
                  </w:pPr>
                  <w:r>
                    <w:rPr>
                      <w:rFonts w:hint="eastAsia" w:ascii="宋体" w:hAnsi="宋体" w:eastAsia="宋体" w:cs="宋体"/>
                      <w:b w:val="0"/>
                      <w:bCs/>
                      <w:snapToGrid w:val="0"/>
                      <w:kern w:val="0"/>
                      <w:sz w:val="21"/>
                      <w:szCs w:val="21"/>
                    </w:rPr>
                    <w:t>3</w:t>
                  </w:r>
                  <w:r>
                    <w:rPr>
                      <w:rFonts w:hint="eastAsia" w:ascii="宋体" w:hAnsi="宋体" w:eastAsia="宋体" w:cs="宋体"/>
                      <w:b w:val="0"/>
                      <w:bCs/>
                      <w:snapToGrid w:val="0"/>
                      <w:kern w:val="0"/>
                      <w:sz w:val="21"/>
                      <w:szCs w:val="21"/>
                      <w:lang w:val="en-US" w:eastAsia="zh-CN"/>
                    </w:rPr>
                    <w:t>2</w:t>
                  </w:r>
                  <w:r>
                    <w:rPr>
                      <w:rFonts w:hint="eastAsia" w:ascii="宋体" w:hAnsi="宋体" w:eastAsia="宋体" w:cs="宋体"/>
                      <w:b w:val="0"/>
                      <w:bCs/>
                      <w:snapToGrid w:val="0"/>
                      <w:kern w:val="0"/>
                      <w:sz w:val="21"/>
                      <w:szCs w:val="21"/>
                    </w:rPr>
                    <w:t>°</w:t>
                  </w:r>
                  <w:r>
                    <w:rPr>
                      <w:rFonts w:hint="eastAsia" w:ascii="宋体" w:hAnsi="宋体" w:eastAsia="宋体" w:cs="宋体"/>
                      <w:b w:val="0"/>
                      <w:bCs/>
                      <w:snapToGrid w:val="0"/>
                      <w:kern w:val="0"/>
                      <w:sz w:val="21"/>
                      <w:szCs w:val="21"/>
                      <w:lang w:val="en-US" w:eastAsia="zh-CN"/>
                    </w:rPr>
                    <w:t>1</w:t>
                  </w:r>
                  <w:r>
                    <w:rPr>
                      <w:rFonts w:hint="eastAsia" w:ascii="宋体" w:hAnsi="宋体" w:eastAsia="宋体" w:cs="宋体"/>
                      <w:b w:val="0"/>
                      <w:bCs/>
                      <w:snapToGrid w:val="0"/>
                      <w:kern w:val="0"/>
                      <w:sz w:val="21"/>
                      <w:szCs w:val="21"/>
                    </w:rPr>
                    <w:t>′</w:t>
                  </w:r>
                  <w:r>
                    <w:rPr>
                      <w:rFonts w:hint="eastAsia" w:ascii="宋体" w:hAnsi="宋体" w:eastAsia="宋体" w:cs="宋体"/>
                      <w:b w:val="0"/>
                      <w:bCs/>
                      <w:snapToGrid w:val="0"/>
                      <w:kern w:val="0"/>
                      <w:sz w:val="21"/>
                      <w:szCs w:val="21"/>
                      <w:lang w:val="en-US" w:eastAsia="zh-CN"/>
                    </w:rPr>
                    <w:t>36.126</w:t>
                  </w:r>
                  <w:r>
                    <w:rPr>
                      <w:rFonts w:hint="eastAsia" w:ascii="宋体" w:hAnsi="宋体" w:eastAsia="宋体" w:cs="宋体"/>
                      <w:b w:val="0"/>
                      <w:bCs/>
                      <w:snapToGrid w:val="0"/>
                      <w:kern w:val="0"/>
                      <w:sz w:val="21"/>
                      <w:szCs w:val="21"/>
                    </w:rPr>
                    <w:t>″</w:t>
                  </w:r>
                </w:p>
              </w:tc>
              <w:tc>
                <w:tcPr>
                  <w:tcW w:w="2271" w:type="dxa"/>
                  <w:noWrap w:val="0"/>
                  <w:vAlign w:val="center"/>
                </w:tcPr>
                <w:p w14:paraId="642D0C20">
                  <w:pPr>
                    <w:pStyle w:val="5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eastAsia" w:ascii="宋体" w:hAnsi="宋体" w:eastAsia="宋体" w:cs="宋体"/>
                      <w:b w:val="0"/>
                      <w:bCs/>
                      <w:snapToGrid w:val="0"/>
                      <w:kern w:val="0"/>
                      <w:sz w:val="21"/>
                      <w:szCs w:val="21"/>
                    </w:rPr>
                  </w:pPr>
                  <w:r>
                    <w:rPr>
                      <w:rFonts w:hint="eastAsia" w:ascii="宋体" w:hAnsi="宋体" w:eastAsia="宋体" w:cs="宋体"/>
                      <w:b w:val="0"/>
                      <w:bCs/>
                      <w:snapToGrid w:val="0"/>
                      <w:kern w:val="0"/>
                      <w:sz w:val="21"/>
                      <w:szCs w:val="21"/>
                    </w:rPr>
                    <w:t>间断排放，排放期间流量不稳定且无规律，但不属于冲击型排放</w:t>
                  </w:r>
                </w:p>
              </w:tc>
              <w:tc>
                <w:tcPr>
                  <w:tcW w:w="1087" w:type="dxa"/>
                  <w:noWrap w:val="0"/>
                  <w:vAlign w:val="center"/>
                </w:tcPr>
                <w:p w14:paraId="330692F9">
                  <w:pPr>
                    <w:pStyle w:val="5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eastAsia" w:ascii="宋体" w:hAnsi="宋体" w:eastAsia="宋体" w:cs="宋体"/>
                      <w:b w:val="0"/>
                      <w:bCs/>
                      <w:snapToGrid w:val="0"/>
                      <w:kern w:val="0"/>
                      <w:sz w:val="21"/>
                      <w:szCs w:val="21"/>
                    </w:rPr>
                  </w:pPr>
                  <w:r>
                    <w:rPr>
                      <w:rFonts w:hint="eastAsia" w:ascii="宋体" w:hAnsi="宋体" w:eastAsia="宋体" w:cs="宋体"/>
                      <w:b w:val="0"/>
                      <w:bCs/>
                      <w:snapToGrid w:val="0"/>
                      <w:kern w:val="0"/>
                      <w:sz w:val="21"/>
                      <w:szCs w:val="21"/>
                    </w:rPr>
                    <w:t>间接排放</w:t>
                  </w:r>
                </w:p>
              </w:tc>
              <w:tc>
                <w:tcPr>
                  <w:tcW w:w="1258" w:type="dxa"/>
                  <w:noWrap w:val="0"/>
                  <w:vAlign w:val="center"/>
                </w:tcPr>
                <w:p w14:paraId="16BE53B6">
                  <w:pPr>
                    <w:pStyle w:val="5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eastAsia" w:ascii="宋体" w:hAnsi="宋体" w:eastAsia="宋体" w:cs="宋体"/>
                      <w:b w:val="0"/>
                      <w:bCs/>
                      <w:snapToGrid w:val="0"/>
                      <w:kern w:val="0"/>
                      <w:sz w:val="21"/>
                      <w:szCs w:val="21"/>
                      <w:lang w:eastAsia="zh-CN"/>
                    </w:rPr>
                  </w:pPr>
                  <w:r>
                    <w:rPr>
                      <w:rFonts w:hint="eastAsia" w:ascii="宋体" w:hAnsi="宋体" w:eastAsia="宋体" w:cs="宋体"/>
                      <w:b w:val="0"/>
                      <w:bCs/>
                      <w:snapToGrid w:val="0"/>
                      <w:kern w:val="0"/>
                      <w:sz w:val="21"/>
                      <w:szCs w:val="21"/>
                      <w:lang w:eastAsia="zh-CN"/>
                    </w:rPr>
                    <w:t>句容市边城镇污水处理厂</w:t>
                  </w:r>
                </w:p>
              </w:tc>
            </w:tr>
          </w:tbl>
          <w:p w14:paraId="7291B348">
            <w:pPr>
              <w:pStyle w:val="16"/>
              <w:keepNext w:val="0"/>
              <w:keepLines w:val="0"/>
              <w:numPr>
                <w:ilvl w:val="0"/>
                <w:numId w:val="0"/>
              </w:numPr>
              <w:suppressLineNumbers w:val="0"/>
              <w:adjustRightInd w:val="0"/>
              <w:snapToGrid w:val="0"/>
              <w:spacing w:before="0" w:beforeAutospacing="0" w:after="0" w:afterAutospacing="0"/>
              <w:ind w:left="0" w:right="0"/>
              <w:jc w:val="left"/>
              <w:rPr>
                <w:rFonts w:hint="eastAsia" w:ascii="宋体" w:hAnsi="宋体" w:eastAsia="宋体" w:cs="宋体"/>
              </w:rPr>
            </w:pPr>
            <w:r>
              <w:rPr>
                <w:rFonts w:hint="eastAsia" w:ascii="宋体" w:hAnsi="宋体" w:eastAsia="宋体" w:cs="宋体"/>
              </w:rPr>
              <w:t>2、废水污防设施</w:t>
            </w:r>
          </w:p>
          <w:p w14:paraId="76011911">
            <w:pPr>
              <w:pStyle w:val="10"/>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rPr>
            </w:pPr>
          </w:p>
          <w:p w14:paraId="7A0CF872">
            <w:pPr>
              <w:pStyle w:val="10"/>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rPr>
            </w:pPr>
            <w:r>
              <w:rPr>
                <w:rFonts w:hint="eastAsia" w:ascii="宋体" w:hAnsi="宋体" w:eastAsia="宋体" w:cs="宋体"/>
                <w:b/>
                <w:bCs/>
              </w:rPr>
              <w:t>表4-1</w:t>
            </w:r>
            <w:r>
              <w:rPr>
                <w:rFonts w:hint="eastAsia" w:ascii="宋体" w:hAnsi="宋体" w:eastAsia="宋体" w:cs="宋体"/>
                <w:b/>
                <w:bCs/>
                <w:lang w:val="en-US" w:eastAsia="zh-CN"/>
              </w:rPr>
              <w:t>3</w:t>
            </w:r>
            <w:r>
              <w:rPr>
                <w:rFonts w:hint="eastAsia" w:ascii="宋体" w:hAnsi="宋体" w:eastAsia="宋体" w:cs="宋体"/>
                <w:b/>
                <w:bCs/>
              </w:rPr>
              <w:t xml:space="preserve"> 废水类别、污染物及污染治理设施信息表</w:t>
            </w:r>
          </w:p>
          <w:tbl>
            <w:tblPr>
              <w:tblStyle w:val="30"/>
              <w:tblW w:w="4992"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506"/>
              <w:gridCol w:w="840"/>
              <w:gridCol w:w="739"/>
              <w:gridCol w:w="809"/>
              <w:gridCol w:w="1652"/>
              <w:gridCol w:w="799"/>
              <w:gridCol w:w="1155"/>
            </w:tblGrid>
            <w:tr w14:paraId="32D8FD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1" w:type="pct"/>
                  <w:vMerge w:val="restart"/>
                  <w:noWrap w:val="0"/>
                  <w:vAlign w:val="center"/>
                </w:tcPr>
                <w:p w14:paraId="40725B1B">
                  <w:pPr>
                    <w:pStyle w:val="10"/>
                    <w:keepNext w:val="0"/>
                    <w:keepLines w:val="0"/>
                    <w:widowControl/>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废水类别</w:t>
                  </w:r>
                </w:p>
              </w:tc>
              <w:tc>
                <w:tcPr>
                  <w:tcW w:w="901" w:type="pct"/>
                  <w:vMerge w:val="restart"/>
                  <w:noWrap w:val="0"/>
                  <w:vAlign w:val="center"/>
                </w:tcPr>
                <w:p w14:paraId="2C7F9D6D">
                  <w:pPr>
                    <w:pStyle w:val="10"/>
                    <w:keepNext w:val="0"/>
                    <w:keepLines w:val="0"/>
                    <w:widowControl/>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污染物</w:t>
                  </w:r>
                </w:p>
                <w:p w14:paraId="7463AF2E">
                  <w:pPr>
                    <w:pStyle w:val="10"/>
                    <w:keepNext w:val="0"/>
                    <w:keepLines w:val="0"/>
                    <w:widowControl/>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种类</w:t>
                  </w:r>
                </w:p>
              </w:tc>
              <w:tc>
                <w:tcPr>
                  <w:tcW w:w="3587" w:type="pct"/>
                  <w:gridSpan w:val="6"/>
                  <w:noWrap w:val="0"/>
                  <w:vAlign w:val="center"/>
                </w:tcPr>
                <w:p w14:paraId="260AFD7B">
                  <w:pPr>
                    <w:pStyle w:val="10"/>
                    <w:keepNext w:val="0"/>
                    <w:keepLines w:val="0"/>
                    <w:widowControl/>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污染防治设施</w:t>
                  </w:r>
                </w:p>
              </w:tc>
            </w:tr>
            <w:tr w14:paraId="2CF9EE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1" w:type="pct"/>
                  <w:vMerge w:val="continue"/>
                  <w:noWrap w:val="0"/>
                  <w:vAlign w:val="center"/>
                </w:tcPr>
                <w:p w14:paraId="38F71127">
                  <w:pPr>
                    <w:pStyle w:val="10"/>
                    <w:keepNext w:val="0"/>
                    <w:keepLines w:val="0"/>
                    <w:widowControl/>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901" w:type="pct"/>
                  <w:vMerge w:val="continue"/>
                  <w:noWrap w:val="0"/>
                  <w:vAlign w:val="center"/>
                </w:tcPr>
                <w:p w14:paraId="01016323">
                  <w:pPr>
                    <w:pStyle w:val="10"/>
                    <w:keepNext w:val="0"/>
                    <w:keepLines w:val="0"/>
                    <w:widowControl/>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502" w:type="pct"/>
                  <w:noWrap w:val="0"/>
                  <w:vAlign w:val="center"/>
                </w:tcPr>
                <w:p w14:paraId="1DD3C80B">
                  <w:pPr>
                    <w:pStyle w:val="10"/>
                    <w:keepNext w:val="0"/>
                    <w:keepLines w:val="0"/>
                    <w:widowControl/>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编号</w:t>
                  </w:r>
                </w:p>
              </w:tc>
              <w:tc>
                <w:tcPr>
                  <w:tcW w:w="442" w:type="pct"/>
                  <w:noWrap w:val="0"/>
                  <w:vAlign w:val="center"/>
                </w:tcPr>
                <w:p w14:paraId="55E0137D">
                  <w:pPr>
                    <w:pStyle w:val="10"/>
                    <w:keepNext w:val="0"/>
                    <w:keepLines w:val="0"/>
                    <w:widowControl/>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名称</w:t>
                  </w:r>
                </w:p>
              </w:tc>
              <w:tc>
                <w:tcPr>
                  <w:tcW w:w="484" w:type="pct"/>
                  <w:noWrap w:val="0"/>
                  <w:vAlign w:val="center"/>
                </w:tcPr>
                <w:p w14:paraId="3E0F8BA9">
                  <w:pPr>
                    <w:pStyle w:val="10"/>
                    <w:keepNext w:val="0"/>
                    <w:keepLines w:val="0"/>
                    <w:widowControl/>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处理能力</w:t>
                  </w:r>
                </w:p>
              </w:tc>
              <w:tc>
                <w:tcPr>
                  <w:tcW w:w="988" w:type="pct"/>
                  <w:noWrap w:val="0"/>
                  <w:vAlign w:val="center"/>
                </w:tcPr>
                <w:p w14:paraId="1FD3AE26">
                  <w:pPr>
                    <w:pStyle w:val="10"/>
                    <w:keepNext w:val="0"/>
                    <w:keepLines w:val="0"/>
                    <w:widowControl/>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治理工艺</w:t>
                  </w:r>
                </w:p>
              </w:tc>
              <w:tc>
                <w:tcPr>
                  <w:tcW w:w="478" w:type="pct"/>
                  <w:noWrap w:val="0"/>
                  <w:vAlign w:val="center"/>
                </w:tcPr>
                <w:p w14:paraId="4634E53C">
                  <w:pPr>
                    <w:pStyle w:val="10"/>
                    <w:keepNext w:val="0"/>
                    <w:keepLines w:val="0"/>
                    <w:widowControl/>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治理</w:t>
                  </w:r>
                </w:p>
                <w:p w14:paraId="4C92B7B1">
                  <w:pPr>
                    <w:pStyle w:val="10"/>
                    <w:keepNext w:val="0"/>
                    <w:keepLines w:val="0"/>
                    <w:widowControl/>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效率</w:t>
                  </w:r>
                </w:p>
              </w:tc>
              <w:tc>
                <w:tcPr>
                  <w:tcW w:w="691" w:type="pct"/>
                  <w:noWrap w:val="0"/>
                  <w:vAlign w:val="center"/>
                </w:tcPr>
                <w:p w14:paraId="7CE7EFCB">
                  <w:pPr>
                    <w:pStyle w:val="10"/>
                    <w:keepNext w:val="0"/>
                    <w:keepLines w:val="0"/>
                    <w:widowControl/>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是否为可行技术</w:t>
                  </w:r>
                </w:p>
              </w:tc>
            </w:tr>
            <w:tr w14:paraId="2DC740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1" w:type="pct"/>
                  <w:noWrap w:val="0"/>
                  <w:vAlign w:val="center"/>
                </w:tcPr>
                <w:p w14:paraId="11486008">
                  <w:pPr>
                    <w:pStyle w:val="10"/>
                    <w:keepNext w:val="0"/>
                    <w:keepLines w:val="0"/>
                    <w:widowControl/>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生活</w:t>
                  </w:r>
                </w:p>
                <w:p w14:paraId="7A82AA2F">
                  <w:pPr>
                    <w:pStyle w:val="10"/>
                    <w:keepNext w:val="0"/>
                    <w:keepLines w:val="0"/>
                    <w:widowControl/>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污水</w:t>
                  </w:r>
                </w:p>
              </w:tc>
              <w:tc>
                <w:tcPr>
                  <w:tcW w:w="901" w:type="pct"/>
                  <w:noWrap w:val="0"/>
                  <w:vAlign w:val="center"/>
                </w:tcPr>
                <w:p w14:paraId="684D001A">
                  <w:pPr>
                    <w:pStyle w:val="10"/>
                    <w:keepNext w:val="0"/>
                    <w:keepLines w:val="0"/>
                    <w:widowControl/>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pH值、COD、SS、NH</w:t>
                  </w:r>
                  <w:r>
                    <w:rPr>
                      <w:rFonts w:hint="eastAsia" w:ascii="宋体" w:hAnsi="宋体" w:eastAsia="宋体" w:cs="宋体"/>
                      <w:sz w:val="21"/>
                      <w:szCs w:val="21"/>
                      <w:vertAlign w:val="subscript"/>
                    </w:rPr>
                    <w:t>3</w:t>
                  </w:r>
                  <w:r>
                    <w:rPr>
                      <w:rFonts w:hint="eastAsia" w:ascii="宋体" w:hAnsi="宋体" w:eastAsia="宋体" w:cs="宋体"/>
                      <w:sz w:val="21"/>
                      <w:szCs w:val="21"/>
                    </w:rPr>
                    <w:t>-N、TP、TN</w:t>
                  </w:r>
                </w:p>
              </w:tc>
              <w:tc>
                <w:tcPr>
                  <w:tcW w:w="502" w:type="pct"/>
                  <w:noWrap w:val="0"/>
                  <w:vAlign w:val="center"/>
                </w:tcPr>
                <w:p w14:paraId="0B664D2F">
                  <w:pPr>
                    <w:pStyle w:val="10"/>
                    <w:keepNext w:val="0"/>
                    <w:keepLines w:val="0"/>
                    <w:widowControl/>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TW001</w:t>
                  </w:r>
                </w:p>
              </w:tc>
              <w:tc>
                <w:tcPr>
                  <w:tcW w:w="442" w:type="pct"/>
                  <w:noWrap w:val="0"/>
                  <w:vAlign w:val="center"/>
                </w:tcPr>
                <w:p w14:paraId="415F8ED9">
                  <w:pPr>
                    <w:pStyle w:val="10"/>
                    <w:keepNext w:val="0"/>
                    <w:keepLines w:val="0"/>
                    <w:widowControl/>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化粪池</w:t>
                  </w:r>
                </w:p>
              </w:tc>
              <w:tc>
                <w:tcPr>
                  <w:tcW w:w="484" w:type="pct"/>
                  <w:noWrap w:val="0"/>
                  <w:vAlign w:val="center"/>
                </w:tcPr>
                <w:p w14:paraId="7A071564">
                  <w:pPr>
                    <w:pStyle w:val="10"/>
                    <w:keepNext w:val="0"/>
                    <w:keepLines w:val="0"/>
                    <w:widowControl/>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vertAlign w:val="superscript"/>
                    </w:rPr>
                  </w:pPr>
                  <w:r>
                    <w:rPr>
                      <w:rFonts w:hint="eastAsia" w:ascii="宋体" w:hAnsi="宋体" w:eastAsia="宋体" w:cs="宋体"/>
                      <w:sz w:val="21"/>
                      <w:szCs w:val="21"/>
                      <w:lang w:val="en-US" w:eastAsia="zh-CN"/>
                    </w:rPr>
                    <w:t>8</w:t>
                  </w:r>
                  <w:r>
                    <w:rPr>
                      <w:rFonts w:hint="eastAsia" w:ascii="宋体" w:hAnsi="宋体" w:eastAsia="宋体" w:cs="宋体"/>
                      <w:sz w:val="21"/>
                      <w:szCs w:val="21"/>
                    </w:rPr>
                    <w:t>m</w:t>
                  </w:r>
                  <w:r>
                    <w:rPr>
                      <w:rFonts w:hint="eastAsia" w:ascii="宋体" w:hAnsi="宋体" w:eastAsia="宋体" w:cs="宋体"/>
                      <w:sz w:val="21"/>
                      <w:szCs w:val="21"/>
                      <w:vertAlign w:val="superscript"/>
                    </w:rPr>
                    <w:t>3</w:t>
                  </w:r>
                </w:p>
              </w:tc>
              <w:tc>
                <w:tcPr>
                  <w:tcW w:w="988" w:type="pct"/>
                  <w:noWrap w:val="0"/>
                  <w:vAlign w:val="center"/>
                </w:tcPr>
                <w:p w14:paraId="478E6B08">
                  <w:pPr>
                    <w:pStyle w:val="10"/>
                    <w:keepNext w:val="0"/>
                    <w:keepLines w:val="0"/>
                    <w:widowControl/>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沉淀+厌氧发酵</w:t>
                  </w:r>
                </w:p>
              </w:tc>
              <w:tc>
                <w:tcPr>
                  <w:tcW w:w="478" w:type="pct"/>
                  <w:noWrap w:val="0"/>
                  <w:vAlign w:val="center"/>
                </w:tcPr>
                <w:p w14:paraId="2FEEAC89">
                  <w:pPr>
                    <w:pStyle w:val="10"/>
                    <w:keepNext w:val="0"/>
                    <w:keepLines w:val="0"/>
                    <w:widowControl/>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691" w:type="pct"/>
                  <w:noWrap w:val="0"/>
                  <w:vAlign w:val="center"/>
                </w:tcPr>
                <w:p w14:paraId="29FE43BE">
                  <w:pPr>
                    <w:pStyle w:val="10"/>
                    <w:keepNext w:val="0"/>
                    <w:keepLines w:val="0"/>
                    <w:widowControl/>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是</w:t>
                  </w:r>
                </w:p>
              </w:tc>
            </w:tr>
            <w:tr w14:paraId="07D169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1" w:type="pct"/>
                  <w:noWrap w:val="0"/>
                  <w:vAlign w:val="center"/>
                </w:tcPr>
                <w:p w14:paraId="3AC7406D">
                  <w:pPr>
                    <w:pStyle w:val="10"/>
                    <w:keepNext w:val="0"/>
                    <w:keepLines w:val="0"/>
                    <w:widowControl/>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水洗</w:t>
                  </w:r>
                </w:p>
                <w:p w14:paraId="4CC18D06">
                  <w:pPr>
                    <w:pStyle w:val="10"/>
                    <w:keepNext w:val="0"/>
                    <w:keepLines w:val="0"/>
                    <w:widowControl/>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废水</w:t>
                  </w:r>
                </w:p>
              </w:tc>
              <w:tc>
                <w:tcPr>
                  <w:tcW w:w="901" w:type="pct"/>
                  <w:noWrap w:val="0"/>
                  <w:vAlign w:val="center"/>
                </w:tcPr>
                <w:p w14:paraId="24476E32">
                  <w:pPr>
                    <w:pStyle w:val="10"/>
                    <w:keepNext w:val="0"/>
                    <w:keepLines w:val="0"/>
                    <w:widowControl/>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vertAlign w:val="subscript"/>
                      <w:lang w:val="en-US" w:eastAsia="zh-CN"/>
                    </w:rPr>
                  </w:pPr>
                  <w:r>
                    <w:rPr>
                      <w:rFonts w:hint="eastAsia" w:ascii="宋体" w:hAnsi="宋体" w:eastAsia="宋体" w:cs="宋体"/>
                      <w:sz w:val="21"/>
                      <w:szCs w:val="21"/>
                    </w:rPr>
                    <w:t>COD、SS、</w:t>
                  </w:r>
                  <w:r>
                    <w:rPr>
                      <w:rFonts w:hint="eastAsia" w:ascii="宋体" w:hAnsi="宋体" w:eastAsia="宋体" w:cs="宋体"/>
                      <w:sz w:val="21"/>
                      <w:szCs w:val="21"/>
                      <w:lang w:eastAsia="zh-CN"/>
                    </w:rPr>
                    <w:t>总磷</w:t>
                  </w:r>
                </w:p>
              </w:tc>
              <w:tc>
                <w:tcPr>
                  <w:tcW w:w="502" w:type="pct"/>
                  <w:noWrap w:val="0"/>
                  <w:vAlign w:val="center"/>
                </w:tcPr>
                <w:p w14:paraId="15D6FF51">
                  <w:pPr>
                    <w:pStyle w:val="10"/>
                    <w:keepNext w:val="0"/>
                    <w:keepLines w:val="0"/>
                    <w:widowControl/>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TW002</w:t>
                  </w:r>
                </w:p>
              </w:tc>
              <w:tc>
                <w:tcPr>
                  <w:tcW w:w="442" w:type="pct"/>
                  <w:noWrap w:val="0"/>
                  <w:vAlign w:val="center"/>
                </w:tcPr>
                <w:p w14:paraId="2A1B065A">
                  <w:pPr>
                    <w:pStyle w:val="10"/>
                    <w:keepNext w:val="0"/>
                    <w:keepLines w:val="0"/>
                    <w:widowControl/>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污水处理站</w:t>
                  </w:r>
                </w:p>
              </w:tc>
              <w:tc>
                <w:tcPr>
                  <w:tcW w:w="484" w:type="pct"/>
                  <w:noWrap w:val="0"/>
                  <w:vAlign w:val="center"/>
                </w:tcPr>
                <w:p w14:paraId="2A75C17A">
                  <w:pPr>
                    <w:pStyle w:val="10"/>
                    <w:keepNext w:val="0"/>
                    <w:keepLines w:val="0"/>
                    <w:widowControl/>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rPr>
                  </w:pPr>
                  <w:r>
                    <w:rPr>
                      <w:rFonts w:hint="eastAsia" w:ascii="宋体" w:hAnsi="宋体" w:eastAsia="宋体" w:cs="宋体"/>
                      <w:sz w:val="21"/>
                      <w:szCs w:val="21"/>
                      <w:lang w:val="en-US" w:eastAsia="zh-CN"/>
                    </w:rPr>
                    <w:t>1t/d</w:t>
                  </w:r>
                </w:p>
              </w:tc>
              <w:tc>
                <w:tcPr>
                  <w:tcW w:w="988" w:type="pct"/>
                  <w:noWrap w:val="0"/>
                  <w:vAlign w:val="center"/>
                </w:tcPr>
                <w:p w14:paraId="74B259DE">
                  <w:pPr>
                    <w:pStyle w:val="10"/>
                    <w:keepNext w:val="0"/>
                    <w:keepLines w:val="0"/>
                    <w:widowControl/>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调节+混凝絮凝+A/O+斜管沉淀</w:t>
                  </w:r>
                </w:p>
              </w:tc>
              <w:tc>
                <w:tcPr>
                  <w:tcW w:w="478" w:type="pct"/>
                  <w:noWrap w:val="0"/>
                  <w:vAlign w:val="center"/>
                </w:tcPr>
                <w:p w14:paraId="1DDE3550">
                  <w:pPr>
                    <w:pStyle w:val="10"/>
                    <w:keepNext w:val="0"/>
                    <w:keepLines w:val="0"/>
                    <w:widowControl/>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691" w:type="pct"/>
                  <w:noWrap w:val="0"/>
                  <w:vAlign w:val="center"/>
                </w:tcPr>
                <w:p w14:paraId="008C9B16">
                  <w:pPr>
                    <w:pStyle w:val="10"/>
                    <w:keepNext w:val="0"/>
                    <w:keepLines w:val="0"/>
                    <w:widowControl/>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是</w:t>
                  </w:r>
                </w:p>
              </w:tc>
            </w:tr>
          </w:tbl>
          <w:p w14:paraId="751296B5">
            <w:pPr>
              <w:pStyle w:val="10"/>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szCs w:val="21"/>
              </w:rPr>
            </w:pPr>
            <w:r>
              <w:rPr>
                <w:rFonts w:hint="eastAsia" w:ascii="宋体" w:hAnsi="宋体" w:eastAsia="宋体" w:cs="宋体"/>
                <w:szCs w:val="21"/>
              </w:rPr>
              <w:t>⑴化粪池</w:t>
            </w:r>
          </w:p>
          <w:p w14:paraId="3044A873">
            <w:pPr>
              <w:pStyle w:val="10"/>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bCs/>
                <w:spacing w:val="10"/>
              </w:rPr>
            </w:pPr>
            <w:r>
              <w:rPr>
                <w:rFonts w:hint="eastAsia" w:ascii="宋体" w:hAnsi="宋体" w:eastAsia="宋体" w:cs="宋体"/>
                <w:szCs w:val="21"/>
              </w:rPr>
              <w:t>生活污水经依托的化粪池处理后接管至污水处理厂。化粪池指的是将生活污水分格</w:t>
            </w:r>
            <w:r>
              <w:rPr>
                <w:rFonts w:hint="eastAsia" w:ascii="宋体" w:hAnsi="宋体" w:eastAsia="宋体" w:cs="宋体"/>
                <w:szCs w:val="21"/>
              </w:rPr>
              <w:fldChar w:fldCharType="begin"/>
            </w:r>
            <w:r>
              <w:rPr>
                <w:rFonts w:hint="eastAsia" w:ascii="宋体" w:hAnsi="宋体" w:eastAsia="宋体" w:cs="宋体"/>
                <w:szCs w:val="21"/>
              </w:rPr>
              <w:instrText xml:space="preserve"> HYPERLINK "https://baike.baidu.com/item/%E6%B2%89%E6%B7%80/4691" \t "https://baike.baidu.com/item/%E5%8C%96%E7%B2%AA%E6%B1%A0/_blank" </w:instrText>
            </w:r>
            <w:r>
              <w:rPr>
                <w:rFonts w:hint="eastAsia" w:ascii="宋体" w:hAnsi="宋体" w:eastAsia="宋体" w:cs="宋体"/>
                <w:szCs w:val="21"/>
              </w:rPr>
              <w:fldChar w:fldCharType="separate"/>
            </w:r>
            <w:r>
              <w:rPr>
                <w:rFonts w:hint="eastAsia" w:ascii="宋体" w:hAnsi="宋体" w:eastAsia="宋体" w:cs="宋体"/>
                <w:szCs w:val="21"/>
              </w:rPr>
              <w:t>沉淀</w:t>
            </w:r>
            <w:r>
              <w:rPr>
                <w:rFonts w:hint="eastAsia" w:ascii="宋体" w:hAnsi="宋体" w:eastAsia="宋体" w:cs="宋体"/>
                <w:szCs w:val="21"/>
              </w:rPr>
              <w:fldChar w:fldCharType="end"/>
            </w:r>
            <w:r>
              <w:rPr>
                <w:rFonts w:hint="eastAsia" w:ascii="宋体" w:hAnsi="宋体" w:eastAsia="宋体" w:cs="宋体"/>
                <w:szCs w:val="21"/>
              </w:rPr>
              <w:t>，及对污泥进行厌氧消化的小型处理构筑物。其工作原理是固化物在池底分解，上层的水化物体，通过管道接入市政污水管网，给固化物体（粪便等垃圾）有充足的时间</w:t>
            </w:r>
            <w:r>
              <w:rPr>
                <w:rFonts w:hint="eastAsia" w:ascii="宋体" w:hAnsi="宋体" w:eastAsia="宋体" w:cs="宋体"/>
                <w:szCs w:val="21"/>
              </w:rPr>
              <w:fldChar w:fldCharType="begin"/>
            </w:r>
            <w:r>
              <w:rPr>
                <w:rFonts w:hint="eastAsia" w:ascii="宋体" w:hAnsi="宋体" w:eastAsia="宋体" w:cs="宋体"/>
                <w:szCs w:val="21"/>
              </w:rPr>
              <w:instrText xml:space="preserve"> HYPERLINK "https://baike.baidu.com/item/%E6%B0%B4%E8%A7%A3/378219" \t "https://baike.baidu.com/item/%E5%8C%96%E7%B2%AA%E6%B1%A0/_blank" </w:instrText>
            </w:r>
            <w:r>
              <w:rPr>
                <w:rFonts w:hint="eastAsia" w:ascii="宋体" w:hAnsi="宋体" w:eastAsia="宋体" w:cs="宋体"/>
                <w:szCs w:val="21"/>
              </w:rPr>
              <w:fldChar w:fldCharType="separate"/>
            </w:r>
            <w:r>
              <w:rPr>
                <w:rFonts w:hint="eastAsia" w:ascii="宋体" w:hAnsi="宋体" w:eastAsia="宋体" w:cs="宋体"/>
                <w:szCs w:val="21"/>
              </w:rPr>
              <w:t>水解</w:t>
            </w:r>
            <w:r>
              <w:rPr>
                <w:rFonts w:hint="eastAsia" w:ascii="宋体" w:hAnsi="宋体" w:eastAsia="宋体" w:cs="宋体"/>
                <w:szCs w:val="21"/>
              </w:rPr>
              <w:fldChar w:fldCharType="end"/>
            </w:r>
            <w:r>
              <w:rPr>
                <w:rFonts w:hint="eastAsia" w:ascii="宋体" w:hAnsi="宋体" w:eastAsia="宋体" w:cs="宋体"/>
                <w:szCs w:val="21"/>
              </w:rPr>
              <w:t>。由于本项目排放的生活污水水质简单，排放量较少，通过化粪池处</w:t>
            </w:r>
            <w:r>
              <w:rPr>
                <w:rFonts w:hint="eastAsia" w:ascii="宋体" w:hAnsi="宋体" w:eastAsia="宋体" w:cs="宋体"/>
              </w:rPr>
              <w:t>理后的废水可以达到</w:t>
            </w:r>
            <w:r>
              <w:rPr>
                <w:rFonts w:hint="eastAsia" w:ascii="宋体" w:hAnsi="宋体" w:eastAsia="宋体" w:cs="宋体"/>
                <w:bCs/>
                <w:spacing w:val="10"/>
                <w:lang w:eastAsia="zh-CN"/>
              </w:rPr>
              <w:t>句容市边城镇污水处理厂</w:t>
            </w:r>
            <w:r>
              <w:rPr>
                <w:rFonts w:hint="eastAsia" w:ascii="宋体" w:hAnsi="宋体" w:eastAsia="宋体" w:cs="宋体"/>
                <w:bCs/>
                <w:spacing w:val="10"/>
              </w:rPr>
              <w:t>的接管标准。</w:t>
            </w:r>
          </w:p>
          <w:p w14:paraId="5269AE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520" w:firstLineChars="200"/>
              <w:textAlignment w:val="auto"/>
              <w:rPr>
                <w:rFonts w:hint="eastAsia" w:ascii="宋体" w:hAnsi="宋体" w:eastAsia="宋体" w:cs="宋体"/>
              </w:rPr>
            </w:pPr>
            <w:r>
              <w:rPr>
                <w:rFonts w:hint="eastAsia" w:ascii="宋体" w:hAnsi="宋体" w:eastAsia="宋体" w:cs="宋体"/>
                <w:bCs/>
                <w:spacing w:val="10"/>
              </w:rPr>
              <w:t>⑵</w:t>
            </w:r>
            <w:r>
              <w:rPr>
                <w:rFonts w:hint="eastAsia" w:ascii="宋体" w:hAnsi="宋体" w:eastAsia="宋体" w:cs="宋体"/>
              </w:rPr>
              <w:t>水洗废水处理工艺</w:t>
            </w:r>
          </w:p>
          <w:p w14:paraId="19A0713F">
            <w:pPr>
              <w:keepNext w:val="0"/>
              <w:keepLines w:val="0"/>
              <w:suppressLineNumbers w:val="0"/>
              <w:adjustRightInd w:val="0"/>
              <w:snapToGrid w:val="0"/>
              <w:spacing w:before="0" w:beforeAutospacing="0" w:after="0" w:afterAutospacing="0"/>
              <w:ind w:left="0" w:right="0" w:firstLine="480" w:firstLineChars="200"/>
              <w:rPr>
                <w:rFonts w:hint="default"/>
              </w:rPr>
            </w:pPr>
            <w:r>
              <w:rPr>
                <w:rFonts w:hint="eastAsia" w:ascii="宋体" w:hAnsi="宋体" w:eastAsia="宋体" w:cs="宋体"/>
              </w:rPr>
              <w:t>本项目生产废水采用“</w:t>
            </w:r>
            <w:r>
              <w:rPr>
                <w:rFonts w:hint="eastAsia" w:ascii="宋体" w:hAnsi="宋体" w:eastAsia="宋体" w:cs="宋体"/>
                <w:lang w:eastAsia="zh-CN"/>
              </w:rPr>
              <w:t>调节+混凝絮凝+A/O+斜管沉淀</w:t>
            </w:r>
            <w:r>
              <w:rPr>
                <w:rFonts w:hint="eastAsia" w:ascii="宋体" w:hAnsi="宋体" w:eastAsia="宋体" w:cs="宋体"/>
              </w:rPr>
              <w:t>”工艺处理，设计处理能力1t/d。污水处理站工艺流程图详见下图：</w:t>
            </w:r>
          </w:p>
          <w:p w14:paraId="28773FAD">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b/>
                <w:bCs/>
              </w:rPr>
            </w:pPr>
          </w:p>
          <w:p w14:paraId="431C6A0A">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b/>
                <w:bCs/>
              </w:rPr>
            </w:pPr>
          </w:p>
          <w:p w14:paraId="3A730869">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b/>
                <w:bCs/>
              </w:rPr>
            </w:pPr>
          </w:p>
          <w:p w14:paraId="72311BB4">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b/>
                <w:bCs/>
              </w:rPr>
            </w:pPr>
          </w:p>
          <w:p w14:paraId="40F1383E">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b/>
                <w:bCs/>
              </w:rPr>
            </w:pPr>
          </w:p>
          <w:p w14:paraId="700B86DB">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b/>
                <w:bCs/>
              </w:rPr>
            </w:pPr>
          </w:p>
          <w:p w14:paraId="7A18A31D">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b/>
                <w:bCs/>
              </w:rPr>
            </w:pPr>
          </w:p>
          <w:p w14:paraId="6B106E95">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b/>
                <w:bCs/>
              </w:rPr>
            </w:pPr>
          </w:p>
          <w:p w14:paraId="446759E1">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b/>
                <w:bCs/>
              </w:rPr>
            </w:pPr>
          </w:p>
          <w:p w14:paraId="65AAA2BD">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b/>
                <w:bCs/>
              </w:rPr>
            </w:pPr>
          </w:p>
          <w:p w14:paraId="2C94D8D6">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b/>
                <w:bCs/>
              </w:rPr>
            </w:pPr>
          </w:p>
          <w:p w14:paraId="7DCE9D47">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b/>
                <w:bCs/>
              </w:rPr>
            </w:pPr>
          </w:p>
          <w:p w14:paraId="4BA1E1C0">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b/>
                <w:bCs/>
              </w:rPr>
            </w:pPr>
          </w:p>
          <w:p w14:paraId="5EF7689D">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rPr>
            </w:pPr>
            <w:r>
              <w:rPr>
                <w:rFonts w:hint="eastAsia" w:ascii="宋体" w:hAnsi="宋体" w:eastAsia="宋体" w:cs="宋体"/>
                <w:b/>
                <w:bCs/>
              </w:rPr>
              <w:object>
                <v:shape id="_x0000_i1030" o:spt="75" type="#_x0000_t75" style="height:382.5pt;width:339pt;" o:ole="t" filled="f" o:preferrelative="t" stroked="f" coordsize="21600,21600">
                  <v:path/>
                  <v:fill on="f" focussize="0,0"/>
                  <v:stroke on="f"/>
                  <v:imagedata r:id="rId22" o:title=""/>
                  <o:lock v:ext="edit" aspectratio="f"/>
                  <w10:wrap type="none"/>
                  <w10:anchorlock/>
                </v:shape>
                <o:OLEObject Type="Embed" ProgID="Visio.Drawing.11" ShapeID="_x0000_i1030" DrawAspect="Content" ObjectID="_1468075730" r:id="rId21">
                  <o:LockedField>false</o:LockedField>
                </o:OLEObject>
              </w:object>
            </w:r>
          </w:p>
          <w:p w14:paraId="2EF3EF45">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rPr>
            </w:pPr>
            <w:r>
              <w:rPr>
                <w:rFonts w:hint="eastAsia" w:ascii="宋体" w:hAnsi="宋体" w:eastAsia="宋体" w:cs="宋体"/>
                <w:b/>
                <w:bCs/>
              </w:rPr>
              <w:t>图4-</w:t>
            </w:r>
            <w:r>
              <w:rPr>
                <w:rFonts w:hint="eastAsia" w:ascii="宋体" w:hAnsi="宋体" w:eastAsia="宋体" w:cs="宋体"/>
                <w:b/>
                <w:bCs/>
                <w:lang w:val="en-US" w:eastAsia="zh-CN"/>
              </w:rPr>
              <w:t>1</w:t>
            </w:r>
            <w:r>
              <w:rPr>
                <w:rFonts w:hint="eastAsia" w:ascii="宋体" w:hAnsi="宋体" w:eastAsia="宋体" w:cs="宋体"/>
                <w:b/>
                <w:bCs/>
              </w:rPr>
              <w:t xml:space="preserve">  污水处理站工艺流程图</w:t>
            </w:r>
          </w:p>
          <w:p w14:paraId="5CD1F78D">
            <w:pPr>
              <w:pStyle w:val="16"/>
              <w:keepNext w:val="0"/>
              <w:keepLines w:val="0"/>
              <w:numPr>
                <w:ilvl w:val="0"/>
                <w:numId w:val="0"/>
              </w:numPr>
              <w:suppressLineNumbers w:val="0"/>
              <w:adjustRightInd w:val="0"/>
              <w:snapToGrid w:val="0"/>
              <w:spacing w:before="0" w:beforeAutospacing="0" w:after="0" w:afterAutospacing="0"/>
              <w:ind w:left="0" w:right="0"/>
              <w:rPr>
                <w:rFonts w:hint="default" w:ascii="宋体" w:hAnsi="宋体" w:eastAsia="宋体" w:cs="宋体"/>
                <w:spacing w:val="-5"/>
              </w:rPr>
            </w:pPr>
            <w:r>
              <w:rPr>
                <w:rFonts w:hint="eastAsia" w:ascii="宋体" w:hAnsi="宋体" w:eastAsia="宋体" w:cs="宋体"/>
                <w:b/>
                <w:bCs/>
                <w:spacing w:val="-5"/>
              </w:rPr>
              <w:t>工艺流程说明：</w:t>
            </w:r>
            <w:r>
              <w:rPr>
                <w:rFonts w:hint="eastAsia" w:ascii="宋体" w:hAnsi="宋体" w:eastAsia="宋体" w:cs="宋体"/>
                <w:spacing w:val="-5"/>
              </w:rPr>
              <w:t xml:space="preserve"> </w:t>
            </w:r>
          </w:p>
          <w:p w14:paraId="25687EF7">
            <w:pPr>
              <w:pStyle w:val="16"/>
              <w:keepNext w:val="0"/>
              <w:keepLines w:val="0"/>
              <w:numPr>
                <w:ilvl w:val="0"/>
                <w:numId w:val="0"/>
              </w:numPr>
              <w:suppressLineNumbers w:val="0"/>
              <w:adjustRightInd w:val="0"/>
              <w:snapToGrid w:val="0"/>
              <w:spacing w:before="0" w:beforeAutospacing="0" w:after="0" w:afterAutospacing="0"/>
              <w:ind w:left="0" w:right="0" w:firstLine="460" w:firstLineChars="200"/>
              <w:rPr>
                <w:rFonts w:hint="default" w:ascii="宋体" w:hAnsi="宋体" w:eastAsia="宋体" w:cs="宋体"/>
                <w:spacing w:val="-5"/>
              </w:rPr>
            </w:pPr>
            <w:r>
              <w:rPr>
                <w:rFonts w:hint="eastAsia" w:ascii="宋体" w:hAnsi="宋体" w:eastAsia="宋体" w:cs="宋体"/>
                <w:spacing w:val="-5"/>
              </w:rPr>
              <w:t>生产废水经管道收集进入调节池调节水质水量</w:t>
            </w:r>
            <w:r>
              <w:rPr>
                <w:rFonts w:hint="eastAsia" w:ascii="宋体" w:hAnsi="宋体" w:eastAsia="宋体" w:cs="宋体"/>
                <w:spacing w:val="-5"/>
                <w:lang w:eastAsia="zh-CN"/>
              </w:rPr>
              <w:t>，</w:t>
            </w:r>
            <w:r>
              <w:rPr>
                <w:rFonts w:hint="eastAsia" w:ascii="宋体" w:hAnsi="宋体" w:eastAsia="宋体" w:cs="宋体"/>
                <w:spacing w:val="-5"/>
              </w:rPr>
              <w:t>废水调节后进入混凝</w:t>
            </w:r>
            <w:r>
              <w:rPr>
                <w:rFonts w:hint="eastAsia" w:ascii="宋体" w:hAnsi="宋体" w:eastAsia="宋体" w:cs="宋体"/>
                <w:spacing w:val="-5"/>
                <w:lang w:val="en-US" w:eastAsia="zh-CN"/>
              </w:rPr>
              <w:t>絮凝</w:t>
            </w:r>
            <w:r>
              <w:rPr>
                <w:rFonts w:hint="eastAsia" w:ascii="宋体" w:hAnsi="宋体" w:eastAsia="宋体" w:cs="宋体"/>
                <w:spacing w:val="-5"/>
              </w:rPr>
              <w:t>沉淀池，投加PAC、PAM进行混凝</w:t>
            </w:r>
            <w:r>
              <w:rPr>
                <w:rFonts w:hint="eastAsia" w:ascii="宋体" w:hAnsi="宋体" w:eastAsia="宋体" w:cs="宋体"/>
                <w:spacing w:val="-5"/>
                <w:lang w:val="en-US" w:eastAsia="zh-CN"/>
              </w:rPr>
              <w:t>絮凝</w:t>
            </w:r>
            <w:r>
              <w:rPr>
                <w:rFonts w:hint="eastAsia" w:ascii="宋体" w:hAnsi="宋体" w:eastAsia="宋体" w:cs="宋体"/>
                <w:spacing w:val="-5"/>
              </w:rPr>
              <w:t>反应后自然沉降，污泥进入污泥池；</w:t>
            </w:r>
            <w:r>
              <w:rPr>
                <w:rFonts w:hint="eastAsia" w:ascii="宋体" w:hAnsi="宋体" w:eastAsia="宋体" w:cs="宋体"/>
                <w:color w:val="auto"/>
                <w:sz w:val="24"/>
                <w:szCs w:val="24"/>
                <w:lang w:eastAsia="zh-CN"/>
              </w:rPr>
              <w:t>经提升进入一体化废水处理设备</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eastAsia="zh-CN"/>
              </w:rPr>
              <w:t>采用A</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eastAsia="zh-CN"/>
              </w:rPr>
              <w:t>O生物处理工艺。A级是厌氧生物处理，0级是好氧生物处理，该一体化设备主要包括A级生物池、0级生物池、</w:t>
            </w:r>
            <w:r>
              <w:rPr>
                <w:rFonts w:hint="eastAsia" w:ascii="宋体" w:hAnsi="宋体" w:eastAsia="宋体" w:cs="宋体"/>
                <w:color w:val="auto"/>
                <w:sz w:val="24"/>
                <w:szCs w:val="24"/>
                <w:lang w:val="en-US" w:eastAsia="zh-CN"/>
              </w:rPr>
              <w:t>斜管</w:t>
            </w:r>
            <w:r>
              <w:rPr>
                <w:rFonts w:hint="eastAsia" w:ascii="宋体" w:hAnsi="宋体" w:eastAsia="宋体" w:cs="宋体"/>
                <w:color w:val="auto"/>
                <w:sz w:val="24"/>
                <w:szCs w:val="24"/>
                <w:lang w:eastAsia="zh-CN"/>
              </w:rPr>
              <w:t>沉淀池及污泥池。其中A级池为推流式接触氧化生物池，停留时间大于2h，内设弹性立体填料，水中溶解氧量小于 0.5 mg/L，为缺氧生物处理区。</w:t>
            </w:r>
            <w:r>
              <w:rPr>
                <w:rFonts w:hint="eastAsia" w:ascii="宋体" w:hAnsi="宋体" w:eastAsia="宋体" w:cs="宋体"/>
                <w:color w:val="auto"/>
                <w:sz w:val="24"/>
                <w:szCs w:val="24"/>
                <w:lang w:val="en-US" w:eastAsia="zh-CN"/>
              </w:rPr>
              <w:t>O</w:t>
            </w:r>
            <w:r>
              <w:rPr>
                <w:rFonts w:hint="eastAsia" w:ascii="宋体" w:hAnsi="宋体" w:eastAsia="宋体" w:cs="宋体"/>
                <w:color w:val="auto"/>
                <w:sz w:val="24"/>
                <w:szCs w:val="24"/>
                <w:lang w:eastAsia="zh-CN"/>
              </w:rPr>
              <w:t>级生物池也为推流式生物接触氧化池，在有氧的条件下，有机物经过微生物的代谢活动被分解，停留时间大于6h，气水比大于12：1，溶解氧含量大于3.5 mg/L，池内采用新型填料和高效曝气头。沉淀池采用斜管沉淀，主要沉淀生物池中老化脱落的微生物及悬浮物等，污泥部分进入污泥消化池，经过压滤机脱水后定期外运处理，上清液</w:t>
            </w:r>
            <w:r>
              <w:rPr>
                <w:rFonts w:hint="eastAsia" w:ascii="宋体" w:hAnsi="宋体" w:eastAsia="宋体" w:cs="宋体"/>
                <w:color w:val="auto"/>
                <w:sz w:val="24"/>
                <w:szCs w:val="24"/>
                <w:lang w:val="en-US" w:eastAsia="zh-CN"/>
              </w:rPr>
              <w:t>进入回用水池</w:t>
            </w:r>
            <w:r>
              <w:rPr>
                <w:rFonts w:hint="eastAsia" w:ascii="宋体" w:hAnsi="宋体" w:eastAsia="宋体" w:cs="宋体"/>
                <w:color w:val="auto"/>
                <w:sz w:val="24"/>
                <w:szCs w:val="24"/>
                <w:lang w:eastAsia="zh-CN"/>
              </w:rPr>
              <w:t>。</w:t>
            </w:r>
          </w:p>
          <w:p w14:paraId="6D5A0763">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60" w:firstLineChars="200"/>
              <w:jc w:val="both"/>
              <w:textAlignment w:val="auto"/>
              <w:rPr>
                <w:rFonts w:hint="eastAsia" w:ascii="宋体" w:hAnsi="宋体" w:eastAsia="宋体" w:cs="宋体"/>
              </w:rPr>
            </w:pPr>
            <w:r>
              <w:rPr>
                <w:rFonts w:hint="eastAsia" w:ascii="宋体" w:hAnsi="宋体" w:eastAsia="宋体" w:cs="宋体"/>
                <w:spacing w:val="-5"/>
              </w:rPr>
              <w:t>混凝</w:t>
            </w:r>
            <w:r>
              <w:rPr>
                <w:rFonts w:hint="eastAsia" w:ascii="宋体" w:hAnsi="宋体" w:eastAsia="宋体" w:cs="宋体"/>
                <w:spacing w:val="-5"/>
                <w:lang w:val="en-US" w:eastAsia="zh-CN"/>
              </w:rPr>
              <w:t>絮凝</w:t>
            </w:r>
            <w:r>
              <w:rPr>
                <w:rFonts w:hint="eastAsia" w:ascii="宋体" w:hAnsi="宋体" w:eastAsia="宋体" w:cs="宋体"/>
                <w:spacing w:val="-5"/>
              </w:rPr>
              <w:t>沉淀池沉淀下来的污泥提升至污泥池</w:t>
            </w:r>
            <w:r>
              <w:rPr>
                <w:rFonts w:hint="eastAsia" w:ascii="宋体" w:hAnsi="宋体" w:eastAsia="宋体" w:cs="宋体"/>
                <w:spacing w:val="-5"/>
                <w:lang w:eastAsia="zh-CN"/>
              </w:rPr>
              <w:t>，</w:t>
            </w:r>
            <w:r>
              <w:rPr>
                <w:rFonts w:hint="eastAsia" w:ascii="宋体" w:hAnsi="宋体" w:eastAsia="宋体" w:cs="宋体"/>
                <w:spacing w:val="-5"/>
              </w:rPr>
              <w:t>污泥池内的污泥经板框压滤机脱水后泥饼外运处理，滤液回流收集池重新处理。</w:t>
            </w:r>
          </w:p>
          <w:p w14:paraId="7B63B18B">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rPr>
            </w:pPr>
            <w:r>
              <w:rPr>
                <w:rFonts w:hint="eastAsia" w:ascii="宋体" w:hAnsi="宋体" w:eastAsia="宋体" w:cs="宋体"/>
              </w:rPr>
              <w:t>根据《排污许可证申请与核发技术规范 水处理通用工序》（HJ 1120-2020）附表A.1可知，生产类废水预处理采取调节工艺、</w:t>
            </w:r>
            <w:r>
              <w:rPr>
                <w:rFonts w:hint="eastAsia" w:ascii="宋体" w:hAnsi="宋体" w:eastAsia="宋体" w:cs="宋体"/>
                <w:lang w:val="en-US" w:eastAsia="zh-CN"/>
              </w:rPr>
              <w:t>混凝沉淀、A/O</w:t>
            </w:r>
            <w:r>
              <w:rPr>
                <w:rFonts w:hint="eastAsia" w:ascii="宋体" w:hAnsi="宋体" w:eastAsia="宋体" w:cs="宋体"/>
              </w:rPr>
              <w:t>工艺</w:t>
            </w:r>
            <w:r>
              <w:rPr>
                <w:rFonts w:hint="eastAsia" w:ascii="宋体" w:hAnsi="宋体" w:eastAsia="宋体" w:cs="宋体"/>
                <w:lang w:val="en-US" w:eastAsia="zh-CN"/>
              </w:rPr>
              <w:t>均</w:t>
            </w:r>
            <w:r>
              <w:rPr>
                <w:rFonts w:hint="eastAsia" w:ascii="宋体" w:hAnsi="宋体" w:eastAsia="宋体" w:cs="宋体"/>
              </w:rPr>
              <w:t>为可行技术。</w:t>
            </w:r>
            <w:r>
              <w:rPr>
                <w:rFonts w:hint="eastAsia" w:ascii="宋体" w:hAnsi="宋体" w:eastAsia="宋体" w:cs="宋体"/>
                <w:lang w:val="en-US" w:eastAsia="zh-CN"/>
              </w:rPr>
              <w:t>水洗废水经污水处理站处理后能够达到《城市污水再生利用 工业用水水质》（GBT19923-2024）表1 洗涤用水标准</w:t>
            </w:r>
            <w:r>
              <w:rPr>
                <w:rFonts w:hint="eastAsia" w:ascii="宋体" w:hAnsi="宋体" w:eastAsia="宋体" w:cs="宋体"/>
                <w:lang w:val="zh-CN"/>
              </w:rPr>
              <w:t>。</w:t>
            </w:r>
          </w:p>
          <w:p w14:paraId="0EEE712D">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u w:val="single"/>
                <w:lang w:val="en-US" w:eastAsia="zh-CN"/>
              </w:rPr>
            </w:pPr>
            <w:r>
              <w:rPr>
                <w:rFonts w:hint="eastAsia" w:ascii="宋体" w:hAnsi="宋体" w:eastAsia="宋体" w:cs="宋体"/>
                <w:u w:val="single"/>
                <w:lang w:val="en-US" w:eastAsia="zh-CN"/>
              </w:rPr>
              <w:t>水洗废水回用可行性分析：</w:t>
            </w:r>
          </w:p>
          <w:p w14:paraId="013A1D15">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lang w:val="en-US" w:eastAsia="zh-CN"/>
              </w:rPr>
            </w:pPr>
            <w:r>
              <w:rPr>
                <w:rFonts w:hint="eastAsia" w:ascii="宋体" w:hAnsi="宋体" w:eastAsia="宋体" w:cs="宋体"/>
                <w:lang w:val="en-US" w:eastAsia="zh-CN"/>
              </w:rPr>
              <w:t>①水质：本项目水洗工艺对水质要求不高，污水处理站采用了《排污许可证申请与核发技术规范 水处理通用工序》（HJ1120-2020）附录A.1废水污染防治的可行技术，水洗废水经污水处理站处理后能够达到《城市污水再生利用 工业用水水质》（GBT19923-2024）表1 洗涤用水标准。</w:t>
            </w:r>
          </w:p>
          <w:p w14:paraId="70C7E109">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lang w:val="en-US" w:eastAsia="zh-CN"/>
              </w:rPr>
            </w:pPr>
            <w:r>
              <w:rPr>
                <w:rFonts w:hint="eastAsia" w:ascii="宋体" w:hAnsi="宋体" w:eastAsia="宋体" w:cs="宋体"/>
                <w:lang w:val="en-US" w:eastAsia="zh-CN"/>
              </w:rPr>
              <w:t>②水量：公司1次水洗水量需2.5吨/年，废水回用量为2.3吨/年，可以完全回用于水洗工段。</w:t>
            </w:r>
          </w:p>
          <w:p w14:paraId="1D98376F">
            <w:pPr>
              <w:pStyle w:val="10"/>
              <w:keepNext w:val="0"/>
              <w:keepLines w:val="0"/>
              <w:widowControl w:val="0"/>
              <w:suppressLineNumbers w:val="0"/>
              <w:spacing w:before="0" w:beforeAutospacing="0" w:after="0" w:afterAutospacing="0" w:line="360" w:lineRule="auto"/>
              <w:ind w:left="0" w:right="0"/>
              <w:rPr>
                <w:rFonts w:hint="eastAsia" w:ascii="宋体" w:hAnsi="宋体" w:eastAsia="宋体" w:cs="宋体"/>
                <w:b/>
                <w:bCs/>
                <w:color w:val="auto"/>
                <w:sz w:val="24"/>
                <w:szCs w:val="24"/>
              </w:rPr>
            </w:pPr>
            <w:r>
              <w:rPr>
                <w:rFonts w:hint="eastAsia" w:ascii="宋体" w:hAnsi="宋体" w:eastAsia="宋体" w:cs="宋体"/>
                <w:b w:val="0"/>
                <w:bCs w:val="0"/>
                <w:color w:val="auto"/>
                <w:sz w:val="24"/>
                <w:szCs w:val="24"/>
                <w:lang w:val="en-US" w:eastAsia="zh-CN"/>
              </w:rPr>
              <w:t>3、</w:t>
            </w:r>
            <w:r>
              <w:rPr>
                <w:rFonts w:hint="eastAsia" w:ascii="宋体" w:hAnsi="宋体" w:eastAsia="宋体" w:cs="宋体"/>
                <w:b w:val="0"/>
                <w:bCs w:val="0"/>
                <w:color w:val="auto"/>
                <w:sz w:val="24"/>
                <w:szCs w:val="24"/>
              </w:rPr>
              <w:t>污水接管可行性分析</w:t>
            </w:r>
          </w:p>
          <w:p w14:paraId="694C661A">
            <w:pPr>
              <w:pStyle w:val="10"/>
              <w:keepNext w:val="0"/>
              <w:keepLines w:val="0"/>
              <w:widowControl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边城镇污水处理厂位于句容市边城镇收费站东南角200m，西北面为高速公路收费站，西面为243省道，西南面为陈武村居民区，南面为农田，东面为黄梅河，黄梅河东面为农田。污水处理厂采用二级处理+深度处理的工艺，二级生物处理采用改进型三槽式氧化沟工艺，污水经粗格栅进入进水泵房，依次再通过平流沉砂池、三槽式氧化沟、絮凝沉淀池、纤维转盘滤池，最后经紫外线消毒渠消毒处理，尾水排入黄鹂河。</w:t>
            </w:r>
          </w:p>
          <w:p w14:paraId="29C9F98C">
            <w:pPr>
              <w:pStyle w:val="10"/>
              <w:keepNext w:val="0"/>
              <w:keepLines w:val="0"/>
              <w:widowControl w:val="0"/>
              <w:suppressLineNumbers w:val="0"/>
              <w:spacing w:before="0" w:beforeAutospacing="0" w:after="0" w:afterAutospacing="0" w:line="360" w:lineRule="auto"/>
              <w:ind w:left="0" w:right="0"/>
              <w:jc w:val="center"/>
              <w:rPr>
                <w:rFonts w:hint="default"/>
              </w:rPr>
            </w:pPr>
            <w:r>
              <w:rPr>
                <w:rFonts w:hint="default"/>
              </w:rPr>
              <w:drawing>
                <wp:inline distT="0" distB="0" distL="114300" distR="114300">
                  <wp:extent cx="4211320" cy="2483485"/>
                  <wp:effectExtent l="0" t="0" r="17780" b="12065"/>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23"/>
                          <a:stretch>
                            <a:fillRect/>
                          </a:stretch>
                        </pic:blipFill>
                        <pic:spPr>
                          <a:xfrm>
                            <a:off x="0" y="0"/>
                            <a:ext cx="4211320" cy="2483485"/>
                          </a:xfrm>
                          <a:prstGeom prst="rect">
                            <a:avLst/>
                          </a:prstGeom>
                          <a:noFill/>
                          <a:ln>
                            <a:noFill/>
                          </a:ln>
                        </pic:spPr>
                      </pic:pic>
                    </a:graphicData>
                  </a:graphic>
                </wp:inline>
              </w:drawing>
            </w:r>
          </w:p>
          <w:p w14:paraId="03A6F38D">
            <w:pPr>
              <w:keepNext w:val="0"/>
              <w:keepLines w:val="0"/>
              <w:suppressLineNumbers w:val="0"/>
              <w:spacing w:before="0" w:beforeAutospacing="0" w:after="0" w:afterAutospacing="0"/>
              <w:ind w:left="0" w:right="0"/>
              <w:jc w:val="center"/>
              <w:rPr>
                <w:rFonts w:hint="eastAsia"/>
                <w:lang w:val="en-US" w:eastAsia="zh-CN"/>
              </w:rPr>
            </w:pPr>
            <w:r>
              <w:rPr>
                <w:rFonts w:hint="eastAsia" w:ascii="宋体" w:hAnsi="宋体" w:eastAsia="宋体" w:cs="宋体"/>
                <w:b/>
                <w:bCs/>
                <w:lang w:val="en-US" w:eastAsia="zh-CN"/>
              </w:rPr>
              <w:t>图4-2 边城镇污水处理厂工艺流程图</w:t>
            </w:r>
          </w:p>
          <w:p w14:paraId="70471A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⑴水量</w:t>
            </w:r>
          </w:p>
          <w:p w14:paraId="36DAA3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 xml:space="preserve">边城镇污水处理厂现状处理水量约 2000t/d，运行状况良好。项目建成后污水量约为4.8t/d，边城镇污水处理厂有接管余量，因此，从处理规模上讲，本项目废水接管排入边城镇污水处理厂进行集中处理是可行的。 </w:t>
            </w:r>
          </w:p>
          <w:p w14:paraId="5E569A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宋体" w:hAnsi="宋体" w:eastAsia="宋体" w:cs="宋体"/>
                <w:b w:val="0"/>
                <w:bCs w:val="0"/>
                <w:color w:val="auto"/>
              </w:rPr>
            </w:pPr>
            <w:r>
              <w:rPr>
                <w:rFonts w:hint="eastAsia" w:ascii="宋体" w:hAnsi="宋体" w:eastAsia="宋体" w:cs="宋体"/>
                <w:b w:val="0"/>
                <w:bCs w:val="0"/>
                <w:color w:val="auto"/>
              </w:rPr>
              <w:t>⑵水质方面</w:t>
            </w:r>
          </w:p>
          <w:p w14:paraId="095C46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eastAsia" w:ascii="宋体" w:hAnsi="宋体" w:eastAsia="宋体" w:cs="宋体"/>
                <w:b w:val="0"/>
                <w:bCs w:val="0"/>
                <w:color w:val="auto"/>
              </w:rPr>
            </w:pPr>
            <w:r>
              <w:rPr>
                <w:rFonts w:hint="eastAsia" w:ascii="宋体" w:hAnsi="宋体" w:eastAsia="宋体" w:cs="宋体"/>
                <w:b w:val="0"/>
                <w:bCs w:val="0"/>
                <w:color w:val="auto"/>
              </w:rPr>
              <w:t>项目所排生活污水中主要污染因子为COD、SS、氨氮、总氮、TP等常规因子，废水水质较简单，无重金属、有机毒物类物质，废水中污染物浓度较低，难降解有机物少，接管废水中各污染物浓度均符合污水处理厂的接管标准要求，废水水质在该污水处理厂处理能力范围内。</w:t>
            </w:r>
          </w:p>
          <w:p w14:paraId="495B85C4">
            <w:pPr>
              <w:keepNext w:val="0"/>
              <w:keepLines w:val="0"/>
              <w:suppressLineNumbers w:val="0"/>
              <w:spacing w:before="0" w:beforeAutospacing="0" w:after="0" w:afterAutospacing="0"/>
              <w:ind w:left="0" w:right="0" w:firstLine="480" w:firstLineChars="200"/>
              <w:rPr>
                <w:rFonts w:hint="eastAsia" w:ascii="宋体" w:hAnsi="宋体" w:eastAsia="宋体" w:cs="宋体"/>
                <w:b w:val="0"/>
                <w:bCs w:val="0"/>
                <w:color w:val="auto"/>
              </w:rPr>
            </w:pPr>
            <w:r>
              <w:rPr>
                <w:rFonts w:hint="eastAsia" w:ascii="宋体" w:hAnsi="宋体" w:eastAsia="宋体" w:cs="宋体"/>
                <w:b w:val="0"/>
                <w:bCs w:val="0"/>
                <w:color w:val="auto"/>
              </w:rPr>
              <w:t>⑶管网</w:t>
            </w:r>
          </w:p>
          <w:p w14:paraId="157E507E">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lang w:val="en-US" w:eastAsia="zh-CN"/>
              </w:rPr>
            </w:pPr>
            <w:r>
              <w:rPr>
                <w:rFonts w:hint="eastAsia" w:ascii="宋体" w:hAnsi="宋体" w:eastAsia="宋体" w:cs="宋体"/>
                <w:b w:val="0"/>
                <w:bCs w:val="0"/>
                <w:color w:val="auto"/>
              </w:rPr>
              <w:t>目前污水管网已接通至本区域，因此本项目废水能够进行接管处理（接管</w:t>
            </w:r>
            <w:r>
              <w:rPr>
                <w:rFonts w:hint="eastAsia" w:ascii="宋体" w:hAnsi="宋体" w:eastAsia="宋体" w:cs="宋体"/>
                <w:b w:val="0"/>
                <w:bCs w:val="0"/>
                <w:color w:val="auto"/>
                <w:lang w:val="en-US" w:eastAsia="zh-CN"/>
              </w:rPr>
              <w:t>证明</w:t>
            </w:r>
            <w:r>
              <w:rPr>
                <w:rFonts w:hint="eastAsia" w:ascii="宋体" w:hAnsi="宋体" w:eastAsia="宋体" w:cs="宋体"/>
                <w:b w:val="0"/>
                <w:bCs w:val="0"/>
                <w:color w:val="auto"/>
              </w:rPr>
              <w:t>见附件）。</w:t>
            </w:r>
          </w:p>
          <w:p w14:paraId="5E16608A">
            <w:pPr>
              <w:keepNext w:val="0"/>
              <w:keepLines w:val="0"/>
              <w:suppressLineNumbers w:val="0"/>
              <w:wordWrap w:val="0"/>
              <w:topLinePunct/>
              <w:adjustRightInd w:val="0"/>
              <w:snapToGrid w:val="0"/>
              <w:spacing w:before="0" w:beforeAutospacing="0" w:after="0" w:afterAutospacing="0"/>
              <w:ind w:left="0" w:right="0"/>
              <w:jc w:val="left"/>
              <w:rPr>
                <w:rFonts w:hint="eastAsia" w:ascii="宋体" w:hAnsi="宋体" w:eastAsia="宋体" w:cs="宋体"/>
              </w:rPr>
            </w:pPr>
            <w:r>
              <w:rPr>
                <w:rFonts w:hint="eastAsia" w:ascii="宋体" w:hAnsi="宋体" w:eastAsia="宋体" w:cs="宋体"/>
              </w:rPr>
              <w:t>4、废水排放情况</w:t>
            </w:r>
          </w:p>
          <w:p w14:paraId="4519C2A4">
            <w:pPr>
              <w:pStyle w:val="17"/>
              <w:keepNext w:val="0"/>
              <w:keepLines w:val="0"/>
              <w:suppressLineNumbers w:val="0"/>
              <w:adjustRightInd w:val="0"/>
              <w:snapToGrid w:val="0"/>
              <w:spacing w:before="0" w:beforeAutospacing="0" w:after="0" w:afterAutospacing="0"/>
              <w:ind w:left="0" w:leftChars="0" w:right="0"/>
              <w:jc w:val="left"/>
              <w:rPr>
                <w:rFonts w:hint="eastAsia" w:ascii="宋体" w:hAnsi="宋体" w:eastAsia="宋体" w:cs="宋体"/>
                <w:b/>
                <w:bCs/>
              </w:rPr>
            </w:pPr>
            <w:r>
              <w:rPr>
                <w:rFonts w:hint="eastAsia" w:ascii="宋体" w:hAnsi="宋体" w:eastAsia="宋体" w:cs="宋体"/>
              </w:rPr>
              <w:t>项目废水排放口情况见表4-1</w:t>
            </w:r>
            <w:r>
              <w:rPr>
                <w:rFonts w:hint="eastAsia" w:ascii="宋体" w:hAnsi="宋体" w:eastAsia="宋体" w:cs="宋体"/>
                <w:lang w:val="en-US" w:eastAsia="zh-CN"/>
              </w:rPr>
              <w:t>4</w:t>
            </w:r>
            <w:r>
              <w:rPr>
                <w:rFonts w:hint="eastAsia" w:ascii="宋体" w:hAnsi="宋体" w:eastAsia="宋体" w:cs="宋体"/>
              </w:rPr>
              <w:t>。</w:t>
            </w:r>
          </w:p>
          <w:p w14:paraId="6D0C80CC">
            <w:pPr>
              <w:keepNext w:val="0"/>
              <w:keepLines w:val="0"/>
              <w:suppressLineNumbers w:val="0"/>
              <w:adjustRightInd w:val="0"/>
              <w:snapToGrid w:val="0"/>
              <w:spacing w:before="0" w:beforeAutospacing="0" w:after="0" w:afterAutospacing="0"/>
              <w:ind w:left="0" w:right="0"/>
              <w:jc w:val="right"/>
              <w:rPr>
                <w:rFonts w:hint="eastAsia" w:ascii="宋体" w:hAnsi="宋体" w:eastAsia="宋体" w:cs="宋体"/>
              </w:rPr>
            </w:pPr>
            <w:r>
              <w:rPr>
                <w:rFonts w:hint="eastAsia" w:ascii="宋体" w:hAnsi="宋体" w:eastAsia="宋体" w:cs="宋体"/>
                <w:b/>
                <w:bCs/>
              </w:rPr>
              <w:t>表4-1</w:t>
            </w:r>
            <w:r>
              <w:rPr>
                <w:rFonts w:hint="eastAsia" w:ascii="宋体" w:hAnsi="宋体" w:eastAsia="宋体" w:cs="宋体"/>
                <w:b/>
                <w:bCs/>
                <w:lang w:val="en-US" w:eastAsia="zh-CN"/>
              </w:rPr>
              <w:t>4</w:t>
            </w:r>
            <w:r>
              <w:rPr>
                <w:rFonts w:hint="eastAsia" w:ascii="宋体" w:hAnsi="宋体" w:eastAsia="宋体" w:cs="宋体"/>
                <w:b/>
                <w:bCs/>
              </w:rPr>
              <w:t xml:space="preserve">  废水排放口基本情况表</w:t>
            </w:r>
            <w:r>
              <w:rPr>
                <w:rFonts w:hint="eastAsia" w:ascii="宋体" w:hAnsi="宋体" w:eastAsia="宋体" w:cs="宋体"/>
              </w:rPr>
              <w:t xml:space="preserve">  （单位：mg/L，pH 为无量纲）</w:t>
            </w:r>
          </w:p>
          <w:tbl>
            <w:tblPr>
              <w:tblStyle w:val="30"/>
              <w:tblW w:w="819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9"/>
              <w:gridCol w:w="678"/>
              <w:gridCol w:w="1033"/>
              <w:gridCol w:w="624"/>
              <w:gridCol w:w="797"/>
              <w:gridCol w:w="647"/>
              <w:gridCol w:w="648"/>
              <w:gridCol w:w="657"/>
              <w:gridCol w:w="608"/>
              <w:gridCol w:w="716"/>
              <w:gridCol w:w="1408"/>
            </w:tblGrid>
            <w:tr w14:paraId="1207E4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79" w:type="dxa"/>
                  <w:vMerge w:val="restart"/>
                  <w:noWrap w:val="0"/>
                  <w:vAlign w:val="center"/>
                </w:tcPr>
                <w:p w14:paraId="015EF2BB">
                  <w:pPr>
                    <w:keepNext w:val="0"/>
                    <w:keepLines w:val="0"/>
                    <w:suppressLineNumbers w:val="0"/>
                    <w:autoSpaceDE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678" w:type="dxa"/>
                  <w:vMerge w:val="restart"/>
                  <w:noWrap w:val="0"/>
                  <w:vAlign w:val="center"/>
                </w:tcPr>
                <w:p w14:paraId="57EAA0A7">
                  <w:pPr>
                    <w:keepNext w:val="0"/>
                    <w:keepLines w:val="0"/>
                    <w:suppressLineNumbers w:val="0"/>
                    <w:autoSpaceDE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废水类别a</w:t>
                  </w:r>
                </w:p>
              </w:tc>
              <w:tc>
                <w:tcPr>
                  <w:tcW w:w="1033" w:type="dxa"/>
                  <w:vMerge w:val="restart"/>
                  <w:noWrap w:val="0"/>
                  <w:vAlign w:val="center"/>
                </w:tcPr>
                <w:p w14:paraId="0077F805">
                  <w:pPr>
                    <w:keepNext w:val="0"/>
                    <w:keepLines w:val="0"/>
                    <w:suppressLineNumbers w:val="0"/>
                    <w:autoSpaceDE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污染物种类b</w:t>
                  </w:r>
                </w:p>
              </w:tc>
              <w:tc>
                <w:tcPr>
                  <w:tcW w:w="624" w:type="dxa"/>
                  <w:vMerge w:val="restart"/>
                  <w:noWrap w:val="0"/>
                  <w:vAlign w:val="center"/>
                </w:tcPr>
                <w:p w14:paraId="4D3AE4C0">
                  <w:pPr>
                    <w:keepNext w:val="0"/>
                    <w:keepLines w:val="0"/>
                    <w:suppressLineNumbers w:val="0"/>
                    <w:autoSpaceDE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排放去向c</w:t>
                  </w:r>
                </w:p>
              </w:tc>
              <w:tc>
                <w:tcPr>
                  <w:tcW w:w="797" w:type="dxa"/>
                  <w:vMerge w:val="restart"/>
                  <w:noWrap w:val="0"/>
                  <w:vAlign w:val="center"/>
                </w:tcPr>
                <w:p w14:paraId="69447BC6">
                  <w:pPr>
                    <w:keepNext w:val="0"/>
                    <w:keepLines w:val="0"/>
                    <w:suppressLineNumbers w:val="0"/>
                    <w:autoSpaceDE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排放规律d</w:t>
                  </w:r>
                </w:p>
              </w:tc>
              <w:tc>
                <w:tcPr>
                  <w:tcW w:w="1952" w:type="dxa"/>
                  <w:gridSpan w:val="3"/>
                  <w:noWrap w:val="0"/>
                  <w:vAlign w:val="center"/>
                </w:tcPr>
                <w:p w14:paraId="378A502C">
                  <w:pPr>
                    <w:keepNext w:val="0"/>
                    <w:keepLines w:val="0"/>
                    <w:suppressLineNumbers w:val="0"/>
                    <w:autoSpaceDE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污染治理设施</w:t>
                  </w:r>
                </w:p>
              </w:tc>
              <w:tc>
                <w:tcPr>
                  <w:tcW w:w="608" w:type="dxa"/>
                  <w:vMerge w:val="restart"/>
                  <w:noWrap w:val="0"/>
                  <w:vAlign w:val="center"/>
                </w:tcPr>
                <w:p w14:paraId="70EC46D4">
                  <w:pPr>
                    <w:keepNext w:val="0"/>
                    <w:keepLines w:val="0"/>
                    <w:suppressLineNumbers w:val="0"/>
                    <w:autoSpaceDE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排放口编号f</w:t>
                  </w:r>
                </w:p>
              </w:tc>
              <w:tc>
                <w:tcPr>
                  <w:tcW w:w="716" w:type="dxa"/>
                  <w:vMerge w:val="restart"/>
                  <w:noWrap w:val="0"/>
                  <w:vAlign w:val="center"/>
                </w:tcPr>
                <w:p w14:paraId="50D7E05E">
                  <w:pPr>
                    <w:keepNext w:val="0"/>
                    <w:keepLines w:val="0"/>
                    <w:suppressLineNumbers w:val="0"/>
                    <w:autoSpaceDE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排放口设置是否符合要求g</w:t>
                  </w:r>
                </w:p>
              </w:tc>
              <w:tc>
                <w:tcPr>
                  <w:tcW w:w="1408" w:type="dxa"/>
                  <w:vMerge w:val="restart"/>
                  <w:noWrap w:val="0"/>
                  <w:vAlign w:val="center"/>
                </w:tcPr>
                <w:p w14:paraId="72D6114B">
                  <w:pPr>
                    <w:keepNext w:val="0"/>
                    <w:keepLines w:val="0"/>
                    <w:suppressLineNumbers w:val="0"/>
                    <w:autoSpaceDE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排放口类型</w:t>
                  </w:r>
                </w:p>
              </w:tc>
            </w:tr>
            <w:tr w14:paraId="30B508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5" w:hRule="atLeast"/>
                <w:jc w:val="center"/>
              </w:trPr>
              <w:tc>
                <w:tcPr>
                  <w:tcW w:w="379" w:type="dxa"/>
                  <w:vMerge w:val="continue"/>
                  <w:noWrap w:val="0"/>
                  <w:vAlign w:val="center"/>
                </w:tcPr>
                <w:p w14:paraId="65979C55">
                  <w:pPr>
                    <w:keepNext w:val="0"/>
                    <w:keepLines w:val="0"/>
                    <w:suppressLineNumbers w:val="0"/>
                    <w:autoSpaceDE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678" w:type="dxa"/>
                  <w:vMerge w:val="continue"/>
                  <w:noWrap w:val="0"/>
                  <w:vAlign w:val="center"/>
                </w:tcPr>
                <w:p w14:paraId="3303339E">
                  <w:pPr>
                    <w:keepNext w:val="0"/>
                    <w:keepLines w:val="0"/>
                    <w:suppressLineNumbers w:val="0"/>
                    <w:autoSpaceDE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1033" w:type="dxa"/>
                  <w:vMerge w:val="continue"/>
                  <w:noWrap w:val="0"/>
                  <w:vAlign w:val="center"/>
                </w:tcPr>
                <w:p w14:paraId="76424AB7">
                  <w:pPr>
                    <w:keepNext w:val="0"/>
                    <w:keepLines w:val="0"/>
                    <w:suppressLineNumbers w:val="0"/>
                    <w:autoSpaceDE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624" w:type="dxa"/>
                  <w:vMerge w:val="continue"/>
                  <w:noWrap w:val="0"/>
                  <w:vAlign w:val="center"/>
                </w:tcPr>
                <w:p w14:paraId="78284588">
                  <w:pPr>
                    <w:keepNext w:val="0"/>
                    <w:keepLines w:val="0"/>
                    <w:suppressLineNumbers w:val="0"/>
                    <w:autoSpaceDE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797" w:type="dxa"/>
                  <w:vMerge w:val="continue"/>
                  <w:noWrap w:val="0"/>
                  <w:vAlign w:val="center"/>
                </w:tcPr>
                <w:p w14:paraId="7A7E3EB5">
                  <w:pPr>
                    <w:keepNext w:val="0"/>
                    <w:keepLines w:val="0"/>
                    <w:suppressLineNumbers w:val="0"/>
                    <w:autoSpaceDE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647" w:type="dxa"/>
                  <w:noWrap w:val="0"/>
                  <w:vAlign w:val="center"/>
                </w:tcPr>
                <w:p w14:paraId="2DF45572">
                  <w:pPr>
                    <w:keepNext w:val="0"/>
                    <w:keepLines w:val="0"/>
                    <w:suppressLineNumbers w:val="0"/>
                    <w:autoSpaceDE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污染治理设施编号</w:t>
                  </w:r>
                </w:p>
              </w:tc>
              <w:tc>
                <w:tcPr>
                  <w:tcW w:w="648" w:type="dxa"/>
                  <w:noWrap w:val="0"/>
                  <w:vAlign w:val="center"/>
                </w:tcPr>
                <w:p w14:paraId="74423607">
                  <w:pPr>
                    <w:keepNext w:val="0"/>
                    <w:keepLines w:val="0"/>
                    <w:suppressLineNumbers w:val="0"/>
                    <w:autoSpaceDE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污染治理设施名称e</w:t>
                  </w:r>
                </w:p>
              </w:tc>
              <w:tc>
                <w:tcPr>
                  <w:tcW w:w="657" w:type="dxa"/>
                  <w:noWrap w:val="0"/>
                  <w:vAlign w:val="center"/>
                </w:tcPr>
                <w:p w14:paraId="255B9E88">
                  <w:pPr>
                    <w:keepNext w:val="0"/>
                    <w:keepLines w:val="0"/>
                    <w:suppressLineNumbers w:val="0"/>
                    <w:autoSpaceDE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污染治理设施工艺</w:t>
                  </w:r>
                </w:p>
              </w:tc>
              <w:tc>
                <w:tcPr>
                  <w:tcW w:w="608" w:type="dxa"/>
                  <w:vMerge w:val="continue"/>
                  <w:noWrap w:val="0"/>
                  <w:vAlign w:val="center"/>
                </w:tcPr>
                <w:p w14:paraId="64CE4716">
                  <w:pPr>
                    <w:keepNext w:val="0"/>
                    <w:keepLines w:val="0"/>
                    <w:suppressLineNumbers w:val="0"/>
                    <w:autoSpaceDE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716" w:type="dxa"/>
                  <w:vMerge w:val="continue"/>
                  <w:noWrap w:val="0"/>
                  <w:vAlign w:val="center"/>
                </w:tcPr>
                <w:p w14:paraId="67FAB8BC">
                  <w:pPr>
                    <w:keepNext w:val="0"/>
                    <w:keepLines w:val="0"/>
                    <w:suppressLineNumbers w:val="0"/>
                    <w:autoSpaceDE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1408" w:type="dxa"/>
                  <w:vMerge w:val="continue"/>
                  <w:noWrap w:val="0"/>
                  <w:vAlign w:val="center"/>
                </w:tcPr>
                <w:p w14:paraId="1F144CCE">
                  <w:pPr>
                    <w:keepNext w:val="0"/>
                    <w:keepLines w:val="0"/>
                    <w:suppressLineNumbers w:val="0"/>
                    <w:autoSpaceDE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r>
            <w:tr w14:paraId="30F6AE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5" w:hRule="atLeast"/>
                <w:jc w:val="center"/>
              </w:trPr>
              <w:tc>
                <w:tcPr>
                  <w:tcW w:w="379" w:type="dxa"/>
                  <w:noWrap w:val="0"/>
                  <w:vAlign w:val="center"/>
                </w:tcPr>
                <w:p w14:paraId="15EA93C2">
                  <w:pPr>
                    <w:keepNext w:val="0"/>
                    <w:keepLines w:val="0"/>
                    <w:suppressLineNumbers w:val="0"/>
                    <w:autoSpaceDE w:val="0"/>
                    <w:adjustRightInd w:val="0"/>
                    <w:snapToGrid w:val="0"/>
                    <w:spacing w:before="0" w:beforeAutospacing="0" w:after="0" w:afterAutospacing="0" w:line="240" w:lineRule="atLeast"/>
                    <w:ind w:left="0" w:right="0"/>
                    <w:jc w:val="center"/>
                    <w:rPr>
                      <w:rFonts w:hint="default" w:ascii="宋体" w:hAnsi="宋体" w:eastAsia="宋体" w:cs="宋体"/>
                      <w:sz w:val="21"/>
                      <w:szCs w:val="21"/>
                    </w:rPr>
                  </w:pPr>
                  <w:r>
                    <w:rPr>
                      <w:rFonts w:hint="eastAsia" w:ascii="宋体" w:hAnsi="宋体" w:eastAsia="宋体" w:cs="宋体"/>
                      <w:sz w:val="21"/>
                      <w:szCs w:val="21"/>
                    </w:rPr>
                    <w:t>1</w:t>
                  </w:r>
                </w:p>
              </w:tc>
              <w:tc>
                <w:tcPr>
                  <w:tcW w:w="678" w:type="dxa"/>
                  <w:noWrap w:val="0"/>
                  <w:vAlign w:val="center"/>
                </w:tcPr>
                <w:p w14:paraId="5A9E4815">
                  <w:pPr>
                    <w:keepNext w:val="0"/>
                    <w:keepLines w:val="0"/>
                    <w:suppressLineNumbers w:val="0"/>
                    <w:autoSpaceDE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生活污水</w:t>
                  </w:r>
                </w:p>
              </w:tc>
              <w:tc>
                <w:tcPr>
                  <w:tcW w:w="1033" w:type="dxa"/>
                  <w:noWrap w:val="0"/>
                  <w:vAlign w:val="center"/>
                </w:tcPr>
                <w:p w14:paraId="325B415B">
                  <w:pPr>
                    <w:keepNext w:val="0"/>
                    <w:keepLines w:val="0"/>
                    <w:suppressLineNumbers w:val="0"/>
                    <w:autoSpaceDE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COD</w:t>
                  </w:r>
                </w:p>
                <w:p w14:paraId="7377DFBA">
                  <w:pPr>
                    <w:keepNext w:val="0"/>
                    <w:keepLines w:val="0"/>
                    <w:suppressLineNumbers w:val="0"/>
                    <w:autoSpaceDE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SS</w:t>
                  </w:r>
                </w:p>
                <w:p w14:paraId="0C7203EA">
                  <w:pPr>
                    <w:keepNext w:val="0"/>
                    <w:keepLines w:val="0"/>
                    <w:suppressLineNumbers w:val="0"/>
                    <w:autoSpaceDE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氨氮</w:t>
                  </w:r>
                </w:p>
                <w:p w14:paraId="70CC4DC0">
                  <w:pPr>
                    <w:keepNext w:val="0"/>
                    <w:keepLines w:val="0"/>
                    <w:suppressLineNumbers w:val="0"/>
                    <w:autoSpaceDE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总磷</w:t>
                  </w:r>
                </w:p>
                <w:p w14:paraId="09D89B70">
                  <w:pPr>
                    <w:pStyle w:val="7"/>
                    <w:keepNext w:val="0"/>
                    <w:keepLines w:val="0"/>
                    <w:suppressLineNumbers w:val="0"/>
                    <w:adjustRightInd w:val="0"/>
                    <w:snapToGrid w:val="0"/>
                    <w:spacing w:before="0" w:beforeAutospacing="0" w:after="0" w:afterAutospacing="0" w:line="240" w:lineRule="atLeast"/>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总氮</w:t>
                  </w:r>
                </w:p>
                <w:p w14:paraId="47EA9BB0">
                  <w:pPr>
                    <w:pStyle w:val="7"/>
                    <w:keepNext w:val="0"/>
                    <w:keepLines w:val="0"/>
                    <w:suppressLineNumbers w:val="0"/>
                    <w:adjustRightInd w:val="0"/>
                    <w:snapToGrid w:val="0"/>
                    <w:spacing w:before="0" w:beforeAutospacing="0" w:after="0" w:afterAutospacing="0" w:line="240" w:lineRule="atLeast"/>
                    <w:ind w:left="0" w:right="0" w:firstLine="0" w:firstLineChars="0"/>
                    <w:jc w:val="center"/>
                    <w:rPr>
                      <w:rFonts w:hint="default" w:ascii="宋体" w:hAnsi="宋体" w:eastAsia="宋体" w:cs="宋体"/>
                      <w:sz w:val="21"/>
                      <w:szCs w:val="21"/>
                      <w:vertAlign w:val="subscript"/>
                      <w:lang w:val="en-US" w:eastAsia="zh-CN"/>
                    </w:rPr>
                  </w:pPr>
                </w:p>
              </w:tc>
              <w:tc>
                <w:tcPr>
                  <w:tcW w:w="624" w:type="dxa"/>
                  <w:noWrap w:val="0"/>
                  <w:vAlign w:val="center"/>
                </w:tcPr>
                <w:p w14:paraId="23C36656">
                  <w:pPr>
                    <w:keepNext w:val="0"/>
                    <w:keepLines w:val="0"/>
                    <w:suppressLineNumbers w:val="0"/>
                    <w:autoSpaceDE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句容市边城镇污水处理厂</w:t>
                  </w:r>
                </w:p>
              </w:tc>
              <w:tc>
                <w:tcPr>
                  <w:tcW w:w="797" w:type="dxa"/>
                  <w:noWrap w:val="0"/>
                  <w:vAlign w:val="center"/>
                </w:tcPr>
                <w:p w14:paraId="5D1F3095">
                  <w:pPr>
                    <w:keepNext w:val="0"/>
                    <w:keepLines w:val="0"/>
                    <w:suppressLineNumbers w:val="0"/>
                    <w:autoSpaceDE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连续排放，流量稳定规律，但不属于冲击型排放</w:t>
                  </w:r>
                </w:p>
              </w:tc>
              <w:tc>
                <w:tcPr>
                  <w:tcW w:w="647" w:type="dxa"/>
                  <w:noWrap w:val="0"/>
                  <w:vAlign w:val="center"/>
                </w:tcPr>
                <w:p w14:paraId="4E6824AA">
                  <w:pPr>
                    <w:keepNext w:val="0"/>
                    <w:keepLines w:val="0"/>
                    <w:suppressLineNumbers w:val="0"/>
                    <w:autoSpaceDE w:val="0"/>
                    <w:adjustRightInd w:val="0"/>
                    <w:snapToGrid w:val="0"/>
                    <w:spacing w:before="0" w:beforeAutospacing="0" w:after="0" w:afterAutospacing="0" w:line="240" w:lineRule="atLeast"/>
                    <w:ind w:left="0" w:right="0"/>
                    <w:jc w:val="center"/>
                    <w:rPr>
                      <w:rFonts w:hint="default" w:ascii="宋体" w:hAnsi="宋体" w:eastAsia="宋体" w:cs="宋体"/>
                      <w:sz w:val="21"/>
                      <w:szCs w:val="21"/>
                    </w:rPr>
                  </w:pPr>
                  <w:r>
                    <w:rPr>
                      <w:rFonts w:hint="eastAsia" w:ascii="宋体" w:hAnsi="宋体" w:eastAsia="宋体" w:cs="宋体"/>
                      <w:sz w:val="21"/>
                      <w:szCs w:val="21"/>
                    </w:rPr>
                    <w:t>TW001</w:t>
                  </w:r>
                </w:p>
              </w:tc>
              <w:tc>
                <w:tcPr>
                  <w:tcW w:w="648" w:type="dxa"/>
                  <w:noWrap w:val="0"/>
                  <w:vAlign w:val="center"/>
                </w:tcPr>
                <w:p w14:paraId="19C2C79F">
                  <w:pPr>
                    <w:keepNext w:val="0"/>
                    <w:keepLines w:val="0"/>
                    <w:suppressLineNumbers w:val="0"/>
                    <w:autoSpaceDE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eastAsia="zh-CN"/>
                    </w:rPr>
                  </w:pPr>
                  <w:r>
                    <w:rPr>
                      <w:rFonts w:hint="eastAsia" w:ascii="宋体" w:hAnsi="宋体" w:eastAsia="宋体" w:cs="宋体"/>
                      <w:sz w:val="21"/>
                      <w:szCs w:val="21"/>
                    </w:rPr>
                    <w:t>化粪池</w:t>
                  </w:r>
                </w:p>
              </w:tc>
              <w:tc>
                <w:tcPr>
                  <w:tcW w:w="657" w:type="dxa"/>
                  <w:noWrap w:val="0"/>
                  <w:vAlign w:val="center"/>
                </w:tcPr>
                <w:p w14:paraId="281C2014">
                  <w:pPr>
                    <w:keepNext w:val="0"/>
                    <w:keepLines w:val="0"/>
                    <w:suppressLineNumbers w:val="0"/>
                    <w:autoSpaceDE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eastAsia="zh-CN"/>
                    </w:rPr>
                  </w:pPr>
                  <w:r>
                    <w:rPr>
                      <w:rFonts w:hint="eastAsia" w:ascii="宋体" w:hAnsi="宋体" w:eastAsia="宋体" w:cs="宋体"/>
                      <w:sz w:val="21"/>
                      <w:szCs w:val="21"/>
                    </w:rPr>
                    <w:t>沉淀+厌氧发酵</w:t>
                  </w:r>
                </w:p>
              </w:tc>
              <w:tc>
                <w:tcPr>
                  <w:tcW w:w="608" w:type="dxa"/>
                  <w:noWrap w:val="0"/>
                  <w:vAlign w:val="center"/>
                </w:tcPr>
                <w:p w14:paraId="0A252AE8">
                  <w:pPr>
                    <w:keepNext w:val="0"/>
                    <w:keepLines w:val="0"/>
                    <w:suppressLineNumbers w:val="0"/>
                    <w:autoSpaceDE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DW001</w:t>
                  </w:r>
                </w:p>
              </w:tc>
              <w:tc>
                <w:tcPr>
                  <w:tcW w:w="716" w:type="dxa"/>
                  <w:noWrap w:val="0"/>
                  <w:vAlign w:val="center"/>
                </w:tcPr>
                <w:p w14:paraId="1D194E37">
                  <w:pPr>
                    <w:keepNext w:val="0"/>
                    <w:keepLines w:val="0"/>
                    <w:suppressLineNumbers w:val="0"/>
                    <w:autoSpaceDE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sym w:font="Wingdings 2" w:char="0052"/>
                  </w:r>
                  <w:r>
                    <w:rPr>
                      <w:rFonts w:hint="eastAsia" w:ascii="宋体" w:hAnsi="宋体" w:eastAsia="宋体" w:cs="宋体"/>
                      <w:sz w:val="21"/>
                      <w:szCs w:val="21"/>
                    </w:rPr>
                    <w:t>是</w:t>
                  </w:r>
                </w:p>
                <w:p w14:paraId="6CA4CF8D">
                  <w:pPr>
                    <w:keepNext w:val="0"/>
                    <w:keepLines w:val="0"/>
                    <w:suppressLineNumbers w:val="0"/>
                    <w:autoSpaceDE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□否</w:t>
                  </w:r>
                </w:p>
              </w:tc>
              <w:tc>
                <w:tcPr>
                  <w:tcW w:w="1408" w:type="dxa"/>
                  <w:noWrap w:val="0"/>
                  <w:vAlign w:val="center"/>
                </w:tcPr>
                <w:p w14:paraId="77E6F2F8">
                  <w:pPr>
                    <w:keepNext w:val="0"/>
                    <w:keepLines w:val="0"/>
                    <w:suppressLineNumbers w:val="0"/>
                    <w:autoSpaceDE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sym w:font="Wingdings 2" w:char="0052"/>
                  </w:r>
                  <w:r>
                    <w:rPr>
                      <w:rFonts w:hint="eastAsia" w:ascii="宋体" w:hAnsi="宋体" w:eastAsia="宋体" w:cs="宋体"/>
                      <w:sz w:val="21"/>
                      <w:szCs w:val="21"/>
                    </w:rPr>
                    <w:t>企业排口</w:t>
                  </w:r>
                </w:p>
                <w:p w14:paraId="34CAD8EE">
                  <w:pPr>
                    <w:keepNext w:val="0"/>
                    <w:keepLines w:val="0"/>
                    <w:suppressLineNumbers w:val="0"/>
                    <w:autoSpaceDE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□雨水排放</w:t>
                  </w:r>
                </w:p>
                <w:p w14:paraId="68093ECB">
                  <w:pPr>
                    <w:keepNext w:val="0"/>
                    <w:keepLines w:val="0"/>
                    <w:suppressLineNumbers w:val="0"/>
                    <w:autoSpaceDE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□清净下水排放</w:t>
                  </w:r>
                </w:p>
                <w:p w14:paraId="65CDBEFB">
                  <w:pPr>
                    <w:keepNext w:val="0"/>
                    <w:keepLines w:val="0"/>
                    <w:suppressLineNumbers w:val="0"/>
                    <w:autoSpaceDE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□温排水排放</w:t>
                  </w:r>
                </w:p>
                <w:p w14:paraId="10D6DF3E">
                  <w:pPr>
                    <w:keepNext w:val="0"/>
                    <w:keepLines w:val="0"/>
                    <w:suppressLineNumbers w:val="0"/>
                    <w:autoSpaceDE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□车间或车间处理设施排放口</w:t>
                  </w:r>
                </w:p>
              </w:tc>
            </w:tr>
            <w:tr w14:paraId="21B94B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3" w:hRule="atLeast"/>
                <w:jc w:val="center"/>
              </w:trPr>
              <w:tc>
                <w:tcPr>
                  <w:tcW w:w="8195" w:type="dxa"/>
                  <w:gridSpan w:val="11"/>
                  <w:noWrap w:val="0"/>
                  <w:vAlign w:val="top"/>
                </w:tcPr>
                <w:p w14:paraId="314A271C">
                  <w:pPr>
                    <w:keepNext w:val="0"/>
                    <w:keepLines w:val="0"/>
                    <w:suppressLineNumbers w:val="0"/>
                    <w:autoSpaceDE w:val="0"/>
                    <w:adjustRightInd w:val="0"/>
                    <w:snapToGrid w:val="0"/>
                    <w:spacing w:before="0" w:beforeAutospacing="0" w:after="0" w:afterAutospacing="0" w:line="240" w:lineRule="atLeast"/>
                    <w:ind w:left="0" w:right="0"/>
                    <w:rPr>
                      <w:rFonts w:hint="eastAsia" w:ascii="宋体" w:hAnsi="宋体" w:eastAsia="宋体" w:cs="宋体"/>
                      <w:sz w:val="18"/>
                      <w:szCs w:val="18"/>
                    </w:rPr>
                  </w:pPr>
                  <w:r>
                    <w:rPr>
                      <w:rFonts w:hint="eastAsia" w:ascii="宋体" w:hAnsi="宋体" w:eastAsia="宋体" w:cs="宋体"/>
                      <w:sz w:val="18"/>
                      <w:szCs w:val="18"/>
                    </w:rPr>
                    <w:t>a指产生废水的工艺、工序，或废水类型的名称。</w:t>
                  </w:r>
                </w:p>
                <w:p w14:paraId="5892FF16">
                  <w:pPr>
                    <w:keepNext w:val="0"/>
                    <w:keepLines w:val="0"/>
                    <w:suppressLineNumbers w:val="0"/>
                    <w:autoSpaceDE w:val="0"/>
                    <w:adjustRightInd w:val="0"/>
                    <w:snapToGrid w:val="0"/>
                    <w:spacing w:before="0" w:beforeAutospacing="0" w:after="0" w:afterAutospacing="0" w:line="240" w:lineRule="atLeast"/>
                    <w:ind w:left="0" w:right="0"/>
                    <w:rPr>
                      <w:rFonts w:hint="eastAsia" w:ascii="宋体" w:hAnsi="宋体" w:eastAsia="宋体" w:cs="宋体"/>
                      <w:sz w:val="18"/>
                      <w:szCs w:val="18"/>
                    </w:rPr>
                  </w:pPr>
                  <w:r>
                    <w:rPr>
                      <w:rFonts w:hint="eastAsia" w:ascii="宋体" w:hAnsi="宋体" w:eastAsia="宋体" w:cs="宋体"/>
                      <w:sz w:val="18"/>
                      <w:szCs w:val="18"/>
                    </w:rPr>
                    <w:t>b指产生的主要污染物类型，以相应排放标准中确定的污染因子为准。</w:t>
                  </w:r>
                </w:p>
                <w:p w14:paraId="422BCC74">
                  <w:pPr>
                    <w:keepNext w:val="0"/>
                    <w:keepLines w:val="0"/>
                    <w:suppressLineNumbers w:val="0"/>
                    <w:autoSpaceDE w:val="0"/>
                    <w:adjustRightInd w:val="0"/>
                    <w:snapToGrid w:val="0"/>
                    <w:spacing w:before="0" w:beforeAutospacing="0" w:after="0" w:afterAutospacing="0" w:line="240" w:lineRule="atLeast"/>
                    <w:ind w:left="0" w:right="0"/>
                    <w:rPr>
                      <w:rFonts w:hint="eastAsia" w:ascii="宋体" w:hAnsi="宋体" w:eastAsia="宋体" w:cs="宋体"/>
                      <w:sz w:val="18"/>
                      <w:szCs w:val="18"/>
                    </w:rPr>
                  </w:pPr>
                  <w:r>
                    <w:rPr>
                      <w:rFonts w:hint="eastAsia" w:ascii="宋体" w:hAnsi="宋体" w:eastAsia="宋体" w:cs="宋体"/>
                      <w:sz w:val="18"/>
                      <w:szCs w:val="18"/>
                    </w:rPr>
                    <w:t>c包括不外排；排至厂内综合污水处理站；直接进入海域；直接进入江河、湖、库等水环境；进入城市下水道（再入江河、湖、库）；进入城市下水道（再入沿海海域）；进入城市污水处理厂；直接进入污灌农田；进入地渗或蒸发地；进入其他单位；工业废水集中处理厂；其他（包括回用等）。对于工艺、工序产生的废水，“不外排”指全部在工序内部循环使用，“排至厂内综合污水处理站”指工序废水经处理后排至综合处理站。对于综合污水处理站，“不外排”指全厂废水经处理后全部回用不排放。</w:t>
                  </w:r>
                </w:p>
                <w:p w14:paraId="5B7BB3D0">
                  <w:pPr>
                    <w:keepNext w:val="0"/>
                    <w:keepLines w:val="0"/>
                    <w:suppressLineNumbers w:val="0"/>
                    <w:autoSpaceDE w:val="0"/>
                    <w:adjustRightInd w:val="0"/>
                    <w:snapToGrid w:val="0"/>
                    <w:spacing w:before="0" w:beforeAutospacing="0" w:after="0" w:afterAutospacing="0" w:line="240" w:lineRule="atLeast"/>
                    <w:ind w:left="0" w:right="0"/>
                    <w:rPr>
                      <w:rFonts w:hint="eastAsia" w:ascii="宋体" w:hAnsi="宋体" w:eastAsia="宋体" w:cs="宋体"/>
                      <w:sz w:val="18"/>
                      <w:szCs w:val="18"/>
                    </w:rPr>
                  </w:pPr>
                  <w:r>
                    <w:rPr>
                      <w:rFonts w:hint="eastAsia" w:ascii="宋体" w:hAnsi="宋体" w:eastAsia="宋体" w:cs="宋体"/>
                      <w:sz w:val="18"/>
                      <w:szCs w:val="18"/>
                    </w:rPr>
                    <w:t>d包括连续排放，流量稳定；连续排放，流量不稳定，但有周期性规律；连续排放，流量不稳定，但有规律，且不属于周期性规律；连续排放，流量不稳定，属于冲击型排放；连续排放，流量不稳定且无规律，但不属于冲击型排放；间断排放，排放期间流量稳定；间断排放，排放期间流量不稳定，但有周期性规律；间断排放，排放期间流量不稳定，但有规律，且不属于非周期性规律；间断排放，排放期间流量不稳定，属于冲击型排放；间断排放，排放期间流量不稳定且无规律，但不属于冲击型排放。</w:t>
                  </w:r>
                </w:p>
                <w:p w14:paraId="0B2581F5">
                  <w:pPr>
                    <w:keepNext w:val="0"/>
                    <w:keepLines w:val="0"/>
                    <w:suppressLineNumbers w:val="0"/>
                    <w:autoSpaceDE w:val="0"/>
                    <w:adjustRightInd w:val="0"/>
                    <w:snapToGrid w:val="0"/>
                    <w:spacing w:before="0" w:beforeAutospacing="0" w:after="0" w:afterAutospacing="0" w:line="240" w:lineRule="atLeast"/>
                    <w:ind w:left="0" w:right="0"/>
                    <w:rPr>
                      <w:rFonts w:hint="eastAsia" w:ascii="宋体" w:hAnsi="宋体" w:eastAsia="宋体" w:cs="宋体"/>
                      <w:sz w:val="18"/>
                      <w:szCs w:val="18"/>
                    </w:rPr>
                  </w:pPr>
                  <w:r>
                    <w:rPr>
                      <w:rFonts w:hint="eastAsia" w:ascii="宋体" w:hAnsi="宋体" w:eastAsia="宋体" w:cs="宋体"/>
                      <w:sz w:val="18"/>
                      <w:szCs w:val="18"/>
                    </w:rPr>
                    <w:t>e指主要污水处理设施名称，如“综合污水处理站”“生活污水处理系统”等。</w:t>
                  </w:r>
                </w:p>
                <w:p w14:paraId="0D02A624">
                  <w:pPr>
                    <w:keepNext w:val="0"/>
                    <w:keepLines w:val="0"/>
                    <w:suppressLineNumbers w:val="0"/>
                    <w:autoSpaceDE w:val="0"/>
                    <w:adjustRightInd w:val="0"/>
                    <w:snapToGrid w:val="0"/>
                    <w:spacing w:before="0" w:beforeAutospacing="0" w:after="0" w:afterAutospacing="0" w:line="240" w:lineRule="atLeast"/>
                    <w:ind w:left="0" w:right="0"/>
                    <w:rPr>
                      <w:rFonts w:hint="eastAsia" w:ascii="宋体" w:hAnsi="宋体" w:eastAsia="宋体" w:cs="宋体"/>
                      <w:sz w:val="18"/>
                      <w:szCs w:val="18"/>
                    </w:rPr>
                  </w:pPr>
                  <w:r>
                    <w:rPr>
                      <w:rFonts w:hint="eastAsia" w:ascii="宋体" w:hAnsi="宋体" w:eastAsia="宋体" w:cs="宋体"/>
                      <w:sz w:val="18"/>
                      <w:szCs w:val="18"/>
                    </w:rPr>
                    <w:t>f排放口编号可按地方环境管理部门现有编号进行填写或由企业根据国家相关规范进行编制。</w:t>
                  </w:r>
                </w:p>
                <w:p w14:paraId="7D11A52C">
                  <w:pPr>
                    <w:keepNext w:val="0"/>
                    <w:keepLines w:val="0"/>
                    <w:suppressLineNumbers w:val="0"/>
                    <w:autoSpaceDE w:val="0"/>
                    <w:adjustRightInd w:val="0"/>
                    <w:snapToGrid w:val="0"/>
                    <w:spacing w:before="0" w:beforeAutospacing="0" w:after="0" w:afterAutospacing="0" w:line="240" w:lineRule="atLeast"/>
                    <w:ind w:left="0" w:right="0"/>
                    <w:rPr>
                      <w:rFonts w:hint="eastAsia" w:ascii="宋体" w:hAnsi="宋体" w:eastAsia="宋体" w:cs="宋体"/>
                      <w:sz w:val="21"/>
                      <w:szCs w:val="21"/>
                    </w:rPr>
                  </w:pPr>
                  <w:r>
                    <w:rPr>
                      <w:rFonts w:hint="eastAsia" w:ascii="宋体" w:hAnsi="宋体" w:eastAsia="宋体" w:cs="宋体"/>
                      <w:sz w:val="18"/>
                      <w:szCs w:val="18"/>
                    </w:rPr>
                    <w:t>g指排放口设置是否符合排放口规范化整治技术要求等相关文件的规定。</w:t>
                  </w:r>
                </w:p>
              </w:tc>
            </w:tr>
          </w:tbl>
          <w:p w14:paraId="4BEDF715">
            <w:pPr>
              <w:pStyle w:val="54"/>
              <w:keepNext w:val="0"/>
              <w:keepLines w:val="0"/>
              <w:suppressLineNumbers w:val="0"/>
              <w:snapToGrid w:val="0"/>
              <w:spacing w:before="0" w:beforeAutospacing="0" w:after="0" w:afterAutospacing="0" w:line="360" w:lineRule="auto"/>
              <w:ind w:left="0" w:right="0" w:firstLine="0"/>
              <w:jc w:val="center"/>
              <w:textAlignment w:val="auto"/>
              <w:rPr>
                <w:rFonts w:hint="eastAsia" w:ascii="宋体" w:hAnsi="宋体" w:eastAsia="宋体" w:cs="宋体"/>
                <w:szCs w:val="24"/>
              </w:rPr>
            </w:pPr>
            <w:r>
              <w:rPr>
                <w:rFonts w:hint="eastAsia" w:ascii="宋体" w:hAnsi="宋体" w:eastAsia="宋体" w:cs="宋体"/>
                <w:b/>
                <w:bCs/>
                <w:szCs w:val="24"/>
              </w:rPr>
              <w:t>表4-1</w:t>
            </w:r>
            <w:r>
              <w:rPr>
                <w:rFonts w:hint="eastAsia" w:ascii="宋体" w:hAnsi="宋体" w:eastAsia="宋体" w:cs="宋体"/>
                <w:b/>
                <w:bCs/>
                <w:szCs w:val="24"/>
                <w:lang w:val="en-US" w:eastAsia="zh-CN"/>
              </w:rPr>
              <w:t>5</w:t>
            </w:r>
            <w:r>
              <w:rPr>
                <w:rFonts w:hint="eastAsia" w:ascii="宋体" w:hAnsi="宋体" w:eastAsia="宋体" w:cs="宋体"/>
                <w:b/>
                <w:bCs/>
                <w:szCs w:val="24"/>
              </w:rPr>
              <w:t xml:space="preserve">   废水污染物排放信息表</w:t>
            </w:r>
          </w:p>
          <w:tbl>
            <w:tblPr>
              <w:tblStyle w:val="3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340"/>
              <w:gridCol w:w="1258"/>
              <w:gridCol w:w="1685"/>
              <w:gridCol w:w="1622"/>
              <w:gridCol w:w="1753"/>
            </w:tblGrid>
            <w:tr w14:paraId="461F4F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20" w:type="pct"/>
                  <w:tcBorders>
                    <w:tl2br w:val="nil"/>
                    <w:tr2bl w:val="nil"/>
                  </w:tcBorders>
                  <w:noWrap w:val="0"/>
                  <w:vAlign w:val="center"/>
                </w:tcPr>
                <w:p w14:paraId="5289A7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801" w:type="pct"/>
                  <w:tcBorders>
                    <w:tl2br w:val="nil"/>
                    <w:tr2bl w:val="nil"/>
                  </w:tcBorders>
                  <w:noWrap w:val="0"/>
                  <w:vAlign w:val="center"/>
                </w:tcPr>
                <w:p w14:paraId="10306C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排放口编号</w:t>
                  </w:r>
                </w:p>
              </w:tc>
              <w:tc>
                <w:tcPr>
                  <w:tcW w:w="752" w:type="pct"/>
                  <w:tcBorders>
                    <w:tl2br w:val="nil"/>
                    <w:tr2bl w:val="nil"/>
                  </w:tcBorders>
                  <w:noWrap w:val="0"/>
                  <w:vAlign w:val="center"/>
                </w:tcPr>
                <w:p w14:paraId="60A8F5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污染物</w:t>
                  </w:r>
                </w:p>
                <w:p w14:paraId="1A1981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种类</w:t>
                  </w:r>
                </w:p>
              </w:tc>
              <w:tc>
                <w:tcPr>
                  <w:tcW w:w="1007" w:type="pct"/>
                  <w:tcBorders>
                    <w:tl2br w:val="nil"/>
                    <w:tr2bl w:val="nil"/>
                  </w:tcBorders>
                  <w:noWrap w:val="0"/>
                  <w:vAlign w:val="center"/>
                </w:tcPr>
                <w:p w14:paraId="23D08D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排放浓度/（mg/L）</w:t>
                  </w:r>
                </w:p>
              </w:tc>
              <w:tc>
                <w:tcPr>
                  <w:tcW w:w="969" w:type="pct"/>
                  <w:tcBorders>
                    <w:tl2br w:val="nil"/>
                    <w:tr2bl w:val="nil"/>
                  </w:tcBorders>
                  <w:noWrap w:val="0"/>
                  <w:vAlign w:val="center"/>
                </w:tcPr>
                <w:p w14:paraId="2AA726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日排放量/（</w:t>
                  </w:r>
                  <w:r>
                    <w:rPr>
                      <w:rFonts w:hint="eastAsia" w:ascii="宋体" w:hAnsi="宋体" w:eastAsia="宋体" w:cs="宋体"/>
                      <w:b/>
                      <w:bCs/>
                      <w:color w:val="auto"/>
                      <w:sz w:val="21"/>
                      <w:szCs w:val="21"/>
                      <w:lang w:val="en-US" w:eastAsia="zh-CN"/>
                    </w:rPr>
                    <w:t>kg</w:t>
                  </w:r>
                  <w:r>
                    <w:rPr>
                      <w:rFonts w:hint="eastAsia" w:ascii="宋体" w:hAnsi="宋体" w:eastAsia="宋体" w:cs="宋体"/>
                      <w:b/>
                      <w:bCs/>
                      <w:color w:val="auto"/>
                      <w:sz w:val="21"/>
                      <w:szCs w:val="21"/>
                    </w:rPr>
                    <w:t>/d）</w:t>
                  </w:r>
                </w:p>
              </w:tc>
              <w:tc>
                <w:tcPr>
                  <w:tcW w:w="1048" w:type="pct"/>
                  <w:tcBorders>
                    <w:tl2br w:val="nil"/>
                    <w:tr2bl w:val="nil"/>
                  </w:tcBorders>
                  <w:noWrap w:val="0"/>
                  <w:vAlign w:val="center"/>
                </w:tcPr>
                <w:p w14:paraId="4C0BC2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年排放量/（t/a）</w:t>
                  </w:r>
                </w:p>
              </w:tc>
            </w:tr>
            <w:tr w14:paraId="38E4CA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20" w:type="pct"/>
                  <w:tcBorders>
                    <w:tl2br w:val="nil"/>
                    <w:tr2bl w:val="nil"/>
                  </w:tcBorders>
                  <w:noWrap w:val="0"/>
                  <w:vAlign w:val="center"/>
                </w:tcPr>
                <w:p w14:paraId="792FD3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1</w:t>
                  </w:r>
                </w:p>
              </w:tc>
              <w:tc>
                <w:tcPr>
                  <w:tcW w:w="801" w:type="pct"/>
                  <w:vMerge w:val="restart"/>
                  <w:tcBorders>
                    <w:tl2br w:val="nil"/>
                    <w:tr2bl w:val="nil"/>
                  </w:tcBorders>
                  <w:noWrap w:val="0"/>
                  <w:vAlign w:val="center"/>
                </w:tcPr>
                <w:p w14:paraId="402666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DW001</w:t>
                  </w:r>
                </w:p>
              </w:tc>
              <w:tc>
                <w:tcPr>
                  <w:tcW w:w="752" w:type="pct"/>
                  <w:tcBorders>
                    <w:tl2br w:val="nil"/>
                    <w:tr2bl w:val="nil"/>
                  </w:tcBorders>
                  <w:noWrap w:val="0"/>
                  <w:vAlign w:val="center"/>
                </w:tcPr>
                <w:p w14:paraId="676B47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废水量</w:t>
                  </w:r>
                </w:p>
              </w:tc>
              <w:tc>
                <w:tcPr>
                  <w:tcW w:w="1007" w:type="pct"/>
                  <w:tcBorders>
                    <w:tl2br w:val="nil"/>
                    <w:tr2bl w:val="nil"/>
                  </w:tcBorders>
                  <w:noWrap w:val="0"/>
                  <w:vAlign w:val="center"/>
                </w:tcPr>
                <w:p w14:paraId="279C7B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w:t>
                  </w:r>
                </w:p>
              </w:tc>
              <w:tc>
                <w:tcPr>
                  <w:tcW w:w="969" w:type="pct"/>
                  <w:tcBorders>
                    <w:tl2br w:val="nil"/>
                    <w:tr2bl w:val="nil"/>
                  </w:tcBorders>
                  <w:noWrap w:val="0"/>
                  <w:vAlign w:val="center"/>
                </w:tcPr>
                <w:p w14:paraId="0609B8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4828</w:t>
                  </w:r>
                </w:p>
              </w:tc>
              <w:tc>
                <w:tcPr>
                  <w:tcW w:w="1048" w:type="pct"/>
                  <w:tcBorders>
                    <w:tl2br w:val="nil"/>
                    <w:tr2bl w:val="nil"/>
                  </w:tcBorders>
                  <w:noWrap w:val="0"/>
                  <w:vAlign w:val="center"/>
                </w:tcPr>
                <w:p w14:paraId="0E111B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1207</w:t>
                  </w:r>
                </w:p>
              </w:tc>
            </w:tr>
            <w:tr w14:paraId="7BB6A3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tcBorders>
                    <w:tl2br w:val="nil"/>
                    <w:tr2bl w:val="nil"/>
                  </w:tcBorders>
                  <w:noWrap w:val="0"/>
                  <w:vAlign w:val="center"/>
                </w:tcPr>
                <w:p w14:paraId="2AF36E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2</w:t>
                  </w:r>
                </w:p>
              </w:tc>
              <w:tc>
                <w:tcPr>
                  <w:tcW w:w="801" w:type="pct"/>
                  <w:vMerge w:val="continue"/>
                  <w:tcBorders>
                    <w:tl2br w:val="nil"/>
                    <w:tr2bl w:val="nil"/>
                  </w:tcBorders>
                  <w:noWrap w:val="0"/>
                  <w:vAlign w:val="center"/>
                </w:tcPr>
                <w:p w14:paraId="72B3B4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jc w:val="center"/>
                    <w:textAlignment w:val="auto"/>
                    <w:rPr>
                      <w:rFonts w:hint="eastAsia" w:ascii="宋体" w:hAnsi="宋体" w:eastAsia="宋体" w:cs="宋体"/>
                      <w:color w:val="auto"/>
                      <w:sz w:val="21"/>
                      <w:szCs w:val="21"/>
                    </w:rPr>
                  </w:pPr>
                </w:p>
              </w:tc>
              <w:tc>
                <w:tcPr>
                  <w:tcW w:w="752" w:type="pct"/>
                  <w:tcBorders>
                    <w:tl2br w:val="nil"/>
                    <w:tr2bl w:val="nil"/>
                  </w:tcBorders>
                  <w:noWrap w:val="0"/>
                  <w:vAlign w:val="center"/>
                </w:tcPr>
                <w:p w14:paraId="4E7152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COD</w:t>
                  </w:r>
                </w:p>
              </w:tc>
              <w:tc>
                <w:tcPr>
                  <w:tcW w:w="1007" w:type="pct"/>
                  <w:tcBorders>
                    <w:tl2br w:val="nil"/>
                    <w:tr2bl w:val="nil"/>
                  </w:tcBorders>
                  <w:noWrap w:val="0"/>
                  <w:vAlign w:val="center"/>
                </w:tcPr>
                <w:p w14:paraId="0AB00E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rPr>
                    <w:t>500</w:t>
                  </w:r>
                </w:p>
              </w:tc>
              <w:tc>
                <w:tcPr>
                  <w:tcW w:w="969" w:type="pct"/>
                  <w:tcBorders>
                    <w:tl2br w:val="nil"/>
                    <w:tr2bl w:val="nil"/>
                  </w:tcBorders>
                  <w:noWrap w:val="0"/>
                  <w:vAlign w:val="center"/>
                </w:tcPr>
                <w:p w14:paraId="5E0F0715">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1048" w:type="pct"/>
                  <w:tcBorders>
                    <w:tl2br w:val="nil"/>
                    <w:tr2bl w:val="nil"/>
                  </w:tcBorders>
                  <w:noWrap w:val="0"/>
                  <w:vAlign w:val="center"/>
                </w:tcPr>
                <w:p w14:paraId="76BB96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0.6</w:t>
                  </w:r>
                </w:p>
              </w:tc>
            </w:tr>
            <w:tr w14:paraId="4C73FD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tcBorders>
                    <w:tl2br w:val="nil"/>
                    <w:tr2bl w:val="nil"/>
                  </w:tcBorders>
                  <w:noWrap w:val="0"/>
                  <w:vAlign w:val="center"/>
                </w:tcPr>
                <w:p w14:paraId="3F3552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3</w:t>
                  </w:r>
                </w:p>
              </w:tc>
              <w:tc>
                <w:tcPr>
                  <w:tcW w:w="801" w:type="pct"/>
                  <w:vMerge w:val="continue"/>
                  <w:tcBorders>
                    <w:tl2br w:val="nil"/>
                    <w:tr2bl w:val="nil"/>
                  </w:tcBorders>
                  <w:noWrap w:val="0"/>
                  <w:vAlign w:val="center"/>
                </w:tcPr>
                <w:p w14:paraId="39CD7B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jc w:val="center"/>
                    <w:textAlignment w:val="auto"/>
                    <w:rPr>
                      <w:rFonts w:hint="eastAsia" w:ascii="宋体" w:hAnsi="宋体" w:eastAsia="宋体" w:cs="宋体"/>
                      <w:color w:val="auto"/>
                      <w:sz w:val="21"/>
                      <w:szCs w:val="21"/>
                    </w:rPr>
                  </w:pPr>
                </w:p>
              </w:tc>
              <w:tc>
                <w:tcPr>
                  <w:tcW w:w="752" w:type="pct"/>
                  <w:tcBorders>
                    <w:tl2br w:val="nil"/>
                    <w:tr2bl w:val="nil"/>
                  </w:tcBorders>
                  <w:noWrap w:val="0"/>
                  <w:vAlign w:val="center"/>
                </w:tcPr>
                <w:p w14:paraId="3988F1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SS</w:t>
                  </w:r>
                </w:p>
              </w:tc>
              <w:tc>
                <w:tcPr>
                  <w:tcW w:w="1007" w:type="pct"/>
                  <w:tcBorders>
                    <w:tl2br w:val="nil"/>
                    <w:tr2bl w:val="nil"/>
                  </w:tcBorders>
                  <w:noWrap w:val="0"/>
                  <w:vAlign w:val="center"/>
                </w:tcPr>
                <w:p w14:paraId="3C33FB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rPr>
                    <w:t>400</w:t>
                  </w:r>
                </w:p>
              </w:tc>
              <w:tc>
                <w:tcPr>
                  <w:tcW w:w="969" w:type="pct"/>
                  <w:tcBorders>
                    <w:tl2br w:val="nil"/>
                    <w:tr2bl w:val="nil"/>
                  </w:tcBorders>
                  <w:noWrap w:val="0"/>
                  <w:vAlign w:val="center"/>
                </w:tcPr>
                <w:p w14:paraId="3164D666">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1.928</w:t>
                  </w:r>
                </w:p>
              </w:tc>
              <w:tc>
                <w:tcPr>
                  <w:tcW w:w="1048" w:type="pct"/>
                  <w:tcBorders>
                    <w:tl2br w:val="nil"/>
                    <w:tr2bl w:val="nil"/>
                  </w:tcBorders>
                  <w:noWrap w:val="0"/>
                  <w:vAlign w:val="center"/>
                </w:tcPr>
                <w:p w14:paraId="2AAE4A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0.482</w:t>
                  </w:r>
                </w:p>
              </w:tc>
            </w:tr>
            <w:tr w14:paraId="0CFB86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tcBorders>
                    <w:tl2br w:val="nil"/>
                    <w:tr2bl w:val="nil"/>
                  </w:tcBorders>
                  <w:noWrap w:val="0"/>
                  <w:vAlign w:val="center"/>
                </w:tcPr>
                <w:p w14:paraId="705937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4</w:t>
                  </w:r>
                </w:p>
              </w:tc>
              <w:tc>
                <w:tcPr>
                  <w:tcW w:w="801" w:type="pct"/>
                  <w:vMerge w:val="continue"/>
                  <w:tcBorders>
                    <w:tl2br w:val="nil"/>
                    <w:tr2bl w:val="nil"/>
                  </w:tcBorders>
                  <w:noWrap w:val="0"/>
                  <w:vAlign w:val="center"/>
                </w:tcPr>
                <w:p w14:paraId="5AA1D5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jc w:val="center"/>
                    <w:textAlignment w:val="auto"/>
                    <w:rPr>
                      <w:rFonts w:hint="eastAsia" w:ascii="宋体" w:hAnsi="宋体" w:eastAsia="宋体" w:cs="宋体"/>
                      <w:color w:val="auto"/>
                      <w:sz w:val="21"/>
                      <w:szCs w:val="21"/>
                    </w:rPr>
                  </w:pPr>
                </w:p>
              </w:tc>
              <w:tc>
                <w:tcPr>
                  <w:tcW w:w="752" w:type="pct"/>
                  <w:tcBorders>
                    <w:tl2br w:val="nil"/>
                    <w:tr2bl w:val="nil"/>
                  </w:tcBorders>
                  <w:noWrap w:val="0"/>
                  <w:vAlign w:val="center"/>
                </w:tcPr>
                <w:p w14:paraId="2B8A34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NH</w:t>
                  </w:r>
                  <w:r>
                    <w:rPr>
                      <w:rFonts w:hint="eastAsia" w:ascii="宋体" w:hAnsi="宋体" w:eastAsia="宋体" w:cs="宋体"/>
                      <w:color w:val="auto"/>
                      <w:sz w:val="21"/>
                      <w:szCs w:val="21"/>
                      <w:highlight w:val="none"/>
                      <w:vertAlign w:val="subscript"/>
                    </w:rPr>
                    <w:t>3</w:t>
                  </w:r>
                  <w:r>
                    <w:rPr>
                      <w:rFonts w:hint="eastAsia" w:ascii="宋体" w:hAnsi="宋体" w:eastAsia="宋体" w:cs="宋体"/>
                      <w:color w:val="auto"/>
                      <w:sz w:val="21"/>
                      <w:szCs w:val="21"/>
                      <w:highlight w:val="none"/>
                    </w:rPr>
                    <w:t>-N</w:t>
                  </w:r>
                </w:p>
              </w:tc>
              <w:tc>
                <w:tcPr>
                  <w:tcW w:w="1007" w:type="pct"/>
                  <w:tcBorders>
                    <w:tl2br w:val="nil"/>
                    <w:tr2bl w:val="nil"/>
                  </w:tcBorders>
                  <w:noWrap w:val="0"/>
                  <w:vAlign w:val="center"/>
                </w:tcPr>
                <w:p w14:paraId="35297D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rPr>
                    <w:t>45</w:t>
                  </w:r>
                </w:p>
              </w:tc>
              <w:tc>
                <w:tcPr>
                  <w:tcW w:w="969" w:type="pct"/>
                  <w:tcBorders>
                    <w:tl2br w:val="nil"/>
                    <w:tr2bl w:val="nil"/>
                  </w:tcBorders>
                  <w:noWrap w:val="0"/>
                  <w:vAlign w:val="center"/>
                </w:tcPr>
                <w:p w14:paraId="44CBD1E6">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0.216</w:t>
                  </w:r>
                </w:p>
              </w:tc>
              <w:tc>
                <w:tcPr>
                  <w:tcW w:w="1048" w:type="pct"/>
                  <w:tcBorders>
                    <w:tl2br w:val="nil"/>
                    <w:tr2bl w:val="nil"/>
                  </w:tcBorders>
                  <w:noWrap w:val="0"/>
                  <w:vAlign w:val="center"/>
                </w:tcPr>
                <w:p w14:paraId="00873E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0.054</w:t>
                  </w:r>
                </w:p>
              </w:tc>
            </w:tr>
            <w:tr w14:paraId="3E4B19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tcBorders>
                    <w:tl2br w:val="nil"/>
                    <w:tr2bl w:val="nil"/>
                  </w:tcBorders>
                  <w:noWrap w:val="0"/>
                  <w:vAlign w:val="center"/>
                </w:tcPr>
                <w:p w14:paraId="749BC2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5</w:t>
                  </w:r>
                </w:p>
              </w:tc>
              <w:tc>
                <w:tcPr>
                  <w:tcW w:w="801" w:type="pct"/>
                  <w:vMerge w:val="continue"/>
                  <w:tcBorders>
                    <w:tl2br w:val="nil"/>
                    <w:tr2bl w:val="nil"/>
                  </w:tcBorders>
                  <w:noWrap w:val="0"/>
                  <w:vAlign w:val="center"/>
                </w:tcPr>
                <w:p w14:paraId="002BD7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jc w:val="center"/>
                    <w:textAlignment w:val="auto"/>
                    <w:rPr>
                      <w:rFonts w:hint="eastAsia" w:ascii="宋体" w:hAnsi="宋体" w:eastAsia="宋体" w:cs="宋体"/>
                      <w:color w:val="auto"/>
                      <w:sz w:val="21"/>
                      <w:szCs w:val="21"/>
                    </w:rPr>
                  </w:pPr>
                </w:p>
              </w:tc>
              <w:tc>
                <w:tcPr>
                  <w:tcW w:w="752" w:type="pct"/>
                  <w:tcBorders>
                    <w:tl2br w:val="nil"/>
                    <w:tr2bl w:val="nil"/>
                  </w:tcBorders>
                  <w:noWrap w:val="0"/>
                  <w:vAlign w:val="center"/>
                </w:tcPr>
                <w:p w14:paraId="25801A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TP</w:t>
                  </w:r>
                </w:p>
              </w:tc>
              <w:tc>
                <w:tcPr>
                  <w:tcW w:w="1007" w:type="pct"/>
                  <w:tcBorders>
                    <w:tl2br w:val="nil"/>
                    <w:tr2bl w:val="nil"/>
                  </w:tcBorders>
                  <w:noWrap w:val="0"/>
                  <w:vAlign w:val="center"/>
                </w:tcPr>
                <w:p w14:paraId="762C46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rPr>
                    <w:t>8</w:t>
                  </w:r>
                </w:p>
              </w:tc>
              <w:tc>
                <w:tcPr>
                  <w:tcW w:w="969" w:type="pct"/>
                  <w:tcBorders>
                    <w:tl2br w:val="nil"/>
                    <w:tr2bl w:val="nil"/>
                  </w:tcBorders>
                  <w:noWrap w:val="0"/>
                  <w:vAlign w:val="center"/>
                </w:tcPr>
                <w:p w14:paraId="7775358A">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0.036</w:t>
                  </w:r>
                </w:p>
              </w:tc>
              <w:tc>
                <w:tcPr>
                  <w:tcW w:w="1048" w:type="pct"/>
                  <w:tcBorders>
                    <w:tl2br w:val="nil"/>
                    <w:tr2bl w:val="nil"/>
                  </w:tcBorders>
                  <w:noWrap w:val="0"/>
                  <w:vAlign w:val="center"/>
                </w:tcPr>
                <w:p w14:paraId="2D6F62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0.009</w:t>
                  </w:r>
                </w:p>
              </w:tc>
            </w:tr>
            <w:tr w14:paraId="4B321E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tcBorders>
                    <w:tl2br w:val="nil"/>
                    <w:tr2bl w:val="nil"/>
                  </w:tcBorders>
                  <w:noWrap w:val="0"/>
                  <w:vAlign w:val="center"/>
                </w:tcPr>
                <w:p w14:paraId="177619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w:t>
                  </w:r>
                </w:p>
              </w:tc>
              <w:tc>
                <w:tcPr>
                  <w:tcW w:w="801" w:type="pct"/>
                  <w:vMerge w:val="continue"/>
                  <w:tcBorders>
                    <w:tl2br w:val="nil"/>
                    <w:tr2bl w:val="nil"/>
                  </w:tcBorders>
                  <w:noWrap w:val="0"/>
                  <w:vAlign w:val="center"/>
                </w:tcPr>
                <w:p w14:paraId="57FDC3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jc w:val="center"/>
                    <w:textAlignment w:val="auto"/>
                    <w:rPr>
                      <w:rFonts w:hint="eastAsia" w:ascii="宋体" w:hAnsi="宋体" w:eastAsia="宋体" w:cs="宋体"/>
                      <w:color w:val="auto"/>
                      <w:sz w:val="21"/>
                      <w:szCs w:val="21"/>
                    </w:rPr>
                  </w:pPr>
                </w:p>
              </w:tc>
              <w:tc>
                <w:tcPr>
                  <w:tcW w:w="752" w:type="pct"/>
                  <w:tcBorders>
                    <w:tl2br w:val="nil"/>
                    <w:tr2bl w:val="nil"/>
                  </w:tcBorders>
                  <w:noWrap w:val="0"/>
                  <w:vAlign w:val="center"/>
                </w:tcPr>
                <w:p w14:paraId="61A928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TN</w:t>
                  </w:r>
                </w:p>
              </w:tc>
              <w:tc>
                <w:tcPr>
                  <w:tcW w:w="1007" w:type="pct"/>
                  <w:tcBorders>
                    <w:tl2br w:val="nil"/>
                    <w:tr2bl w:val="nil"/>
                  </w:tcBorders>
                  <w:noWrap w:val="0"/>
                  <w:vAlign w:val="center"/>
                </w:tcPr>
                <w:p w14:paraId="273D6C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rPr>
                    <w:t>70</w:t>
                  </w:r>
                </w:p>
              </w:tc>
              <w:tc>
                <w:tcPr>
                  <w:tcW w:w="969" w:type="pct"/>
                  <w:tcBorders>
                    <w:tl2br w:val="nil"/>
                    <w:tr2bl w:val="nil"/>
                  </w:tcBorders>
                  <w:noWrap w:val="0"/>
                  <w:vAlign w:val="center"/>
                </w:tcPr>
                <w:p w14:paraId="5A10D2E8">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0.336</w:t>
                  </w:r>
                </w:p>
              </w:tc>
              <w:tc>
                <w:tcPr>
                  <w:tcW w:w="1048" w:type="pct"/>
                  <w:tcBorders>
                    <w:tl2br w:val="nil"/>
                    <w:tr2bl w:val="nil"/>
                  </w:tcBorders>
                  <w:noWrap w:val="0"/>
                  <w:vAlign w:val="center"/>
                </w:tcPr>
                <w:p w14:paraId="5EDA9A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0.084</w:t>
                  </w:r>
                </w:p>
              </w:tc>
            </w:tr>
            <w:tr w14:paraId="16981A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2" w:type="pct"/>
                  <w:gridSpan w:val="2"/>
                  <w:vMerge w:val="restart"/>
                  <w:tcBorders>
                    <w:tl2br w:val="nil"/>
                    <w:tr2bl w:val="nil"/>
                  </w:tcBorders>
                  <w:noWrap w:val="0"/>
                  <w:vAlign w:val="center"/>
                </w:tcPr>
                <w:p w14:paraId="2FAD12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全厂排放口合计</w:t>
                  </w:r>
                </w:p>
              </w:tc>
              <w:tc>
                <w:tcPr>
                  <w:tcW w:w="2729" w:type="pct"/>
                  <w:gridSpan w:val="3"/>
                  <w:tcBorders>
                    <w:tl2br w:val="nil"/>
                    <w:tr2bl w:val="nil"/>
                  </w:tcBorders>
                  <w:noWrap w:val="0"/>
                  <w:vAlign w:val="center"/>
                </w:tcPr>
                <w:p w14:paraId="7FE641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废水量</w:t>
                  </w:r>
                </w:p>
              </w:tc>
              <w:tc>
                <w:tcPr>
                  <w:tcW w:w="1048" w:type="pct"/>
                  <w:tcBorders>
                    <w:tl2br w:val="nil"/>
                    <w:tr2bl w:val="nil"/>
                  </w:tcBorders>
                  <w:noWrap w:val="0"/>
                  <w:vAlign w:val="center"/>
                </w:tcPr>
                <w:p w14:paraId="3E8DAD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eastAsia" w:ascii="宋体" w:hAnsi="宋体" w:eastAsia="宋体" w:cs="宋体"/>
                      <w:color w:val="auto"/>
                      <w:sz w:val="21"/>
                      <w:szCs w:val="21"/>
                      <w:lang w:val="en-US" w:eastAsia="zh-CN" w:bidi="ar-SA"/>
                    </w:rPr>
                  </w:pPr>
                  <w:r>
                    <w:rPr>
                      <w:rFonts w:hint="eastAsia" w:ascii="宋体" w:hAnsi="宋体" w:eastAsia="宋体" w:cs="宋体"/>
                      <w:b w:val="0"/>
                      <w:bCs w:val="0"/>
                      <w:color w:val="auto"/>
                      <w:sz w:val="21"/>
                      <w:szCs w:val="21"/>
                      <w:lang w:val="en-US" w:eastAsia="zh-CN"/>
                    </w:rPr>
                    <w:t>1207</w:t>
                  </w:r>
                </w:p>
              </w:tc>
            </w:tr>
            <w:tr w14:paraId="1D9A51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2" w:type="pct"/>
                  <w:gridSpan w:val="2"/>
                  <w:vMerge w:val="continue"/>
                  <w:tcBorders>
                    <w:tl2br w:val="nil"/>
                    <w:tr2bl w:val="nil"/>
                  </w:tcBorders>
                  <w:noWrap w:val="0"/>
                  <w:vAlign w:val="center"/>
                </w:tcPr>
                <w:p w14:paraId="042744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jc w:val="center"/>
                    <w:textAlignment w:val="auto"/>
                    <w:rPr>
                      <w:rFonts w:hint="eastAsia" w:ascii="宋体" w:hAnsi="宋体" w:eastAsia="宋体" w:cs="宋体"/>
                      <w:color w:val="auto"/>
                      <w:sz w:val="21"/>
                      <w:szCs w:val="21"/>
                    </w:rPr>
                  </w:pPr>
                </w:p>
              </w:tc>
              <w:tc>
                <w:tcPr>
                  <w:tcW w:w="2729" w:type="pct"/>
                  <w:gridSpan w:val="3"/>
                  <w:tcBorders>
                    <w:tl2br w:val="nil"/>
                    <w:tr2bl w:val="nil"/>
                  </w:tcBorders>
                  <w:noWrap w:val="0"/>
                  <w:vAlign w:val="center"/>
                </w:tcPr>
                <w:p w14:paraId="493BC4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COD</w:t>
                  </w:r>
                </w:p>
              </w:tc>
              <w:tc>
                <w:tcPr>
                  <w:tcW w:w="1048" w:type="pct"/>
                  <w:tcBorders>
                    <w:tl2br w:val="nil"/>
                    <w:tr2bl w:val="nil"/>
                  </w:tcBorders>
                  <w:noWrap w:val="0"/>
                  <w:vAlign w:val="center"/>
                </w:tcPr>
                <w:p w14:paraId="2B0D87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0.6</w:t>
                  </w:r>
                </w:p>
              </w:tc>
            </w:tr>
            <w:tr w14:paraId="52EE84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2" w:type="pct"/>
                  <w:gridSpan w:val="2"/>
                  <w:vMerge w:val="continue"/>
                  <w:tcBorders>
                    <w:tl2br w:val="nil"/>
                    <w:tr2bl w:val="nil"/>
                  </w:tcBorders>
                  <w:noWrap w:val="0"/>
                  <w:vAlign w:val="center"/>
                </w:tcPr>
                <w:p w14:paraId="060716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jc w:val="center"/>
                    <w:textAlignment w:val="auto"/>
                    <w:rPr>
                      <w:rFonts w:hint="eastAsia" w:ascii="宋体" w:hAnsi="宋体" w:eastAsia="宋体" w:cs="宋体"/>
                      <w:color w:val="auto"/>
                      <w:sz w:val="21"/>
                      <w:szCs w:val="21"/>
                    </w:rPr>
                  </w:pPr>
                </w:p>
              </w:tc>
              <w:tc>
                <w:tcPr>
                  <w:tcW w:w="2729" w:type="pct"/>
                  <w:gridSpan w:val="3"/>
                  <w:tcBorders>
                    <w:tl2br w:val="nil"/>
                    <w:tr2bl w:val="nil"/>
                  </w:tcBorders>
                  <w:noWrap w:val="0"/>
                  <w:vAlign w:val="center"/>
                </w:tcPr>
                <w:p w14:paraId="5D1665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SS</w:t>
                  </w:r>
                </w:p>
              </w:tc>
              <w:tc>
                <w:tcPr>
                  <w:tcW w:w="1048" w:type="pct"/>
                  <w:tcBorders>
                    <w:tl2br w:val="nil"/>
                    <w:tr2bl w:val="nil"/>
                  </w:tcBorders>
                  <w:noWrap w:val="0"/>
                  <w:vAlign w:val="center"/>
                </w:tcPr>
                <w:p w14:paraId="331669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0.482</w:t>
                  </w:r>
                </w:p>
              </w:tc>
            </w:tr>
            <w:tr w14:paraId="6DE359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2" w:type="pct"/>
                  <w:gridSpan w:val="2"/>
                  <w:vMerge w:val="continue"/>
                  <w:tcBorders>
                    <w:tl2br w:val="nil"/>
                    <w:tr2bl w:val="nil"/>
                  </w:tcBorders>
                  <w:noWrap w:val="0"/>
                  <w:vAlign w:val="center"/>
                </w:tcPr>
                <w:p w14:paraId="304DCE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jc w:val="center"/>
                    <w:textAlignment w:val="auto"/>
                    <w:rPr>
                      <w:rFonts w:hint="eastAsia" w:ascii="宋体" w:hAnsi="宋体" w:eastAsia="宋体" w:cs="宋体"/>
                      <w:color w:val="auto"/>
                      <w:sz w:val="21"/>
                      <w:szCs w:val="21"/>
                    </w:rPr>
                  </w:pPr>
                </w:p>
              </w:tc>
              <w:tc>
                <w:tcPr>
                  <w:tcW w:w="2729" w:type="pct"/>
                  <w:gridSpan w:val="3"/>
                  <w:tcBorders>
                    <w:tl2br w:val="nil"/>
                    <w:tr2bl w:val="nil"/>
                  </w:tcBorders>
                  <w:noWrap w:val="0"/>
                  <w:vAlign w:val="center"/>
                </w:tcPr>
                <w:p w14:paraId="51B9A4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NH</w:t>
                  </w:r>
                  <w:r>
                    <w:rPr>
                      <w:rFonts w:hint="eastAsia" w:ascii="宋体" w:hAnsi="宋体" w:eastAsia="宋体" w:cs="宋体"/>
                      <w:color w:val="auto"/>
                      <w:sz w:val="21"/>
                      <w:szCs w:val="21"/>
                      <w:vertAlign w:val="subscript"/>
                    </w:rPr>
                    <w:t>3</w:t>
                  </w:r>
                  <w:r>
                    <w:rPr>
                      <w:rFonts w:hint="eastAsia" w:ascii="宋体" w:hAnsi="宋体" w:eastAsia="宋体" w:cs="宋体"/>
                      <w:color w:val="auto"/>
                      <w:sz w:val="21"/>
                      <w:szCs w:val="21"/>
                    </w:rPr>
                    <w:t>-N</w:t>
                  </w:r>
                </w:p>
              </w:tc>
              <w:tc>
                <w:tcPr>
                  <w:tcW w:w="1048" w:type="pct"/>
                  <w:tcBorders>
                    <w:tl2br w:val="nil"/>
                    <w:tr2bl w:val="nil"/>
                  </w:tcBorders>
                  <w:noWrap w:val="0"/>
                  <w:vAlign w:val="center"/>
                </w:tcPr>
                <w:p w14:paraId="5C4596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0.054</w:t>
                  </w:r>
                </w:p>
              </w:tc>
            </w:tr>
            <w:tr w14:paraId="7BF841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2" w:type="pct"/>
                  <w:gridSpan w:val="2"/>
                  <w:vMerge w:val="continue"/>
                  <w:tcBorders>
                    <w:tl2br w:val="nil"/>
                    <w:tr2bl w:val="nil"/>
                  </w:tcBorders>
                  <w:noWrap w:val="0"/>
                  <w:vAlign w:val="center"/>
                </w:tcPr>
                <w:p w14:paraId="1663C1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jc w:val="center"/>
                    <w:textAlignment w:val="auto"/>
                    <w:rPr>
                      <w:rFonts w:hint="eastAsia" w:ascii="宋体" w:hAnsi="宋体" w:eastAsia="宋体" w:cs="宋体"/>
                      <w:color w:val="auto"/>
                      <w:sz w:val="21"/>
                      <w:szCs w:val="21"/>
                    </w:rPr>
                  </w:pPr>
                </w:p>
              </w:tc>
              <w:tc>
                <w:tcPr>
                  <w:tcW w:w="2729" w:type="pct"/>
                  <w:gridSpan w:val="3"/>
                  <w:tcBorders>
                    <w:tl2br w:val="nil"/>
                    <w:tr2bl w:val="nil"/>
                  </w:tcBorders>
                  <w:noWrap w:val="0"/>
                  <w:vAlign w:val="center"/>
                </w:tcPr>
                <w:p w14:paraId="4E84EB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TP</w:t>
                  </w:r>
                </w:p>
              </w:tc>
              <w:tc>
                <w:tcPr>
                  <w:tcW w:w="1048" w:type="pct"/>
                  <w:tcBorders>
                    <w:tl2br w:val="nil"/>
                    <w:tr2bl w:val="nil"/>
                  </w:tcBorders>
                  <w:noWrap w:val="0"/>
                  <w:vAlign w:val="center"/>
                </w:tcPr>
                <w:p w14:paraId="38DD72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0.009</w:t>
                  </w:r>
                </w:p>
              </w:tc>
            </w:tr>
            <w:tr w14:paraId="1D314A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2" w:type="pct"/>
                  <w:gridSpan w:val="2"/>
                  <w:vMerge w:val="continue"/>
                  <w:tcBorders>
                    <w:tl2br w:val="nil"/>
                    <w:tr2bl w:val="nil"/>
                  </w:tcBorders>
                  <w:noWrap w:val="0"/>
                  <w:vAlign w:val="center"/>
                </w:tcPr>
                <w:p w14:paraId="243B43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jc w:val="center"/>
                    <w:textAlignment w:val="auto"/>
                    <w:rPr>
                      <w:rFonts w:hint="eastAsia" w:ascii="宋体" w:hAnsi="宋体" w:eastAsia="宋体" w:cs="宋体"/>
                      <w:color w:val="auto"/>
                      <w:sz w:val="21"/>
                      <w:szCs w:val="21"/>
                    </w:rPr>
                  </w:pPr>
                </w:p>
              </w:tc>
              <w:tc>
                <w:tcPr>
                  <w:tcW w:w="2729" w:type="pct"/>
                  <w:gridSpan w:val="3"/>
                  <w:tcBorders>
                    <w:tl2br w:val="nil"/>
                    <w:tr2bl w:val="nil"/>
                  </w:tcBorders>
                  <w:noWrap w:val="0"/>
                  <w:vAlign w:val="center"/>
                </w:tcPr>
                <w:p w14:paraId="44F5BA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TN</w:t>
                  </w:r>
                </w:p>
              </w:tc>
              <w:tc>
                <w:tcPr>
                  <w:tcW w:w="1048" w:type="pct"/>
                  <w:tcBorders>
                    <w:tl2br w:val="nil"/>
                    <w:tr2bl w:val="nil"/>
                  </w:tcBorders>
                  <w:noWrap w:val="0"/>
                  <w:vAlign w:val="center"/>
                </w:tcPr>
                <w:p w14:paraId="3F8358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0.084</w:t>
                  </w:r>
                </w:p>
              </w:tc>
            </w:tr>
          </w:tbl>
          <w:p w14:paraId="083504C0">
            <w:pPr>
              <w:keepNext w:val="0"/>
              <w:keepLines w:val="0"/>
              <w:suppressLineNumbers w:val="0"/>
              <w:spacing w:before="0" w:beforeAutospacing="0" w:after="0" w:afterAutospacing="0"/>
              <w:ind w:left="0" w:right="0"/>
              <w:rPr>
                <w:rFonts w:hint="eastAsia" w:ascii="宋体" w:hAnsi="宋体" w:eastAsia="宋体" w:cs="宋体"/>
              </w:rPr>
            </w:pPr>
            <w:r>
              <w:rPr>
                <w:rFonts w:hint="eastAsia" w:ascii="宋体" w:hAnsi="宋体" w:eastAsia="宋体" w:cs="宋体"/>
              </w:rPr>
              <w:t>5、水环境影响评价结论</w:t>
            </w:r>
          </w:p>
          <w:p w14:paraId="01B21466">
            <w:pPr>
              <w:pStyle w:val="61"/>
              <w:keepNext w:val="0"/>
              <w:keepLines w:val="0"/>
              <w:suppressLineNumbers w:val="0"/>
              <w:spacing w:before="0" w:beforeAutospacing="0" w:after="0" w:afterAutospacing="0"/>
              <w:ind w:left="0" w:right="0"/>
              <w:rPr>
                <w:rFonts w:hint="eastAsia" w:ascii="宋体" w:hAnsi="宋体" w:eastAsia="宋体" w:cs="宋体"/>
                <w:color w:val="FF0000"/>
              </w:rPr>
            </w:pPr>
            <w:r>
              <w:rPr>
                <w:rFonts w:hint="eastAsia" w:ascii="宋体" w:hAnsi="宋体" w:eastAsia="宋体" w:cs="宋体"/>
              </w:rPr>
              <w:t>本项目排放的废水接管</w:t>
            </w:r>
            <w:r>
              <w:rPr>
                <w:rFonts w:hint="eastAsia" w:ascii="宋体" w:hAnsi="宋体" w:eastAsia="宋体" w:cs="宋体"/>
                <w:lang w:eastAsia="zh-CN"/>
              </w:rPr>
              <w:t>句容市边城镇污水处理厂</w:t>
            </w:r>
            <w:r>
              <w:rPr>
                <w:rFonts w:hint="eastAsia" w:ascii="宋体" w:hAnsi="宋体" w:eastAsia="宋体" w:cs="宋体"/>
              </w:rPr>
              <w:t>，对污水处理厂接管可行性进行分析可知，本项目水量、水质等均符合</w:t>
            </w:r>
            <w:r>
              <w:rPr>
                <w:rFonts w:hint="eastAsia" w:ascii="宋体" w:hAnsi="宋体" w:eastAsia="宋体" w:cs="宋体"/>
                <w:lang w:eastAsia="zh-CN"/>
              </w:rPr>
              <w:t>句容市边城镇污水处理厂</w:t>
            </w:r>
            <w:r>
              <w:rPr>
                <w:rFonts w:hint="eastAsia" w:ascii="宋体" w:hAnsi="宋体" w:eastAsia="宋体" w:cs="宋体"/>
              </w:rPr>
              <w:t>接管要求。因此，本项目废水经</w:t>
            </w:r>
            <w:r>
              <w:rPr>
                <w:rFonts w:hint="eastAsia" w:ascii="宋体" w:hAnsi="宋体" w:eastAsia="宋体" w:cs="宋体"/>
                <w:lang w:val="en-US" w:eastAsia="zh-CN"/>
              </w:rPr>
              <w:t>化粪池</w:t>
            </w:r>
            <w:r>
              <w:rPr>
                <w:rFonts w:hint="eastAsia" w:ascii="宋体" w:hAnsi="宋体" w:eastAsia="宋体" w:cs="宋体"/>
              </w:rPr>
              <w:t>处理后，接管</w:t>
            </w:r>
            <w:r>
              <w:rPr>
                <w:rFonts w:hint="eastAsia" w:ascii="宋体" w:hAnsi="宋体" w:eastAsia="宋体" w:cs="宋体"/>
                <w:lang w:eastAsia="zh-CN"/>
              </w:rPr>
              <w:t>句容市边城镇污水处理厂</w:t>
            </w:r>
            <w:r>
              <w:rPr>
                <w:rFonts w:hint="eastAsia" w:ascii="宋体" w:hAnsi="宋体" w:eastAsia="宋体" w:cs="宋体"/>
              </w:rPr>
              <w:t>集中处理后，尾水排入</w:t>
            </w:r>
            <w:r>
              <w:rPr>
                <w:rFonts w:hint="eastAsia" w:ascii="宋体" w:hAnsi="宋体" w:eastAsia="宋体" w:cs="宋体"/>
                <w:lang w:val="en-US" w:eastAsia="zh-CN"/>
              </w:rPr>
              <w:t>黄鹂</w:t>
            </w:r>
            <w:r>
              <w:rPr>
                <w:rFonts w:hint="eastAsia" w:ascii="宋体" w:hAnsi="宋体" w:eastAsia="宋体" w:cs="宋体"/>
              </w:rPr>
              <w:t>河，对地表水环境影响较小，本项目地表水环境影响可接受。</w:t>
            </w:r>
          </w:p>
          <w:p w14:paraId="765B6056">
            <w:pPr>
              <w:keepNext w:val="0"/>
              <w:keepLines w:val="0"/>
              <w:suppressLineNumbers w:val="0"/>
              <w:adjustRightInd w:val="0"/>
              <w:snapToGrid w:val="0"/>
              <w:spacing w:before="0" w:beforeAutospacing="0" w:after="0" w:afterAutospacing="0"/>
              <w:ind w:left="0" w:right="0"/>
              <w:rPr>
                <w:rFonts w:hint="default" w:ascii="宋体" w:hAnsi="宋体" w:eastAsia="宋体" w:cs="宋体"/>
              </w:rPr>
            </w:pPr>
            <w:r>
              <w:rPr>
                <w:rFonts w:hint="eastAsia" w:ascii="宋体" w:hAnsi="宋体" w:eastAsia="宋体" w:cs="宋体"/>
              </w:rPr>
              <w:t>6、监测要求</w:t>
            </w:r>
          </w:p>
          <w:p w14:paraId="6EE93D96">
            <w:pPr>
              <w:pStyle w:val="55"/>
              <w:keepNext w:val="0"/>
              <w:keepLines w:val="0"/>
              <w:suppressLineNumbers w:val="0"/>
              <w:adjustRightInd w:val="0"/>
              <w:spacing w:before="0" w:beforeAutospacing="0" w:after="0" w:afterAutospacing="0"/>
              <w:ind w:left="0" w:right="0" w:firstLine="480"/>
              <w:jc w:val="left"/>
              <w:rPr>
                <w:rFonts w:hint="eastAsia" w:ascii="宋体" w:hAnsi="宋体" w:eastAsia="宋体" w:cs="宋体"/>
              </w:rPr>
            </w:pPr>
            <w:r>
              <w:rPr>
                <w:rFonts w:hint="eastAsia" w:ascii="宋体" w:hAnsi="宋体" w:eastAsia="宋体" w:cs="宋体"/>
                <w:color w:val="auto"/>
              </w:rPr>
              <w:t>根据《排污单位自行监测技术指南 总则》（HJ819-2017）</w:t>
            </w:r>
            <w:r>
              <w:rPr>
                <w:rFonts w:hint="eastAsia" w:ascii="宋体" w:hAnsi="宋体" w:eastAsia="宋体" w:cs="宋体"/>
                <w:color w:val="auto"/>
                <w:lang w:eastAsia="zh-CN"/>
              </w:rPr>
              <w:t>、《</w:t>
            </w:r>
            <w:r>
              <w:rPr>
                <w:rFonts w:hint="eastAsia" w:ascii="宋体" w:hAnsi="宋体" w:eastAsia="宋体" w:cs="宋体"/>
                <w:color w:val="auto"/>
                <w:lang w:val="en-US" w:eastAsia="zh-CN"/>
              </w:rPr>
              <w:t>排污单位自行监测技术指南 涂装</w:t>
            </w:r>
            <w:r>
              <w:rPr>
                <w:rFonts w:hint="eastAsia" w:ascii="宋体" w:hAnsi="宋体" w:eastAsia="宋体" w:cs="宋体"/>
                <w:color w:val="auto"/>
                <w:lang w:eastAsia="zh-CN"/>
              </w:rPr>
              <w:t>》</w:t>
            </w:r>
            <w:r>
              <w:rPr>
                <w:rFonts w:hint="eastAsia" w:ascii="宋体" w:hAnsi="宋体" w:eastAsia="宋体" w:cs="宋体"/>
                <w:color w:val="auto"/>
              </w:rPr>
              <w:t>（HJ</w:t>
            </w:r>
            <w:r>
              <w:rPr>
                <w:rFonts w:hint="eastAsia" w:ascii="宋体" w:hAnsi="宋体" w:eastAsia="宋体" w:cs="宋体"/>
                <w:color w:val="auto"/>
                <w:lang w:val="en-US" w:eastAsia="zh-CN"/>
              </w:rPr>
              <w:t>1086</w:t>
            </w:r>
            <w:r>
              <w:rPr>
                <w:rFonts w:hint="eastAsia" w:ascii="宋体" w:hAnsi="宋体" w:eastAsia="宋体" w:cs="宋体"/>
                <w:color w:val="auto"/>
              </w:rPr>
              <w:t>-20</w:t>
            </w:r>
            <w:r>
              <w:rPr>
                <w:rFonts w:hint="eastAsia" w:ascii="宋体" w:hAnsi="宋体" w:eastAsia="宋体" w:cs="宋体"/>
                <w:color w:val="auto"/>
                <w:lang w:val="en-US" w:eastAsia="zh-CN"/>
              </w:rPr>
              <w:t>20</w:t>
            </w:r>
            <w:r>
              <w:rPr>
                <w:rFonts w:hint="eastAsia" w:ascii="宋体" w:hAnsi="宋体" w:eastAsia="宋体" w:cs="宋体"/>
                <w:color w:val="auto"/>
              </w:rPr>
              <w:t>）要求，本项目</w:t>
            </w:r>
            <w:r>
              <w:rPr>
                <w:rFonts w:hint="eastAsia" w:ascii="宋体" w:hAnsi="宋体" w:eastAsia="宋体" w:cs="宋体"/>
                <w:color w:val="auto"/>
                <w:lang w:val="en-US" w:eastAsia="zh-CN"/>
              </w:rPr>
              <w:t>仅排放</w:t>
            </w:r>
            <w:r>
              <w:rPr>
                <w:rFonts w:hint="eastAsia" w:ascii="宋体" w:hAnsi="宋体" w:eastAsia="宋体" w:cs="宋体"/>
                <w:color w:val="auto"/>
              </w:rPr>
              <w:t>生活污水</w:t>
            </w:r>
            <w:r>
              <w:rPr>
                <w:rFonts w:hint="eastAsia" w:ascii="宋体" w:hAnsi="宋体" w:eastAsia="宋体" w:cs="宋体"/>
                <w:color w:val="auto"/>
                <w:lang w:eastAsia="zh-CN"/>
              </w:rPr>
              <w:t>，</w:t>
            </w:r>
            <w:r>
              <w:rPr>
                <w:rFonts w:hint="eastAsia" w:ascii="宋体" w:hAnsi="宋体" w:eastAsia="宋体" w:cs="宋体"/>
                <w:color w:val="auto"/>
                <w:lang w:val="en-US" w:eastAsia="zh-CN"/>
              </w:rPr>
              <w:t>且接管至</w:t>
            </w:r>
            <w:r>
              <w:rPr>
                <w:rFonts w:hint="eastAsia" w:ascii="宋体" w:hAnsi="宋体" w:eastAsia="宋体" w:cs="宋体"/>
                <w:lang w:eastAsia="zh-CN"/>
              </w:rPr>
              <w:t>句容市边城镇污水处理厂，</w:t>
            </w:r>
            <w:r>
              <w:rPr>
                <w:rFonts w:hint="eastAsia" w:ascii="宋体" w:hAnsi="宋体" w:eastAsia="宋体" w:cs="宋体"/>
                <w:lang w:val="en-US" w:eastAsia="zh-CN"/>
              </w:rPr>
              <w:t>属间接排放，可不做监测要求</w:t>
            </w:r>
            <w:r>
              <w:rPr>
                <w:rFonts w:hint="eastAsia" w:ascii="宋体" w:hAnsi="宋体" w:eastAsia="宋体" w:cs="宋体"/>
                <w:color w:val="auto"/>
              </w:rPr>
              <w:t>。</w:t>
            </w:r>
          </w:p>
          <w:p w14:paraId="7691B0FD">
            <w:pPr>
              <w:keepNext w:val="0"/>
              <w:keepLines w:val="0"/>
              <w:suppressLineNumbers w:val="0"/>
              <w:spacing w:before="0" w:beforeAutospacing="0" w:after="0" w:afterAutospacing="0"/>
              <w:ind w:left="0" w:right="0"/>
              <w:rPr>
                <w:rFonts w:hint="eastAsia" w:ascii="宋体" w:hAnsi="宋体" w:eastAsia="宋体" w:cs="宋体"/>
              </w:rPr>
            </w:pPr>
            <w:r>
              <w:rPr>
                <w:rFonts w:hint="eastAsia" w:ascii="宋体" w:hAnsi="宋体" w:eastAsia="宋体" w:cs="宋体"/>
              </w:rPr>
              <w:t>三、噪声</w:t>
            </w:r>
          </w:p>
          <w:p w14:paraId="7531F2DB">
            <w:pPr>
              <w:pStyle w:val="61"/>
              <w:keepNext w:val="0"/>
              <w:keepLines w:val="0"/>
              <w:suppressLineNumbers w:val="0"/>
              <w:spacing w:before="0" w:beforeAutospacing="0" w:after="0" w:afterAutospacing="0"/>
              <w:ind w:left="0" w:right="0" w:firstLine="0" w:firstLineChars="0"/>
              <w:rPr>
                <w:rFonts w:hint="eastAsia" w:ascii="宋体" w:hAnsi="宋体" w:eastAsia="宋体" w:cs="宋体"/>
              </w:rPr>
            </w:pPr>
            <w:bookmarkStart w:id="168" w:name="OLE_LINK4"/>
            <w:bookmarkStart w:id="169" w:name="OLE_LINK5"/>
            <w:r>
              <w:rPr>
                <w:rFonts w:hint="eastAsia" w:ascii="宋体" w:hAnsi="宋体" w:eastAsia="宋体" w:cs="宋体"/>
              </w:rPr>
              <w:t>1、噪声源</w:t>
            </w:r>
          </w:p>
          <w:p w14:paraId="59570271">
            <w:pPr>
              <w:pStyle w:val="61"/>
              <w:keepNext w:val="0"/>
              <w:keepLines w:val="0"/>
              <w:suppressLineNumbers w:val="0"/>
              <w:spacing w:before="0" w:beforeAutospacing="0" w:after="0" w:afterAutospacing="0"/>
              <w:ind w:left="0" w:right="0"/>
              <w:rPr>
                <w:rFonts w:hint="eastAsia" w:ascii="宋体" w:hAnsi="宋体" w:eastAsia="宋体" w:cs="宋体"/>
                <w:color w:val="FF0000"/>
              </w:rPr>
            </w:pPr>
            <w:r>
              <w:rPr>
                <w:rFonts w:hint="eastAsia" w:ascii="宋体" w:hAnsi="宋体" w:eastAsia="宋体" w:cs="宋体"/>
              </w:rPr>
              <w:t>建设项目主要高噪声设备为</w:t>
            </w:r>
            <w:r>
              <w:rPr>
                <w:rFonts w:hint="eastAsia" w:ascii="宋体" w:hAnsi="宋体" w:eastAsia="宋体" w:cs="宋体"/>
                <w:lang w:val="en-US" w:eastAsia="zh-CN"/>
              </w:rPr>
              <w:t>打磨除尘台</w:t>
            </w:r>
            <w:r>
              <w:rPr>
                <w:rFonts w:hint="eastAsia" w:ascii="宋体" w:hAnsi="宋体" w:eastAsia="宋体" w:cs="宋体"/>
              </w:rPr>
              <w:t>、喷砂机、</w:t>
            </w:r>
            <w:r>
              <w:rPr>
                <w:rFonts w:hint="eastAsia" w:ascii="宋体" w:hAnsi="宋体" w:eastAsia="宋体" w:cs="宋体"/>
                <w:lang w:val="en-US" w:eastAsia="zh-CN"/>
              </w:rPr>
              <w:t>喷塑房</w:t>
            </w:r>
            <w:r>
              <w:rPr>
                <w:rFonts w:hint="eastAsia" w:ascii="宋体" w:hAnsi="宋体" w:eastAsia="宋体" w:cs="宋体"/>
              </w:rPr>
              <w:t>、</w:t>
            </w:r>
            <w:r>
              <w:rPr>
                <w:rFonts w:hint="eastAsia" w:ascii="宋体" w:hAnsi="宋体" w:eastAsia="宋体" w:cs="宋体"/>
                <w:lang w:val="en-US" w:eastAsia="zh-CN"/>
              </w:rPr>
              <w:t>风</w:t>
            </w:r>
            <w:r>
              <w:rPr>
                <w:rFonts w:hint="eastAsia" w:ascii="宋体" w:hAnsi="宋体" w:eastAsia="宋体" w:cs="宋体"/>
              </w:rPr>
              <w:t>机、</w:t>
            </w:r>
            <w:r>
              <w:rPr>
                <w:rFonts w:hint="eastAsia" w:ascii="宋体" w:hAnsi="宋体" w:eastAsia="宋体" w:cs="宋体"/>
                <w:lang w:val="en-US" w:eastAsia="zh-CN"/>
              </w:rPr>
              <w:t>燃烧机</w:t>
            </w:r>
            <w:r>
              <w:rPr>
                <w:rFonts w:hint="eastAsia" w:ascii="宋体" w:hAnsi="宋体" w:eastAsia="宋体" w:cs="宋体"/>
              </w:rPr>
              <w:t>、空压机等，</w:t>
            </w:r>
            <w:bookmarkEnd w:id="168"/>
            <w:bookmarkEnd w:id="169"/>
            <w:r>
              <w:rPr>
                <w:rFonts w:hint="eastAsia" w:ascii="宋体" w:hAnsi="宋体" w:eastAsia="宋体" w:cs="宋体"/>
              </w:rPr>
              <w:t>主要高噪声设备见表4-1</w:t>
            </w:r>
            <w:r>
              <w:rPr>
                <w:rFonts w:hint="eastAsia" w:ascii="宋体" w:hAnsi="宋体" w:eastAsia="宋体" w:cs="宋体"/>
                <w:lang w:val="en-US" w:eastAsia="zh-CN"/>
              </w:rPr>
              <w:t>6</w:t>
            </w:r>
            <w:r>
              <w:rPr>
                <w:rFonts w:hint="eastAsia" w:ascii="宋体" w:hAnsi="宋体" w:eastAsia="宋体" w:cs="宋体"/>
              </w:rPr>
              <w:t>、4-1</w:t>
            </w:r>
            <w:r>
              <w:rPr>
                <w:rFonts w:hint="eastAsia" w:ascii="宋体" w:hAnsi="宋体" w:eastAsia="宋体" w:cs="宋体"/>
                <w:lang w:val="en-US" w:eastAsia="zh-CN"/>
              </w:rPr>
              <w:t>7</w:t>
            </w:r>
            <w:r>
              <w:rPr>
                <w:rFonts w:hint="eastAsia" w:ascii="宋体" w:hAnsi="宋体" w:eastAsia="宋体" w:cs="宋体"/>
              </w:rPr>
              <w:t>。</w:t>
            </w:r>
          </w:p>
          <w:p w14:paraId="77E2E7AD">
            <w:pPr>
              <w:pStyle w:val="61"/>
              <w:keepNext w:val="0"/>
              <w:keepLines w:val="0"/>
              <w:suppressLineNumbers w:val="0"/>
              <w:spacing w:before="0" w:beforeAutospacing="0" w:after="0" w:afterAutospacing="0"/>
              <w:ind w:left="0" w:right="0"/>
              <w:rPr>
                <w:rFonts w:hint="eastAsia" w:ascii="宋体" w:hAnsi="宋体" w:eastAsia="宋体" w:cs="宋体"/>
                <w:color w:val="FF0000"/>
              </w:rPr>
            </w:pPr>
          </w:p>
          <w:p w14:paraId="571DFB3B">
            <w:pPr>
              <w:pStyle w:val="61"/>
              <w:keepNext w:val="0"/>
              <w:keepLines w:val="0"/>
              <w:suppressLineNumbers w:val="0"/>
              <w:spacing w:before="0" w:beforeAutospacing="0" w:after="0" w:afterAutospacing="0"/>
              <w:ind w:left="0" w:right="0"/>
              <w:rPr>
                <w:rFonts w:hint="eastAsia" w:ascii="宋体" w:hAnsi="宋体" w:eastAsia="宋体" w:cs="宋体"/>
                <w:color w:val="FF0000"/>
              </w:rPr>
            </w:pPr>
          </w:p>
          <w:p w14:paraId="41F03F64">
            <w:pPr>
              <w:pStyle w:val="61"/>
              <w:keepNext w:val="0"/>
              <w:keepLines w:val="0"/>
              <w:suppressLineNumbers w:val="0"/>
              <w:spacing w:before="0" w:beforeAutospacing="0" w:after="0" w:afterAutospacing="0"/>
              <w:ind w:left="0" w:right="0"/>
              <w:rPr>
                <w:rFonts w:hint="eastAsia" w:ascii="宋体" w:hAnsi="宋体" w:eastAsia="宋体" w:cs="宋体"/>
                <w:color w:val="FF0000"/>
              </w:rPr>
            </w:pPr>
          </w:p>
          <w:p w14:paraId="3F8F8A89">
            <w:pPr>
              <w:pStyle w:val="61"/>
              <w:keepNext w:val="0"/>
              <w:keepLines w:val="0"/>
              <w:suppressLineNumbers w:val="0"/>
              <w:spacing w:before="0" w:beforeAutospacing="0" w:after="0" w:afterAutospacing="0"/>
              <w:ind w:left="0" w:right="0"/>
              <w:rPr>
                <w:rFonts w:hint="eastAsia" w:ascii="宋体" w:hAnsi="宋体" w:eastAsia="宋体" w:cs="宋体"/>
                <w:color w:val="FF0000"/>
              </w:rPr>
            </w:pPr>
          </w:p>
          <w:p w14:paraId="21223A45">
            <w:pPr>
              <w:pStyle w:val="13"/>
              <w:keepNext w:val="0"/>
              <w:keepLines w:val="0"/>
              <w:suppressLineNumbers w:val="0"/>
              <w:spacing w:before="0" w:beforeAutospacing="0" w:after="0" w:afterAutospacing="0"/>
              <w:ind w:left="0" w:right="0" w:firstLine="0" w:firstLineChars="0"/>
              <w:jc w:val="both"/>
              <w:rPr>
                <w:rFonts w:hint="eastAsia" w:ascii="宋体" w:hAnsi="宋体" w:eastAsia="宋体" w:cs="宋体"/>
                <w:color w:val="FF0000"/>
              </w:rPr>
            </w:pPr>
          </w:p>
          <w:p w14:paraId="3BEB72FE">
            <w:pPr>
              <w:pStyle w:val="10"/>
              <w:keepNext w:val="0"/>
              <w:keepLines w:val="0"/>
              <w:suppressLineNumbers w:val="0"/>
              <w:spacing w:before="0" w:beforeAutospacing="0" w:after="0" w:afterAutospacing="0"/>
              <w:ind w:left="0" w:right="0"/>
              <w:rPr>
                <w:rFonts w:hint="eastAsia" w:ascii="宋体" w:hAnsi="宋体" w:eastAsia="宋体" w:cs="宋体"/>
                <w:color w:val="FF0000"/>
              </w:rPr>
            </w:pPr>
          </w:p>
          <w:p w14:paraId="05A0550C">
            <w:pPr>
              <w:pStyle w:val="16"/>
              <w:keepNext w:val="0"/>
              <w:keepLines w:val="0"/>
              <w:widowControl w:val="0"/>
              <w:numPr>
                <w:ilvl w:val="0"/>
                <w:numId w:val="0"/>
              </w:numPr>
              <w:suppressLineNumbers w:val="0"/>
              <w:spacing w:before="0" w:beforeAutospacing="0" w:after="0" w:afterAutospacing="0" w:line="360" w:lineRule="auto"/>
              <w:ind w:left="0" w:right="0"/>
              <w:jc w:val="both"/>
              <w:rPr>
                <w:rFonts w:hint="eastAsia" w:ascii="宋体" w:hAnsi="宋体" w:eastAsia="宋体" w:cs="宋体"/>
                <w:color w:val="FF0000"/>
              </w:rPr>
            </w:pPr>
          </w:p>
          <w:p w14:paraId="27CF6B78">
            <w:pPr>
              <w:pStyle w:val="16"/>
              <w:keepNext w:val="0"/>
              <w:keepLines w:val="0"/>
              <w:widowControl w:val="0"/>
              <w:numPr>
                <w:ilvl w:val="0"/>
                <w:numId w:val="0"/>
              </w:numPr>
              <w:suppressLineNumbers w:val="0"/>
              <w:spacing w:before="0" w:beforeAutospacing="0" w:after="0" w:afterAutospacing="0" w:line="360" w:lineRule="auto"/>
              <w:ind w:left="0" w:right="0"/>
              <w:jc w:val="both"/>
              <w:rPr>
                <w:rFonts w:hint="eastAsia" w:ascii="宋体" w:hAnsi="宋体" w:eastAsia="宋体" w:cs="宋体"/>
                <w:color w:val="FF0000"/>
              </w:rPr>
            </w:pPr>
          </w:p>
          <w:p w14:paraId="6B12EA02">
            <w:pPr>
              <w:pStyle w:val="16"/>
              <w:keepNext w:val="0"/>
              <w:keepLines w:val="0"/>
              <w:widowControl w:val="0"/>
              <w:numPr>
                <w:ilvl w:val="0"/>
                <w:numId w:val="0"/>
              </w:numPr>
              <w:suppressLineNumbers w:val="0"/>
              <w:spacing w:before="0" w:beforeAutospacing="0" w:after="0" w:afterAutospacing="0" w:line="360" w:lineRule="auto"/>
              <w:ind w:left="0" w:right="0"/>
              <w:jc w:val="both"/>
              <w:rPr>
                <w:rFonts w:hint="eastAsia" w:ascii="宋体" w:hAnsi="宋体" w:eastAsia="宋体" w:cs="宋体"/>
                <w:color w:val="FF0000"/>
              </w:rPr>
            </w:pPr>
          </w:p>
          <w:p w14:paraId="4AC007C8">
            <w:pPr>
              <w:pStyle w:val="16"/>
              <w:keepNext w:val="0"/>
              <w:keepLines w:val="0"/>
              <w:widowControl w:val="0"/>
              <w:numPr>
                <w:ilvl w:val="0"/>
                <w:numId w:val="0"/>
              </w:numPr>
              <w:suppressLineNumbers w:val="0"/>
              <w:spacing w:before="0" w:beforeAutospacing="0" w:after="0" w:afterAutospacing="0" w:line="360" w:lineRule="auto"/>
              <w:ind w:left="0" w:right="0"/>
              <w:jc w:val="both"/>
              <w:rPr>
                <w:rFonts w:hint="eastAsia" w:ascii="宋体" w:hAnsi="宋体" w:eastAsia="宋体" w:cs="宋体"/>
                <w:color w:val="FF0000"/>
              </w:rPr>
            </w:pPr>
          </w:p>
          <w:p w14:paraId="22AF80F3">
            <w:pPr>
              <w:pStyle w:val="16"/>
              <w:keepNext w:val="0"/>
              <w:keepLines w:val="0"/>
              <w:widowControl w:val="0"/>
              <w:numPr>
                <w:ilvl w:val="0"/>
                <w:numId w:val="0"/>
              </w:numPr>
              <w:suppressLineNumbers w:val="0"/>
              <w:spacing w:before="0" w:beforeAutospacing="0" w:after="0" w:afterAutospacing="0" w:line="360" w:lineRule="auto"/>
              <w:ind w:left="0" w:right="0"/>
              <w:jc w:val="both"/>
              <w:rPr>
                <w:rFonts w:hint="eastAsia" w:ascii="宋体" w:hAnsi="宋体" w:eastAsia="宋体" w:cs="宋体"/>
                <w:color w:val="FF0000"/>
              </w:rPr>
            </w:pPr>
          </w:p>
          <w:p w14:paraId="14D8469F">
            <w:pPr>
              <w:pStyle w:val="16"/>
              <w:keepNext w:val="0"/>
              <w:keepLines w:val="0"/>
              <w:widowControl w:val="0"/>
              <w:numPr>
                <w:ilvl w:val="0"/>
                <w:numId w:val="0"/>
              </w:numPr>
              <w:suppressLineNumbers w:val="0"/>
              <w:spacing w:before="0" w:beforeAutospacing="0" w:after="0" w:afterAutospacing="0" w:line="360" w:lineRule="auto"/>
              <w:ind w:left="0" w:right="0"/>
              <w:jc w:val="both"/>
              <w:rPr>
                <w:rFonts w:hint="eastAsia" w:ascii="宋体" w:hAnsi="宋体" w:eastAsia="宋体" w:cs="宋体"/>
                <w:color w:val="FF0000"/>
              </w:rPr>
            </w:pPr>
          </w:p>
          <w:p w14:paraId="0EABEAF3">
            <w:pPr>
              <w:pStyle w:val="16"/>
              <w:keepNext w:val="0"/>
              <w:keepLines w:val="0"/>
              <w:widowControl w:val="0"/>
              <w:numPr>
                <w:ilvl w:val="0"/>
                <w:numId w:val="0"/>
              </w:numPr>
              <w:suppressLineNumbers w:val="0"/>
              <w:spacing w:before="0" w:beforeAutospacing="0" w:after="0" w:afterAutospacing="0" w:line="360" w:lineRule="auto"/>
              <w:ind w:left="0" w:right="0"/>
              <w:jc w:val="both"/>
              <w:rPr>
                <w:rFonts w:hint="eastAsia" w:ascii="宋体" w:hAnsi="宋体" w:eastAsia="宋体" w:cs="宋体"/>
                <w:color w:val="FF0000"/>
              </w:rPr>
            </w:pPr>
          </w:p>
          <w:p w14:paraId="7AAA2DB1">
            <w:pPr>
              <w:pStyle w:val="16"/>
              <w:keepNext w:val="0"/>
              <w:keepLines w:val="0"/>
              <w:widowControl w:val="0"/>
              <w:numPr>
                <w:ilvl w:val="0"/>
                <w:numId w:val="0"/>
              </w:numPr>
              <w:suppressLineNumbers w:val="0"/>
              <w:spacing w:before="0" w:beforeAutospacing="0" w:after="0" w:afterAutospacing="0" w:line="360" w:lineRule="auto"/>
              <w:ind w:left="0" w:right="0"/>
              <w:jc w:val="both"/>
              <w:rPr>
                <w:rFonts w:hint="eastAsia" w:ascii="宋体" w:hAnsi="宋体" w:eastAsia="宋体" w:cs="宋体"/>
                <w:color w:val="FF0000"/>
              </w:rPr>
            </w:pPr>
          </w:p>
          <w:p w14:paraId="7E7D366C">
            <w:pPr>
              <w:pStyle w:val="16"/>
              <w:keepNext w:val="0"/>
              <w:keepLines w:val="0"/>
              <w:widowControl w:val="0"/>
              <w:numPr>
                <w:ilvl w:val="0"/>
                <w:numId w:val="0"/>
              </w:numPr>
              <w:suppressLineNumbers w:val="0"/>
              <w:spacing w:before="0" w:beforeAutospacing="0" w:after="0" w:afterAutospacing="0" w:line="360" w:lineRule="auto"/>
              <w:ind w:left="0" w:right="0"/>
              <w:jc w:val="both"/>
              <w:rPr>
                <w:rFonts w:hint="eastAsia" w:ascii="宋体" w:hAnsi="宋体" w:eastAsia="宋体" w:cs="宋体"/>
                <w:color w:val="FF0000"/>
              </w:rPr>
            </w:pPr>
          </w:p>
        </w:tc>
      </w:tr>
    </w:tbl>
    <w:p w14:paraId="321D2789">
      <w:pPr>
        <w:pStyle w:val="53"/>
        <w:spacing w:line="360" w:lineRule="auto"/>
        <w:rPr>
          <w:rFonts w:ascii="宋体" w:hAnsi="宋体" w:eastAsia="宋体" w:cs="宋体"/>
          <w:color w:val="FF0000"/>
        </w:rPr>
        <w:sectPr>
          <w:pgSz w:w="11907" w:h="16840"/>
          <w:pgMar w:top="1440" w:right="1800" w:bottom="1440" w:left="1800" w:header="851" w:footer="850" w:gutter="0"/>
          <w:pgBorders>
            <w:top w:val="none" w:sz="0" w:space="0"/>
            <w:left w:val="none" w:sz="0" w:space="0"/>
            <w:bottom w:val="none" w:sz="0" w:space="0"/>
            <w:right w:val="none" w:sz="0" w:space="0"/>
          </w:pgBorders>
          <w:cols w:space="720" w:num="1"/>
          <w:docGrid w:type="lines" w:linePitch="312" w:charSpace="0"/>
        </w:sectPr>
      </w:pP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522"/>
        <w:gridCol w:w="13652"/>
      </w:tblGrid>
      <w:tr w14:paraId="5C419AD3">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PrEx>
        <w:tc>
          <w:tcPr>
            <w:tcW w:w="806" w:type="dxa"/>
            <w:noWrap w:val="0"/>
            <w:vAlign w:val="top"/>
          </w:tcPr>
          <w:p w14:paraId="642E1FA3">
            <w:pPr>
              <w:keepNext w:val="0"/>
              <w:keepLines w:val="0"/>
              <w:suppressLineNumbers w:val="0"/>
              <w:spacing w:before="0" w:beforeAutospacing="0" w:after="0" w:afterAutospacing="0"/>
              <w:ind w:left="0" w:right="0"/>
              <w:rPr>
                <w:rFonts w:hint="eastAsia" w:ascii="Times New Roman" w:hAnsi="Times New Roman" w:cs="Times New Roman"/>
              </w:rPr>
            </w:pPr>
            <w:bookmarkStart w:id="170" w:name="_Toc26802"/>
          </w:p>
        </w:tc>
        <w:tc>
          <w:tcPr>
            <w:tcW w:w="13368" w:type="dxa"/>
            <w:noWrap w:val="0"/>
            <w:vAlign w:val="top"/>
          </w:tcPr>
          <w:p w14:paraId="64E76CF1">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bCs/>
                <w:kern w:val="44"/>
              </w:rPr>
            </w:pPr>
            <w:r>
              <w:rPr>
                <w:rFonts w:hint="eastAsia" w:ascii="宋体" w:hAnsi="宋体" w:eastAsia="宋体" w:cs="宋体"/>
                <w:b/>
                <w:bCs w:val="0"/>
                <w:kern w:val="44"/>
              </w:rPr>
              <w:t>表4-1</w:t>
            </w:r>
            <w:r>
              <w:rPr>
                <w:rFonts w:hint="eastAsia" w:ascii="宋体" w:hAnsi="宋体" w:eastAsia="宋体" w:cs="宋体"/>
                <w:b/>
                <w:bCs w:val="0"/>
                <w:kern w:val="44"/>
                <w:lang w:val="en-US" w:eastAsia="zh-CN"/>
              </w:rPr>
              <w:t>6</w:t>
            </w:r>
            <w:r>
              <w:rPr>
                <w:rFonts w:hint="eastAsia" w:ascii="宋体" w:hAnsi="宋体" w:eastAsia="宋体" w:cs="宋体"/>
                <w:b/>
                <w:bCs w:val="0"/>
                <w:kern w:val="44"/>
              </w:rPr>
              <w:t xml:space="preserve"> 工业企业噪声源强调查清单（室内声源）</w:t>
            </w:r>
          </w:p>
          <w:tbl>
            <w:tblPr>
              <w:tblStyle w:val="30"/>
              <w:tblpPr w:leftFromText="180" w:rightFromText="180" w:vertAnchor="text" w:horzAnchor="page" w:tblpXSpec="center" w:tblpY="323"/>
              <w:tblOverlap w:val="never"/>
              <w:tblW w:w="1343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773"/>
              <w:gridCol w:w="783"/>
              <w:gridCol w:w="549"/>
              <w:gridCol w:w="662"/>
              <w:gridCol w:w="698"/>
              <w:gridCol w:w="568"/>
              <w:gridCol w:w="611"/>
              <w:gridCol w:w="611"/>
              <w:gridCol w:w="704"/>
              <w:gridCol w:w="519"/>
              <w:gridCol w:w="603"/>
              <w:gridCol w:w="603"/>
              <w:gridCol w:w="603"/>
              <w:gridCol w:w="605"/>
              <w:gridCol w:w="535"/>
              <w:gridCol w:w="852"/>
              <w:gridCol w:w="623"/>
              <w:gridCol w:w="450"/>
              <w:gridCol w:w="499"/>
              <w:gridCol w:w="524"/>
              <w:gridCol w:w="634"/>
            </w:tblGrid>
            <w:tr w14:paraId="1966B9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2" w:hRule="exact"/>
                <w:jc w:val="center"/>
              </w:trPr>
              <w:tc>
                <w:tcPr>
                  <w:tcW w:w="427" w:type="dxa"/>
                  <w:vMerge w:val="restart"/>
                  <w:noWrap w:val="0"/>
                  <w:vAlign w:val="center"/>
                </w:tcPr>
                <w:p w14:paraId="5153639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bookmarkStart w:id="171" w:name="PT_6"/>
                  <w:r>
                    <w:rPr>
                      <w:rFonts w:hint="eastAsia" w:ascii="宋体" w:hAnsi="宋体" w:eastAsia="宋体" w:cs="宋体"/>
                      <w:b/>
                      <w:sz w:val="21"/>
                      <w:szCs w:val="21"/>
                    </w:rPr>
                    <w:t>序号</w:t>
                  </w:r>
                </w:p>
              </w:tc>
              <w:tc>
                <w:tcPr>
                  <w:tcW w:w="773" w:type="dxa"/>
                  <w:vMerge w:val="restart"/>
                  <w:noWrap w:val="0"/>
                  <w:vAlign w:val="center"/>
                </w:tcPr>
                <w:p w14:paraId="1FC5E79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b/>
                      <w:sz w:val="21"/>
                      <w:szCs w:val="21"/>
                    </w:rPr>
                    <w:t>声源名称</w:t>
                  </w:r>
                </w:p>
              </w:tc>
              <w:tc>
                <w:tcPr>
                  <w:tcW w:w="783" w:type="dxa"/>
                  <w:noWrap w:val="0"/>
                  <w:vAlign w:val="center"/>
                </w:tcPr>
                <w:p w14:paraId="38E4B42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b/>
                      <w:sz w:val="21"/>
                      <w:szCs w:val="21"/>
                    </w:rPr>
                    <w:t>声源源强</w:t>
                  </w:r>
                </w:p>
              </w:tc>
              <w:tc>
                <w:tcPr>
                  <w:tcW w:w="549" w:type="dxa"/>
                  <w:vMerge w:val="restart"/>
                  <w:noWrap w:val="0"/>
                  <w:vAlign w:val="center"/>
                </w:tcPr>
                <w:p w14:paraId="30944F8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b/>
                      <w:sz w:val="21"/>
                      <w:szCs w:val="21"/>
                    </w:rPr>
                    <w:t>声源控制措施</w:t>
                  </w:r>
                </w:p>
              </w:tc>
              <w:tc>
                <w:tcPr>
                  <w:tcW w:w="1928" w:type="dxa"/>
                  <w:gridSpan w:val="3"/>
                  <w:noWrap w:val="0"/>
                  <w:vAlign w:val="center"/>
                </w:tcPr>
                <w:p w14:paraId="636ED82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b/>
                      <w:sz w:val="21"/>
                      <w:szCs w:val="21"/>
                    </w:rPr>
                    <w:t>空间相对位置/m</w:t>
                  </w:r>
                </w:p>
              </w:tc>
              <w:tc>
                <w:tcPr>
                  <w:tcW w:w="2445" w:type="dxa"/>
                  <w:gridSpan w:val="4"/>
                  <w:noWrap w:val="0"/>
                  <w:vAlign w:val="center"/>
                </w:tcPr>
                <w:p w14:paraId="17F0EB9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sz w:val="21"/>
                      <w:szCs w:val="21"/>
                    </w:rPr>
                  </w:pPr>
                  <w:r>
                    <w:rPr>
                      <w:rFonts w:hint="eastAsia" w:ascii="宋体" w:hAnsi="宋体" w:eastAsia="宋体" w:cs="宋体"/>
                      <w:b/>
                      <w:sz w:val="21"/>
                      <w:szCs w:val="21"/>
                    </w:rPr>
                    <w:t>距室内边界距离/m</w:t>
                  </w:r>
                </w:p>
              </w:tc>
              <w:tc>
                <w:tcPr>
                  <w:tcW w:w="2414" w:type="dxa"/>
                  <w:gridSpan w:val="4"/>
                  <w:noWrap w:val="0"/>
                  <w:vAlign w:val="center"/>
                </w:tcPr>
                <w:p w14:paraId="348612B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sz w:val="21"/>
                      <w:szCs w:val="21"/>
                    </w:rPr>
                  </w:pPr>
                  <w:r>
                    <w:rPr>
                      <w:rFonts w:hint="eastAsia" w:ascii="宋体" w:hAnsi="宋体" w:eastAsia="宋体" w:cs="宋体"/>
                      <w:b/>
                      <w:sz w:val="21"/>
                      <w:szCs w:val="21"/>
                    </w:rPr>
                    <w:t>室内边界声级/dB(A)</w:t>
                  </w:r>
                </w:p>
              </w:tc>
              <w:tc>
                <w:tcPr>
                  <w:tcW w:w="535" w:type="dxa"/>
                  <w:vMerge w:val="restart"/>
                  <w:noWrap w:val="0"/>
                  <w:vAlign w:val="center"/>
                </w:tcPr>
                <w:p w14:paraId="73C78EE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b/>
                      <w:sz w:val="21"/>
                      <w:szCs w:val="21"/>
                    </w:rPr>
                    <w:t>运行时段</w:t>
                  </w:r>
                </w:p>
              </w:tc>
              <w:tc>
                <w:tcPr>
                  <w:tcW w:w="852" w:type="dxa"/>
                  <w:vMerge w:val="restart"/>
                  <w:noWrap w:val="0"/>
                  <w:vAlign w:val="center"/>
                </w:tcPr>
                <w:p w14:paraId="3C0726C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sz w:val="21"/>
                      <w:szCs w:val="21"/>
                    </w:rPr>
                  </w:pPr>
                  <w:r>
                    <w:rPr>
                      <w:rFonts w:hint="eastAsia" w:ascii="宋体" w:hAnsi="宋体" w:eastAsia="宋体" w:cs="宋体"/>
                      <w:b/>
                      <w:sz w:val="21"/>
                      <w:szCs w:val="21"/>
                    </w:rPr>
                    <w:t>建筑物插入损失 / dB(A)</w:t>
                  </w:r>
                  <w:bookmarkStart w:id="172" w:name="PT_10"/>
                  <w:bookmarkEnd w:id="172"/>
                </w:p>
              </w:tc>
              <w:tc>
                <w:tcPr>
                  <w:tcW w:w="2730" w:type="dxa"/>
                  <w:gridSpan w:val="5"/>
                  <w:noWrap w:val="0"/>
                  <w:vAlign w:val="center"/>
                </w:tcPr>
                <w:p w14:paraId="38E9BE8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sz w:val="21"/>
                      <w:szCs w:val="21"/>
                    </w:rPr>
                  </w:pPr>
                  <w:r>
                    <w:rPr>
                      <w:rFonts w:hint="eastAsia" w:ascii="宋体" w:hAnsi="宋体" w:eastAsia="宋体" w:cs="宋体"/>
                      <w:b/>
                      <w:sz w:val="21"/>
                      <w:szCs w:val="21"/>
                    </w:rPr>
                    <w:t>建筑物外噪声声压级/dB(A)</w:t>
                  </w:r>
                </w:p>
              </w:tc>
            </w:tr>
            <w:tr w14:paraId="40B258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27" w:type="dxa"/>
                  <w:vMerge w:val="continue"/>
                  <w:shd w:val="clear" w:color="auto" w:fill="FFFFFF"/>
                  <w:noWrap w:val="0"/>
                  <w:tcMar>
                    <w:top w:w="0" w:type="dxa"/>
                    <w:left w:w="0" w:type="dxa"/>
                    <w:bottom w:w="0" w:type="dxa"/>
                    <w:right w:w="0" w:type="dxa"/>
                  </w:tcMar>
                  <w:vAlign w:val="center"/>
                </w:tcPr>
                <w:p w14:paraId="3848A26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p>
              </w:tc>
              <w:tc>
                <w:tcPr>
                  <w:tcW w:w="773" w:type="dxa"/>
                  <w:vMerge w:val="continue"/>
                  <w:shd w:val="clear" w:color="auto" w:fill="FFFFFF"/>
                  <w:noWrap w:val="0"/>
                  <w:tcMar>
                    <w:top w:w="0" w:type="dxa"/>
                    <w:left w:w="0" w:type="dxa"/>
                    <w:bottom w:w="0" w:type="dxa"/>
                    <w:right w:w="0" w:type="dxa"/>
                  </w:tcMar>
                  <w:vAlign w:val="center"/>
                </w:tcPr>
                <w:p w14:paraId="7AB66C1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p>
              </w:tc>
              <w:tc>
                <w:tcPr>
                  <w:tcW w:w="783" w:type="dxa"/>
                  <w:shd w:val="clear" w:color="auto" w:fill="FFFFFF"/>
                  <w:noWrap w:val="0"/>
                  <w:tcMar>
                    <w:top w:w="0" w:type="dxa"/>
                    <w:left w:w="0" w:type="dxa"/>
                    <w:bottom w:w="0" w:type="dxa"/>
                    <w:right w:w="0" w:type="dxa"/>
                  </w:tcMar>
                  <w:vAlign w:val="center"/>
                </w:tcPr>
                <w:p w14:paraId="6EDE67C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声功率级/dB(A)</w:t>
                  </w:r>
                </w:p>
              </w:tc>
              <w:tc>
                <w:tcPr>
                  <w:tcW w:w="549" w:type="dxa"/>
                  <w:vMerge w:val="continue"/>
                  <w:shd w:val="clear" w:color="auto" w:fill="FFFFFF"/>
                  <w:noWrap w:val="0"/>
                  <w:tcMar>
                    <w:top w:w="0" w:type="dxa"/>
                    <w:left w:w="0" w:type="dxa"/>
                    <w:bottom w:w="0" w:type="dxa"/>
                    <w:right w:w="0" w:type="dxa"/>
                  </w:tcMar>
                  <w:vAlign w:val="center"/>
                </w:tcPr>
                <w:p w14:paraId="2601F1E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p>
              </w:tc>
              <w:tc>
                <w:tcPr>
                  <w:tcW w:w="662" w:type="dxa"/>
                  <w:shd w:val="clear" w:color="auto" w:fill="FFFFFF"/>
                  <w:noWrap w:val="0"/>
                  <w:tcMar>
                    <w:top w:w="0" w:type="dxa"/>
                    <w:left w:w="0" w:type="dxa"/>
                    <w:bottom w:w="0" w:type="dxa"/>
                    <w:right w:w="0" w:type="dxa"/>
                  </w:tcMar>
                  <w:vAlign w:val="center"/>
                </w:tcPr>
                <w:p w14:paraId="4ECAE0D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X</w:t>
                  </w:r>
                </w:p>
              </w:tc>
              <w:tc>
                <w:tcPr>
                  <w:tcW w:w="698" w:type="dxa"/>
                  <w:shd w:val="clear" w:color="auto" w:fill="FFFFFF"/>
                  <w:noWrap w:val="0"/>
                  <w:tcMar>
                    <w:top w:w="0" w:type="dxa"/>
                    <w:left w:w="0" w:type="dxa"/>
                    <w:bottom w:w="0" w:type="dxa"/>
                    <w:right w:w="0" w:type="dxa"/>
                  </w:tcMar>
                  <w:vAlign w:val="center"/>
                </w:tcPr>
                <w:p w14:paraId="2D3122B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Y</w:t>
                  </w:r>
                </w:p>
              </w:tc>
              <w:tc>
                <w:tcPr>
                  <w:tcW w:w="568" w:type="dxa"/>
                  <w:shd w:val="clear" w:color="auto" w:fill="FFFFFF"/>
                  <w:noWrap w:val="0"/>
                  <w:tcMar>
                    <w:top w:w="0" w:type="dxa"/>
                    <w:left w:w="0" w:type="dxa"/>
                    <w:bottom w:w="0" w:type="dxa"/>
                    <w:right w:w="0" w:type="dxa"/>
                  </w:tcMar>
                  <w:vAlign w:val="center"/>
                </w:tcPr>
                <w:p w14:paraId="51F24E3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Z</w:t>
                  </w:r>
                </w:p>
              </w:tc>
              <w:tc>
                <w:tcPr>
                  <w:tcW w:w="611" w:type="dxa"/>
                  <w:shd w:val="clear" w:color="auto" w:fill="FFFFFF"/>
                  <w:noWrap w:val="0"/>
                  <w:tcMar>
                    <w:top w:w="0" w:type="dxa"/>
                    <w:left w:w="0" w:type="dxa"/>
                    <w:bottom w:w="0" w:type="dxa"/>
                    <w:right w:w="0" w:type="dxa"/>
                  </w:tcMar>
                  <w:vAlign w:val="center"/>
                </w:tcPr>
                <w:p w14:paraId="70E090A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东</w:t>
                  </w:r>
                </w:p>
              </w:tc>
              <w:tc>
                <w:tcPr>
                  <w:tcW w:w="611" w:type="dxa"/>
                  <w:shd w:val="clear" w:color="auto" w:fill="FFFFFF"/>
                  <w:noWrap w:val="0"/>
                  <w:tcMar>
                    <w:top w:w="0" w:type="dxa"/>
                    <w:left w:w="0" w:type="dxa"/>
                    <w:bottom w:w="0" w:type="dxa"/>
                    <w:right w:w="0" w:type="dxa"/>
                  </w:tcMar>
                  <w:vAlign w:val="center"/>
                </w:tcPr>
                <w:p w14:paraId="5AC8ACF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南</w:t>
                  </w:r>
                </w:p>
              </w:tc>
              <w:tc>
                <w:tcPr>
                  <w:tcW w:w="704" w:type="dxa"/>
                  <w:shd w:val="clear" w:color="auto" w:fill="FFFFFF"/>
                  <w:noWrap w:val="0"/>
                  <w:tcMar>
                    <w:top w:w="0" w:type="dxa"/>
                    <w:left w:w="0" w:type="dxa"/>
                    <w:bottom w:w="0" w:type="dxa"/>
                    <w:right w:w="0" w:type="dxa"/>
                  </w:tcMar>
                  <w:vAlign w:val="center"/>
                </w:tcPr>
                <w:p w14:paraId="27D8360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西</w:t>
                  </w:r>
                </w:p>
              </w:tc>
              <w:tc>
                <w:tcPr>
                  <w:tcW w:w="519" w:type="dxa"/>
                  <w:shd w:val="clear" w:color="auto" w:fill="FFFFFF"/>
                  <w:noWrap w:val="0"/>
                  <w:tcMar>
                    <w:top w:w="0" w:type="dxa"/>
                    <w:left w:w="0" w:type="dxa"/>
                    <w:bottom w:w="0" w:type="dxa"/>
                    <w:right w:w="0" w:type="dxa"/>
                  </w:tcMar>
                  <w:vAlign w:val="center"/>
                </w:tcPr>
                <w:p w14:paraId="6EAA509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北</w:t>
                  </w:r>
                </w:p>
              </w:tc>
              <w:tc>
                <w:tcPr>
                  <w:tcW w:w="603" w:type="dxa"/>
                  <w:shd w:val="clear" w:color="auto" w:fill="FFFFFF"/>
                  <w:noWrap w:val="0"/>
                  <w:tcMar>
                    <w:top w:w="0" w:type="dxa"/>
                    <w:left w:w="0" w:type="dxa"/>
                    <w:bottom w:w="0" w:type="dxa"/>
                    <w:right w:w="0" w:type="dxa"/>
                  </w:tcMar>
                  <w:vAlign w:val="center"/>
                </w:tcPr>
                <w:p w14:paraId="272498C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东</w:t>
                  </w:r>
                </w:p>
              </w:tc>
              <w:tc>
                <w:tcPr>
                  <w:tcW w:w="603" w:type="dxa"/>
                  <w:shd w:val="clear" w:color="auto" w:fill="FFFFFF"/>
                  <w:noWrap w:val="0"/>
                  <w:tcMar>
                    <w:top w:w="0" w:type="dxa"/>
                    <w:left w:w="0" w:type="dxa"/>
                    <w:bottom w:w="0" w:type="dxa"/>
                    <w:right w:w="0" w:type="dxa"/>
                  </w:tcMar>
                  <w:vAlign w:val="center"/>
                </w:tcPr>
                <w:p w14:paraId="6E9F4AF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南</w:t>
                  </w:r>
                </w:p>
              </w:tc>
              <w:tc>
                <w:tcPr>
                  <w:tcW w:w="603" w:type="dxa"/>
                  <w:shd w:val="clear" w:color="auto" w:fill="FFFFFF"/>
                  <w:noWrap w:val="0"/>
                  <w:tcMar>
                    <w:top w:w="0" w:type="dxa"/>
                    <w:left w:w="0" w:type="dxa"/>
                    <w:bottom w:w="0" w:type="dxa"/>
                    <w:right w:w="0" w:type="dxa"/>
                  </w:tcMar>
                  <w:vAlign w:val="center"/>
                </w:tcPr>
                <w:p w14:paraId="2311B75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西</w:t>
                  </w:r>
                </w:p>
              </w:tc>
              <w:tc>
                <w:tcPr>
                  <w:tcW w:w="605" w:type="dxa"/>
                  <w:shd w:val="clear" w:color="auto" w:fill="FFFFFF"/>
                  <w:noWrap w:val="0"/>
                  <w:tcMar>
                    <w:top w:w="0" w:type="dxa"/>
                    <w:left w:w="0" w:type="dxa"/>
                    <w:bottom w:w="0" w:type="dxa"/>
                    <w:right w:w="0" w:type="dxa"/>
                  </w:tcMar>
                  <w:vAlign w:val="center"/>
                </w:tcPr>
                <w:p w14:paraId="61AFE8F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北</w:t>
                  </w:r>
                </w:p>
              </w:tc>
              <w:tc>
                <w:tcPr>
                  <w:tcW w:w="535" w:type="dxa"/>
                  <w:vMerge w:val="continue"/>
                  <w:shd w:val="clear" w:color="auto" w:fill="FFFFFF"/>
                  <w:noWrap w:val="0"/>
                  <w:tcMar>
                    <w:top w:w="0" w:type="dxa"/>
                    <w:left w:w="0" w:type="dxa"/>
                    <w:bottom w:w="0" w:type="dxa"/>
                    <w:right w:w="0" w:type="dxa"/>
                  </w:tcMar>
                  <w:vAlign w:val="center"/>
                </w:tcPr>
                <w:p w14:paraId="320B471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p>
              </w:tc>
              <w:tc>
                <w:tcPr>
                  <w:tcW w:w="852" w:type="dxa"/>
                  <w:vMerge w:val="continue"/>
                  <w:shd w:val="clear" w:color="auto" w:fill="FFFFFF"/>
                  <w:noWrap w:val="0"/>
                  <w:tcMar>
                    <w:top w:w="0" w:type="dxa"/>
                    <w:left w:w="0" w:type="dxa"/>
                    <w:bottom w:w="0" w:type="dxa"/>
                    <w:right w:w="0" w:type="dxa"/>
                  </w:tcMar>
                  <w:vAlign w:val="center"/>
                </w:tcPr>
                <w:p w14:paraId="6B5B849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p>
              </w:tc>
              <w:tc>
                <w:tcPr>
                  <w:tcW w:w="623" w:type="dxa"/>
                  <w:shd w:val="clear" w:color="auto" w:fill="FFFFFF"/>
                  <w:noWrap w:val="0"/>
                  <w:tcMar>
                    <w:top w:w="0" w:type="dxa"/>
                    <w:left w:w="0" w:type="dxa"/>
                    <w:bottom w:w="0" w:type="dxa"/>
                    <w:right w:w="0" w:type="dxa"/>
                  </w:tcMar>
                  <w:vAlign w:val="center"/>
                </w:tcPr>
                <w:p w14:paraId="3F5B261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东</w:t>
                  </w:r>
                </w:p>
              </w:tc>
              <w:tc>
                <w:tcPr>
                  <w:tcW w:w="450" w:type="dxa"/>
                  <w:shd w:val="clear" w:color="auto" w:fill="FFFFFF"/>
                  <w:noWrap w:val="0"/>
                  <w:tcMar>
                    <w:top w:w="0" w:type="dxa"/>
                    <w:left w:w="0" w:type="dxa"/>
                    <w:bottom w:w="0" w:type="dxa"/>
                    <w:right w:w="0" w:type="dxa"/>
                  </w:tcMar>
                  <w:vAlign w:val="center"/>
                </w:tcPr>
                <w:p w14:paraId="217C681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南</w:t>
                  </w:r>
                </w:p>
              </w:tc>
              <w:tc>
                <w:tcPr>
                  <w:tcW w:w="499" w:type="dxa"/>
                  <w:shd w:val="clear" w:color="auto" w:fill="FFFFFF"/>
                  <w:noWrap w:val="0"/>
                  <w:tcMar>
                    <w:top w:w="0" w:type="dxa"/>
                    <w:left w:w="0" w:type="dxa"/>
                    <w:bottom w:w="0" w:type="dxa"/>
                    <w:right w:w="0" w:type="dxa"/>
                  </w:tcMar>
                  <w:vAlign w:val="center"/>
                </w:tcPr>
                <w:p w14:paraId="774120F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西</w:t>
                  </w:r>
                </w:p>
              </w:tc>
              <w:tc>
                <w:tcPr>
                  <w:tcW w:w="524" w:type="dxa"/>
                  <w:shd w:val="clear" w:color="auto" w:fill="FFFFFF"/>
                  <w:noWrap w:val="0"/>
                  <w:tcMar>
                    <w:top w:w="0" w:type="dxa"/>
                    <w:left w:w="0" w:type="dxa"/>
                    <w:bottom w:w="0" w:type="dxa"/>
                    <w:right w:w="0" w:type="dxa"/>
                  </w:tcMar>
                  <w:vAlign w:val="center"/>
                </w:tcPr>
                <w:p w14:paraId="06F4C7D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北</w:t>
                  </w:r>
                </w:p>
              </w:tc>
              <w:tc>
                <w:tcPr>
                  <w:tcW w:w="634" w:type="dxa"/>
                  <w:shd w:val="clear" w:color="auto" w:fill="FFFFFF"/>
                  <w:noWrap w:val="0"/>
                  <w:tcMar>
                    <w:top w:w="0" w:type="dxa"/>
                    <w:left w:w="0" w:type="dxa"/>
                    <w:bottom w:w="0" w:type="dxa"/>
                    <w:right w:w="0" w:type="dxa"/>
                  </w:tcMar>
                  <w:vAlign w:val="center"/>
                </w:tcPr>
                <w:p w14:paraId="7CD70C5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建筑物外距离</w:t>
                  </w:r>
                </w:p>
              </w:tc>
            </w:tr>
            <w:tr w14:paraId="157CAD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27" w:type="dxa"/>
                  <w:shd w:val="clear" w:color="auto" w:fill="FFFFFF"/>
                  <w:noWrap w:val="0"/>
                  <w:tcMar>
                    <w:top w:w="0" w:type="dxa"/>
                    <w:left w:w="0" w:type="dxa"/>
                    <w:bottom w:w="0" w:type="dxa"/>
                    <w:right w:w="0" w:type="dxa"/>
                  </w:tcMar>
                  <w:vAlign w:val="center"/>
                </w:tcPr>
                <w:p w14:paraId="27059EA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773" w:type="dxa"/>
                  <w:shd w:val="clear" w:color="auto" w:fill="FFFFFF"/>
                  <w:noWrap w:val="0"/>
                  <w:tcMar>
                    <w:top w:w="0" w:type="dxa"/>
                    <w:left w:w="0" w:type="dxa"/>
                    <w:bottom w:w="0" w:type="dxa"/>
                    <w:right w:w="0" w:type="dxa"/>
                  </w:tcMar>
                  <w:vAlign w:val="center"/>
                </w:tcPr>
                <w:p w14:paraId="2D346DF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打磨除尘台</w:t>
                  </w:r>
                </w:p>
              </w:tc>
              <w:tc>
                <w:tcPr>
                  <w:tcW w:w="783" w:type="dxa"/>
                  <w:shd w:val="clear" w:color="auto" w:fill="FFFFFF"/>
                  <w:noWrap w:val="0"/>
                  <w:tcMar>
                    <w:top w:w="0" w:type="dxa"/>
                    <w:left w:w="0" w:type="dxa"/>
                    <w:bottom w:w="0" w:type="dxa"/>
                    <w:right w:w="0" w:type="dxa"/>
                  </w:tcMar>
                  <w:vAlign w:val="center"/>
                </w:tcPr>
                <w:p w14:paraId="5C4F284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85</w:t>
                  </w:r>
                </w:p>
              </w:tc>
              <w:tc>
                <w:tcPr>
                  <w:tcW w:w="549" w:type="dxa"/>
                  <w:vMerge w:val="restart"/>
                  <w:shd w:val="clear" w:color="auto" w:fill="FFFFFF"/>
                  <w:noWrap w:val="0"/>
                  <w:tcMar>
                    <w:top w:w="0" w:type="dxa"/>
                    <w:left w:w="0" w:type="dxa"/>
                    <w:bottom w:w="0" w:type="dxa"/>
                    <w:right w:w="0" w:type="dxa"/>
                  </w:tcMar>
                  <w:vAlign w:val="center"/>
                </w:tcPr>
                <w:p w14:paraId="5C687B7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选用低噪声设备、合理布局、厂房隔声</w:t>
                  </w:r>
                </w:p>
              </w:tc>
              <w:tc>
                <w:tcPr>
                  <w:tcW w:w="662" w:type="dxa"/>
                  <w:shd w:val="clear" w:color="auto" w:fill="FFFFFF"/>
                  <w:noWrap w:val="0"/>
                  <w:tcMar>
                    <w:top w:w="0" w:type="dxa"/>
                    <w:left w:w="0" w:type="dxa"/>
                    <w:bottom w:w="0" w:type="dxa"/>
                    <w:right w:w="0" w:type="dxa"/>
                  </w:tcMar>
                  <w:vAlign w:val="center"/>
                </w:tcPr>
                <w:p w14:paraId="6B09DD6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21.6</w:t>
                  </w:r>
                </w:p>
              </w:tc>
              <w:tc>
                <w:tcPr>
                  <w:tcW w:w="698" w:type="dxa"/>
                  <w:shd w:val="clear" w:color="auto" w:fill="FFFFFF"/>
                  <w:noWrap w:val="0"/>
                  <w:tcMar>
                    <w:top w:w="0" w:type="dxa"/>
                    <w:left w:w="0" w:type="dxa"/>
                    <w:bottom w:w="0" w:type="dxa"/>
                    <w:right w:w="0" w:type="dxa"/>
                  </w:tcMar>
                  <w:vAlign w:val="center"/>
                </w:tcPr>
                <w:p w14:paraId="30B34A4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-15.8</w:t>
                  </w:r>
                </w:p>
              </w:tc>
              <w:tc>
                <w:tcPr>
                  <w:tcW w:w="568" w:type="dxa"/>
                  <w:shd w:val="clear" w:color="auto" w:fill="FFFFFF"/>
                  <w:noWrap w:val="0"/>
                  <w:tcMar>
                    <w:top w:w="0" w:type="dxa"/>
                    <w:left w:w="0" w:type="dxa"/>
                    <w:bottom w:w="0" w:type="dxa"/>
                    <w:right w:w="0" w:type="dxa"/>
                  </w:tcMar>
                  <w:vAlign w:val="center"/>
                </w:tcPr>
                <w:p w14:paraId="662C12E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1.2</w:t>
                  </w:r>
                </w:p>
              </w:tc>
              <w:tc>
                <w:tcPr>
                  <w:tcW w:w="611" w:type="dxa"/>
                  <w:shd w:val="clear" w:color="auto" w:fill="FFFFFF"/>
                  <w:noWrap w:val="0"/>
                  <w:tcMar>
                    <w:top w:w="0" w:type="dxa"/>
                    <w:left w:w="0" w:type="dxa"/>
                    <w:bottom w:w="0" w:type="dxa"/>
                    <w:right w:w="0" w:type="dxa"/>
                  </w:tcMar>
                  <w:vAlign w:val="center"/>
                </w:tcPr>
                <w:p w14:paraId="1F2B1EE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4.0</w:t>
                  </w:r>
                </w:p>
              </w:tc>
              <w:tc>
                <w:tcPr>
                  <w:tcW w:w="611" w:type="dxa"/>
                  <w:shd w:val="clear" w:color="auto" w:fill="FFFFFF"/>
                  <w:noWrap w:val="0"/>
                  <w:tcMar>
                    <w:top w:w="0" w:type="dxa"/>
                    <w:left w:w="0" w:type="dxa"/>
                    <w:bottom w:w="0" w:type="dxa"/>
                    <w:right w:w="0" w:type="dxa"/>
                  </w:tcMar>
                  <w:vAlign w:val="center"/>
                </w:tcPr>
                <w:p w14:paraId="35B492F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25.8</w:t>
                  </w:r>
                </w:p>
              </w:tc>
              <w:tc>
                <w:tcPr>
                  <w:tcW w:w="704" w:type="dxa"/>
                  <w:shd w:val="clear" w:color="auto" w:fill="FFFFFF"/>
                  <w:noWrap w:val="0"/>
                  <w:tcMar>
                    <w:top w:w="0" w:type="dxa"/>
                    <w:left w:w="0" w:type="dxa"/>
                    <w:bottom w:w="0" w:type="dxa"/>
                    <w:right w:w="0" w:type="dxa"/>
                  </w:tcMar>
                  <w:vAlign w:val="center"/>
                </w:tcPr>
                <w:p w14:paraId="3E9DC33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52.2</w:t>
                  </w:r>
                </w:p>
              </w:tc>
              <w:tc>
                <w:tcPr>
                  <w:tcW w:w="519" w:type="dxa"/>
                  <w:shd w:val="clear" w:color="auto" w:fill="FFFFFF"/>
                  <w:noWrap w:val="0"/>
                  <w:tcMar>
                    <w:top w:w="0" w:type="dxa"/>
                    <w:left w:w="0" w:type="dxa"/>
                    <w:bottom w:w="0" w:type="dxa"/>
                    <w:right w:w="0" w:type="dxa"/>
                  </w:tcMar>
                  <w:vAlign w:val="center"/>
                </w:tcPr>
                <w:p w14:paraId="469B7DA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16.6</w:t>
                  </w:r>
                </w:p>
              </w:tc>
              <w:tc>
                <w:tcPr>
                  <w:tcW w:w="603" w:type="dxa"/>
                  <w:shd w:val="clear" w:color="auto" w:fill="FFFFFF"/>
                  <w:noWrap w:val="0"/>
                  <w:tcMar>
                    <w:top w:w="0" w:type="dxa"/>
                    <w:left w:w="0" w:type="dxa"/>
                    <w:bottom w:w="0" w:type="dxa"/>
                    <w:right w:w="0" w:type="dxa"/>
                  </w:tcMar>
                  <w:vAlign w:val="center"/>
                </w:tcPr>
                <w:p w14:paraId="70EBB7E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72.6</w:t>
                  </w:r>
                </w:p>
              </w:tc>
              <w:tc>
                <w:tcPr>
                  <w:tcW w:w="603" w:type="dxa"/>
                  <w:shd w:val="clear" w:color="auto" w:fill="FFFFFF"/>
                  <w:noWrap w:val="0"/>
                  <w:tcMar>
                    <w:top w:w="0" w:type="dxa"/>
                    <w:left w:w="0" w:type="dxa"/>
                    <w:bottom w:w="0" w:type="dxa"/>
                    <w:right w:w="0" w:type="dxa"/>
                  </w:tcMar>
                  <w:vAlign w:val="center"/>
                </w:tcPr>
                <w:p w14:paraId="362EEB8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72.2</w:t>
                  </w:r>
                </w:p>
              </w:tc>
              <w:tc>
                <w:tcPr>
                  <w:tcW w:w="603" w:type="dxa"/>
                  <w:shd w:val="clear" w:color="auto" w:fill="FFFFFF"/>
                  <w:noWrap w:val="0"/>
                  <w:tcMar>
                    <w:top w:w="0" w:type="dxa"/>
                    <w:left w:w="0" w:type="dxa"/>
                    <w:bottom w:w="0" w:type="dxa"/>
                    <w:right w:w="0" w:type="dxa"/>
                  </w:tcMar>
                  <w:vAlign w:val="center"/>
                </w:tcPr>
                <w:p w14:paraId="22859D0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72.2</w:t>
                  </w:r>
                </w:p>
              </w:tc>
              <w:tc>
                <w:tcPr>
                  <w:tcW w:w="605" w:type="dxa"/>
                  <w:shd w:val="clear" w:color="auto" w:fill="FFFFFF"/>
                  <w:noWrap w:val="0"/>
                  <w:tcMar>
                    <w:top w:w="0" w:type="dxa"/>
                    <w:left w:w="0" w:type="dxa"/>
                    <w:bottom w:w="0" w:type="dxa"/>
                    <w:right w:w="0" w:type="dxa"/>
                  </w:tcMar>
                  <w:vAlign w:val="center"/>
                </w:tcPr>
                <w:p w14:paraId="57F549E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72.2</w:t>
                  </w:r>
                </w:p>
              </w:tc>
              <w:tc>
                <w:tcPr>
                  <w:tcW w:w="535" w:type="dxa"/>
                  <w:vMerge w:val="restart"/>
                  <w:shd w:val="clear" w:color="auto" w:fill="FFFFFF"/>
                  <w:noWrap w:val="0"/>
                  <w:tcMar>
                    <w:top w:w="0" w:type="dxa"/>
                    <w:left w:w="0" w:type="dxa"/>
                    <w:bottom w:w="0" w:type="dxa"/>
                    <w:right w:w="0" w:type="dxa"/>
                  </w:tcMar>
                  <w:vAlign w:val="center"/>
                </w:tcPr>
                <w:p w14:paraId="3F5F9EA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2000</w:t>
                  </w:r>
                  <w:r>
                    <w:rPr>
                      <w:rFonts w:hint="eastAsia" w:ascii="宋体" w:hAnsi="宋体" w:eastAsia="宋体" w:cs="宋体"/>
                      <w:sz w:val="21"/>
                      <w:szCs w:val="21"/>
                    </w:rPr>
                    <w:t>h</w:t>
                  </w:r>
                </w:p>
              </w:tc>
              <w:tc>
                <w:tcPr>
                  <w:tcW w:w="852" w:type="dxa"/>
                  <w:shd w:val="clear" w:color="auto" w:fill="FFFFFF"/>
                  <w:noWrap w:val="0"/>
                  <w:tcMar>
                    <w:top w:w="0" w:type="dxa"/>
                    <w:left w:w="0" w:type="dxa"/>
                    <w:bottom w:w="0" w:type="dxa"/>
                    <w:right w:w="0" w:type="dxa"/>
                  </w:tcMar>
                  <w:vAlign w:val="center"/>
                </w:tcPr>
                <w:p w14:paraId="13BAB09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36</w:t>
                  </w:r>
                </w:p>
              </w:tc>
              <w:tc>
                <w:tcPr>
                  <w:tcW w:w="623" w:type="dxa"/>
                  <w:shd w:val="clear" w:color="auto" w:fill="FFFFFF"/>
                  <w:noWrap w:val="0"/>
                  <w:tcMar>
                    <w:top w:w="0" w:type="dxa"/>
                    <w:left w:w="0" w:type="dxa"/>
                    <w:bottom w:w="0" w:type="dxa"/>
                    <w:right w:w="0" w:type="dxa"/>
                  </w:tcMar>
                  <w:vAlign w:val="center"/>
                </w:tcPr>
                <w:p w14:paraId="642FDDC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36.6</w:t>
                  </w:r>
                </w:p>
              </w:tc>
              <w:tc>
                <w:tcPr>
                  <w:tcW w:w="450" w:type="dxa"/>
                  <w:shd w:val="clear" w:color="auto" w:fill="FFFFFF"/>
                  <w:noWrap w:val="0"/>
                  <w:tcMar>
                    <w:top w:w="0" w:type="dxa"/>
                    <w:left w:w="0" w:type="dxa"/>
                    <w:bottom w:w="0" w:type="dxa"/>
                    <w:right w:w="0" w:type="dxa"/>
                  </w:tcMar>
                  <w:vAlign w:val="center"/>
                </w:tcPr>
                <w:p w14:paraId="07FAF82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36.2</w:t>
                  </w:r>
                </w:p>
              </w:tc>
              <w:tc>
                <w:tcPr>
                  <w:tcW w:w="499" w:type="dxa"/>
                  <w:shd w:val="clear" w:color="auto" w:fill="FFFFFF"/>
                  <w:noWrap w:val="0"/>
                  <w:tcMar>
                    <w:top w:w="0" w:type="dxa"/>
                    <w:left w:w="0" w:type="dxa"/>
                    <w:bottom w:w="0" w:type="dxa"/>
                    <w:right w:w="0" w:type="dxa"/>
                  </w:tcMar>
                  <w:vAlign w:val="center"/>
                </w:tcPr>
                <w:p w14:paraId="370B554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36.2</w:t>
                  </w:r>
                </w:p>
              </w:tc>
              <w:tc>
                <w:tcPr>
                  <w:tcW w:w="524" w:type="dxa"/>
                  <w:shd w:val="clear" w:color="auto" w:fill="FFFFFF"/>
                  <w:noWrap w:val="0"/>
                  <w:tcMar>
                    <w:top w:w="0" w:type="dxa"/>
                    <w:left w:w="0" w:type="dxa"/>
                    <w:bottom w:w="0" w:type="dxa"/>
                    <w:right w:w="0" w:type="dxa"/>
                  </w:tcMar>
                  <w:vAlign w:val="center"/>
                </w:tcPr>
                <w:p w14:paraId="5B88AD5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36.2</w:t>
                  </w:r>
                </w:p>
              </w:tc>
              <w:tc>
                <w:tcPr>
                  <w:tcW w:w="634" w:type="dxa"/>
                  <w:shd w:val="clear" w:color="auto" w:fill="FFFFFF"/>
                  <w:noWrap w:val="0"/>
                  <w:tcMar>
                    <w:top w:w="0" w:type="dxa"/>
                    <w:left w:w="0" w:type="dxa"/>
                    <w:bottom w:w="0" w:type="dxa"/>
                    <w:right w:w="0" w:type="dxa"/>
                  </w:tcMar>
                  <w:vAlign w:val="center"/>
                </w:tcPr>
                <w:p w14:paraId="2179E22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r>
            <w:tr w14:paraId="033AAD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27" w:type="dxa"/>
                  <w:shd w:val="clear" w:color="auto" w:fill="FFFFFF"/>
                  <w:noWrap w:val="0"/>
                  <w:tcMar>
                    <w:top w:w="0" w:type="dxa"/>
                    <w:left w:w="0" w:type="dxa"/>
                    <w:bottom w:w="0" w:type="dxa"/>
                    <w:right w:w="0" w:type="dxa"/>
                  </w:tcMar>
                  <w:vAlign w:val="center"/>
                </w:tcPr>
                <w:p w14:paraId="6538538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leftChars="0"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2</w:t>
                  </w:r>
                </w:p>
              </w:tc>
              <w:tc>
                <w:tcPr>
                  <w:tcW w:w="773" w:type="dxa"/>
                  <w:shd w:val="clear" w:color="auto" w:fill="FFFFFF"/>
                  <w:noWrap w:val="0"/>
                  <w:tcMar>
                    <w:top w:w="0" w:type="dxa"/>
                    <w:left w:w="0" w:type="dxa"/>
                    <w:bottom w:w="0" w:type="dxa"/>
                    <w:right w:w="0" w:type="dxa"/>
                  </w:tcMar>
                  <w:vAlign w:val="center"/>
                </w:tcPr>
                <w:p w14:paraId="30A902D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喷砂机</w:t>
                  </w:r>
                </w:p>
              </w:tc>
              <w:tc>
                <w:tcPr>
                  <w:tcW w:w="783" w:type="dxa"/>
                  <w:shd w:val="clear" w:color="auto" w:fill="FFFFFF"/>
                  <w:noWrap w:val="0"/>
                  <w:tcMar>
                    <w:top w:w="0" w:type="dxa"/>
                    <w:left w:w="0" w:type="dxa"/>
                    <w:bottom w:w="0" w:type="dxa"/>
                    <w:right w:w="0" w:type="dxa"/>
                  </w:tcMar>
                  <w:vAlign w:val="center"/>
                </w:tcPr>
                <w:p w14:paraId="72C00E3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86</w:t>
                  </w:r>
                </w:p>
              </w:tc>
              <w:tc>
                <w:tcPr>
                  <w:tcW w:w="549" w:type="dxa"/>
                  <w:vMerge w:val="continue"/>
                  <w:shd w:val="clear" w:color="auto" w:fill="FFFFFF"/>
                  <w:noWrap w:val="0"/>
                  <w:tcMar>
                    <w:top w:w="0" w:type="dxa"/>
                    <w:left w:w="0" w:type="dxa"/>
                    <w:bottom w:w="0" w:type="dxa"/>
                    <w:right w:w="0" w:type="dxa"/>
                  </w:tcMar>
                  <w:vAlign w:val="center"/>
                </w:tcPr>
                <w:p w14:paraId="00FBA91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p>
              </w:tc>
              <w:tc>
                <w:tcPr>
                  <w:tcW w:w="662" w:type="dxa"/>
                  <w:shd w:val="clear" w:color="auto" w:fill="FFFFFF"/>
                  <w:noWrap w:val="0"/>
                  <w:tcMar>
                    <w:top w:w="0" w:type="dxa"/>
                    <w:left w:w="0" w:type="dxa"/>
                    <w:bottom w:w="0" w:type="dxa"/>
                    <w:right w:w="0" w:type="dxa"/>
                  </w:tcMar>
                  <w:vAlign w:val="center"/>
                </w:tcPr>
                <w:p w14:paraId="4757E65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28.6</w:t>
                  </w:r>
                </w:p>
              </w:tc>
              <w:tc>
                <w:tcPr>
                  <w:tcW w:w="698" w:type="dxa"/>
                  <w:shd w:val="clear" w:color="auto" w:fill="FFFFFF"/>
                  <w:noWrap w:val="0"/>
                  <w:tcMar>
                    <w:top w:w="0" w:type="dxa"/>
                    <w:left w:w="0" w:type="dxa"/>
                    <w:bottom w:w="0" w:type="dxa"/>
                    <w:right w:w="0" w:type="dxa"/>
                  </w:tcMar>
                  <w:vAlign w:val="center"/>
                </w:tcPr>
                <w:p w14:paraId="63E44A1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-8.4</w:t>
                  </w:r>
                </w:p>
              </w:tc>
              <w:tc>
                <w:tcPr>
                  <w:tcW w:w="568" w:type="dxa"/>
                  <w:shd w:val="clear" w:color="auto" w:fill="FFFFFF"/>
                  <w:noWrap w:val="0"/>
                  <w:tcMar>
                    <w:top w:w="0" w:type="dxa"/>
                    <w:left w:w="0" w:type="dxa"/>
                    <w:bottom w:w="0" w:type="dxa"/>
                    <w:right w:w="0" w:type="dxa"/>
                  </w:tcMar>
                  <w:vAlign w:val="center"/>
                </w:tcPr>
                <w:p w14:paraId="2060696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1.2</w:t>
                  </w:r>
                </w:p>
              </w:tc>
              <w:tc>
                <w:tcPr>
                  <w:tcW w:w="611" w:type="dxa"/>
                  <w:shd w:val="clear" w:color="auto" w:fill="FFFFFF"/>
                  <w:noWrap w:val="0"/>
                  <w:tcMar>
                    <w:top w:w="0" w:type="dxa"/>
                    <w:left w:w="0" w:type="dxa"/>
                    <w:bottom w:w="0" w:type="dxa"/>
                    <w:right w:w="0" w:type="dxa"/>
                  </w:tcMar>
                  <w:vAlign w:val="center"/>
                </w:tcPr>
                <w:p w14:paraId="1690306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3.7</w:t>
                  </w:r>
                </w:p>
              </w:tc>
              <w:tc>
                <w:tcPr>
                  <w:tcW w:w="611" w:type="dxa"/>
                  <w:shd w:val="clear" w:color="auto" w:fill="FFFFFF"/>
                  <w:noWrap w:val="0"/>
                  <w:tcMar>
                    <w:top w:w="0" w:type="dxa"/>
                    <w:left w:w="0" w:type="dxa"/>
                    <w:bottom w:w="0" w:type="dxa"/>
                    <w:right w:w="0" w:type="dxa"/>
                  </w:tcMar>
                  <w:vAlign w:val="center"/>
                </w:tcPr>
                <w:p w14:paraId="2ACB38E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36.0</w:t>
                  </w:r>
                </w:p>
              </w:tc>
              <w:tc>
                <w:tcPr>
                  <w:tcW w:w="704" w:type="dxa"/>
                  <w:shd w:val="clear" w:color="auto" w:fill="FFFFFF"/>
                  <w:noWrap w:val="0"/>
                  <w:tcMar>
                    <w:top w:w="0" w:type="dxa"/>
                    <w:left w:w="0" w:type="dxa"/>
                    <w:bottom w:w="0" w:type="dxa"/>
                    <w:right w:w="0" w:type="dxa"/>
                  </w:tcMar>
                  <w:vAlign w:val="center"/>
                </w:tcPr>
                <w:p w14:paraId="683EE03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52.4</w:t>
                  </w:r>
                </w:p>
              </w:tc>
              <w:tc>
                <w:tcPr>
                  <w:tcW w:w="519" w:type="dxa"/>
                  <w:shd w:val="clear" w:color="auto" w:fill="FFFFFF"/>
                  <w:noWrap w:val="0"/>
                  <w:tcMar>
                    <w:top w:w="0" w:type="dxa"/>
                    <w:left w:w="0" w:type="dxa"/>
                    <w:bottom w:w="0" w:type="dxa"/>
                    <w:right w:w="0" w:type="dxa"/>
                  </w:tcMar>
                  <w:vAlign w:val="center"/>
                </w:tcPr>
                <w:p w14:paraId="21B9AF6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6.4</w:t>
                  </w:r>
                </w:p>
              </w:tc>
              <w:tc>
                <w:tcPr>
                  <w:tcW w:w="603" w:type="dxa"/>
                  <w:shd w:val="clear" w:color="auto" w:fill="FFFFFF"/>
                  <w:noWrap w:val="0"/>
                  <w:tcMar>
                    <w:top w:w="0" w:type="dxa"/>
                    <w:left w:w="0" w:type="dxa"/>
                    <w:bottom w:w="0" w:type="dxa"/>
                    <w:right w:w="0" w:type="dxa"/>
                  </w:tcMar>
                  <w:vAlign w:val="center"/>
                </w:tcPr>
                <w:p w14:paraId="187D6F7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73.7</w:t>
                  </w:r>
                </w:p>
              </w:tc>
              <w:tc>
                <w:tcPr>
                  <w:tcW w:w="603" w:type="dxa"/>
                  <w:shd w:val="clear" w:color="auto" w:fill="FFFFFF"/>
                  <w:noWrap w:val="0"/>
                  <w:tcMar>
                    <w:top w:w="0" w:type="dxa"/>
                    <w:left w:w="0" w:type="dxa"/>
                    <w:bottom w:w="0" w:type="dxa"/>
                    <w:right w:w="0" w:type="dxa"/>
                  </w:tcMar>
                  <w:vAlign w:val="center"/>
                </w:tcPr>
                <w:p w14:paraId="3FA4B6E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73.2</w:t>
                  </w:r>
                </w:p>
              </w:tc>
              <w:tc>
                <w:tcPr>
                  <w:tcW w:w="603" w:type="dxa"/>
                  <w:shd w:val="clear" w:color="auto" w:fill="FFFFFF"/>
                  <w:noWrap w:val="0"/>
                  <w:tcMar>
                    <w:top w:w="0" w:type="dxa"/>
                    <w:left w:w="0" w:type="dxa"/>
                    <w:bottom w:w="0" w:type="dxa"/>
                    <w:right w:w="0" w:type="dxa"/>
                  </w:tcMar>
                  <w:vAlign w:val="center"/>
                </w:tcPr>
                <w:p w14:paraId="4D4EAF2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73.2</w:t>
                  </w:r>
                </w:p>
              </w:tc>
              <w:tc>
                <w:tcPr>
                  <w:tcW w:w="605" w:type="dxa"/>
                  <w:shd w:val="clear" w:color="auto" w:fill="FFFFFF"/>
                  <w:noWrap w:val="0"/>
                  <w:tcMar>
                    <w:top w:w="0" w:type="dxa"/>
                    <w:left w:w="0" w:type="dxa"/>
                    <w:bottom w:w="0" w:type="dxa"/>
                    <w:right w:w="0" w:type="dxa"/>
                  </w:tcMar>
                  <w:vAlign w:val="center"/>
                </w:tcPr>
                <w:p w14:paraId="323DC11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73.4</w:t>
                  </w:r>
                </w:p>
              </w:tc>
              <w:tc>
                <w:tcPr>
                  <w:tcW w:w="535" w:type="dxa"/>
                  <w:vMerge w:val="continue"/>
                  <w:shd w:val="clear" w:color="auto" w:fill="FFFFFF"/>
                  <w:noWrap w:val="0"/>
                  <w:tcMar>
                    <w:top w:w="0" w:type="dxa"/>
                    <w:left w:w="0" w:type="dxa"/>
                    <w:bottom w:w="0" w:type="dxa"/>
                    <w:right w:w="0" w:type="dxa"/>
                  </w:tcMar>
                  <w:vAlign w:val="center"/>
                </w:tcPr>
                <w:p w14:paraId="2BEC7B6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lang w:eastAsia="zh-CN"/>
                    </w:rPr>
                  </w:pPr>
                </w:p>
              </w:tc>
              <w:tc>
                <w:tcPr>
                  <w:tcW w:w="852" w:type="dxa"/>
                  <w:shd w:val="clear" w:color="auto" w:fill="FFFFFF"/>
                  <w:noWrap w:val="0"/>
                  <w:tcMar>
                    <w:top w:w="0" w:type="dxa"/>
                    <w:left w:w="0" w:type="dxa"/>
                    <w:bottom w:w="0" w:type="dxa"/>
                    <w:right w:w="0" w:type="dxa"/>
                  </w:tcMar>
                  <w:vAlign w:val="center"/>
                </w:tcPr>
                <w:p w14:paraId="7A3DBD7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36</w:t>
                  </w:r>
                </w:p>
              </w:tc>
              <w:tc>
                <w:tcPr>
                  <w:tcW w:w="623" w:type="dxa"/>
                  <w:shd w:val="clear" w:color="auto" w:fill="FFFFFF"/>
                  <w:noWrap w:val="0"/>
                  <w:tcMar>
                    <w:top w:w="0" w:type="dxa"/>
                    <w:left w:w="0" w:type="dxa"/>
                    <w:bottom w:w="0" w:type="dxa"/>
                    <w:right w:w="0" w:type="dxa"/>
                  </w:tcMar>
                  <w:vAlign w:val="center"/>
                </w:tcPr>
                <w:p w14:paraId="2133CE3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37.7</w:t>
                  </w:r>
                </w:p>
              </w:tc>
              <w:tc>
                <w:tcPr>
                  <w:tcW w:w="450" w:type="dxa"/>
                  <w:shd w:val="clear" w:color="auto" w:fill="FFFFFF"/>
                  <w:noWrap w:val="0"/>
                  <w:tcMar>
                    <w:top w:w="0" w:type="dxa"/>
                    <w:left w:w="0" w:type="dxa"/>
                    <w:bottom w:w="0" w:type="dxa"/>
                    <w:right w:w="0" w:type="dxa"/>
                  </w:tcMar>
                  <w:vAlign w:val="center"/>
                </w:tcPr>
                <w:p w14:paraId="6F42B89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37.2</w:t>
                  </w:r>
                </w:p>
              </w:tc>
              <w:tc>
                <w:tcPr>
                  <w:tcW w:w="499" w:type="dxa"/>
                  <w:shd w:val="clear" w:color="auto" w:fill="FFFFFF"/>
                  <w:noWrap w:val="0"/>
                  <w:tcMar>
                    <w:top w:w="0" w:type="dxa"/>
                    <w:left w:w="0" w:type="dxa"/>
                    <w:bottom w:w="0" w:type="dxa"/>
                    <w:right w:w="0" w:type="dxa"/>
                  </w:tcMar>
                  <w:vAlign w:val="center"/>
                </w:tcPr>
                <w:p w14:paraId="5DFDE25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37.2</w:t>
                  </w:r>
                </w:p>
              </w:tc>
              <w:tc>
                <w:tcPr>
                  <w:tcW w:w="524" w:type="dxa"/>
                  <w:shd w:val="clear" w:color="auto" w:fill="FFFFFF"/>
                  <w:noWrap w:val="0"/>
                  <w:tcMar>
                    <w:top w:w="0" w:type="dxa"/>
                    <w:left w:w="0" w:type="dxa"/>
                    <w:bottom w:w="0" w:type="dxa"/>
                    <w:right w:w="0" w:type="dxa"/>
                  </w:tcMar>
                  <w:vAlign w:val="center"/>
                </w:tcPr>
                <w:p w14:paraId="09401E2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37.4</w:t>
                  </w:r>
                </w:p>
              </w:tc>
              <w:tc>
                <w:tcPr>
                  <w:tcW w:w="634" w:type="dxa"/>
                  <w:shd w:val="clear" w:color="auto" w:fill="FFFFFF"/>
                  <w:noWrap w:val="0"/>
                  <w:tcMar>
                    <w:top w:w="0" w:type="dxa"/>
                    <w:left w:w="0" w:type="dxa"/>
                    <w:bottom w:w="0" w:type="dxa"/>
                    <w:right w:w="0" w:type="dxa"/>
                  </w:tcMar>
                  <w:vAlign w:val="center"/>
                </w:tcPr>
                <w:p w14:paraId="62D7A1B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p>
              </w:tc>
            </w:tr>
            <w:tr w14:paraId="35EAFC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27" w:type="dxa"/>
                  <w:shd w:val="clear" w:color="auto" w:fill="FFFFFF"/>
                  <w:noWrap w:val="0"/>
                  <w:tcMar>
                    <w:top w:w="0" w:type="dxa"/>
                    <w:left w:w="0" w:type="dxa"/>
                    <w:bottom w:w="0" w:type="dxa"/>
                    <w:right w:w="0" w:type="dxa"/>
                  </w:tcMar>
                  <w:vAlign w:val="center"/>
                </w:tcPr>
                <w:p w14:paraId="389EB44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leftChars="0"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3</w:t>
                  </w:r>
                </w:p>
              </w:tc>
              <w:tc>
                <w:tcPr>
                  <w:tcW w:w="773" w:type="dxa"/>
                  <w:shd w:val="clear" w:color="auto" w:fill="FFFFFF"/>
                  <w:noWrap w:val="0"/>
                  <w:tcMar>
                    <w:top w:w="0" w:type="dxa"/>
                    <w:left w:w="0" w:type="dxa"/>
                    <w:bottom w:w="0" w:type="dxa"/>
                    <w:right w:w="0" w:type="dxa"/>
                  </w:tcMar>
                  <w:vAlign w:val="center"/>
                </w:tcPr>
                <w:p w14:paraId="4AC18FC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喷塑房1</w:t>
                  </w:r>
                </w:p>
              </w:tc>
              <w:tc>
                <w:tcPr>
                  <w:tcW w:w="783" w:type="dxa"/>
                  <w:shd w:val="clear" w:color="auto" w:fill="FFFFFF"/>
                  <w:noWrap w:val="0"/>
                  <w:tcMar>
                    <w:top w:w="0" w:type="dxa"/>
                    <w:left w:w="0" w:type="dxa"/>
                    <w:bottom w:w="0" w:type="dxa"/>
                    <w:right w:w="0" w:type="dxa"/>
                  </w:tcMar>
                  <w:vAlign w:val="center"/>
                </w:tcPr>
                <w:p w14:paraId="7DB5982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80</w:t>
                  </w:r>
                </w:p>
              </w:tc>
              <w:tc>
                <w:tcPr>
                  <w:tcW w:w="549" w:type="dxa"/>
                  <w:vMerge w:val="continue"/>
                  <w:shd w:val="clear" w:color="auto" w:fill="FFFFFF"/>
                  <w:noWrap w:val="0"/>
                  <w:tcMar>
                    <w:top w:w="0" w:type="dxa"/>
                    <w:left w:w="0" w:type="dxa"/>
                    <w:bottom w:w="0" w:type="dxa"/>
                    <w:right w:w="0" w:type="dxa"/>
                  </w:tcMar>
                  <w:vAlign w:val="center"/>
                </w:tcPr>
                <w:p w14:paraId="5919C4A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p>
              </w:tc>
              <w:tc>
                <w:tcPr>
                  <w:tcW w:w="662" w:type="dxa"/>
                  <w:shd w:val="clear" w:color="auto" w:fill="FFFFFF"/>
                  <w:noWrap w:val="0"/>
                  <w:tcMar>
                    <w:top w:w="0" w:type="dxa"/>
                    <w:left w:w="0" w:type="dxa"/>
                    <w:bottom w:w="0" w:type="dxa"/>
                    <w:right w:w="0" w:type="dxa"/>
                  </w:tcMar>
                  <w:vAlign w:val="center"/>
                </w:tcPr>
                <w:p w14:paraId="7CD1F8D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-7.5</w:t>
                  </w:r>
                </w:p>
              </w:tc>
              <w:tc>
                <w:tcPr>
                  <w:tcW w:w="698" w:type="dxa"/>
                  <w:shd w:val="clear" w:color="auto" w:fill="FFFFFF"/>
                  <w:noWrap w:val="0"/>
                  <w:tcMar>
                    <w:top w:w="0" w:type="dxa"/>
                    <w:left w:w="0" w:type="dxa"/>
                    <w:bottom w:w="0" w:type="dxa"/>
                    <w:right w:w="0" w:type="dxa"/>
                  </w:tcMar>
                  <w:vAlign w:val="center"/>
                </w:tcPr>
                <w:p w14:paraId="61321B7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8</w:t>
                  </w:r>
                </w:p>
              </w:tc>
              <w:tc>
                <w:tcPr>
                  <w:tcW w:w="568" w:type="dxa"/>
                  <w:shd w:val="clear" w:color="auto" w:fill="FFFFFF"/>
                  <w:noWrap w:val="0"/>
                  <w:tcMar>
                    <w:top w:w="0" w:type="dxa"/>
                    <w:left w:w="0" w:type="dxa"/>
                    <w:bottom w:w="0" w:type="dxa"/>
                    <w:right w:w="0" w:type="dxa"/>
                  </w:tcMar>
                  <w:vAlign w:val="center"/>
                </w:tcPr>
                <w:p w14:paraId="6ADC6CA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1.2</w:t>
                  </w:r>
                </w:p>
              </w:tc>
              <w:tc>
                <w:tcPr>
                  <w:tcW w:w="611" w:type="dxa"/>
                  <w:shd w:val="clear" w:color="auto" w:fill="FFFFFF"/>
                  <w:noWrap w:val="0"/>
                  <w:tcMar>
                    <w:top w:w="0" w:type="dxa"/>
                    <w:left w:w="0" w:type="dxa"/>
                    <w:bottom w:w="0" w:type="dxa"/>
                    <w:right w:w="0" w:type="dxa"/>
                  </w:tcMar>
                  <w:vAlign w:val="center"/>
                </w:tcPr>
                <w:p w14:paraId="47977C9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41.5</w:t>
                  </w:r>
                </w:p>
              </w:tc>
              <w:tc>
                <w:tcPr>
                  <w:tcW w:w="611" w:type="dxa"/>
                  <w:shd w:val="clear" w:color="auto" w:fill="FFFFFF"/>
                  <w:noWrap w:val="0"/>
                  <w:tcMar>
                    <w:top w:w="0" w:type="dxa"/>
                    <w:left w:w="0" w:type="dxa"/>
                    <w:bottom w:w="0" w:type="dxa"/>
                    <w:right w:w="0" w:type="dxa"/>
                  </w:tcMar>
                  <w:vAlign w:val="center"/>
                </w:tcPr>
                <w:p w14:paraId="2691CA7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21.2</w:t>
                  </w:r>
                </w:p>
              </w:tc>
              <w:tc>
                <w:tcPr>
                  <w:tcW w:w="704" w:type="dxa"/>
                  <w:shd w:val="clear" w:color="auto" w:fill="FFFFFF"/>
                  <w:noWrap w:val="0"/>
                  <w:tcMar>
                    <w:top w:w="0" w:type="dxa"/>
                    <w:left w:w="0" w:type="dxa"/>
                    <w:bottom w:w="0" w:type="dxa"/>
                    <w:right w:w="0" w:type="dxa"/>
                  </w:tcMar>
                  <w:vAlign w:val="center"/>
                </w:tcPr>
                <w:p w14:paraId="4930094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14.6</w:t>
                  </w:r>
                </w:p>
              </w:tc>
              <w:tc>
                <w:tcPr>
                  <w:tcW w:w="519" w:type="dxa"/>
                  <w:shd w:val="clear" w:color="auto" w:fill="FFFFFF"/>
                  <w:noWrap w:val="0"/>
                  <w:tcMar>
                    <w:top w:w="0" w:type="dxa"/>
                    <w:left w:w="0" w:type="dxa"/>
                    <w:bottom w:w="0" w:type="dxa"/>
                    <w:right w:w="0" w:type="dxa"/>
                  </w:tcMar>
                  <w:vAlign w:val="center"/>
                </w:tcPr>
                <w:p w14:paraId="5A6880C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21.7</w:t>
                  </w:r>
                </w:p>
              </w:tc>
              <w:tc>
                <w:tcPr>
                  <w:tcW w:w="603" w:type="dxa"/>
                  <w:shd w:val="clear" w:color="auto" w:fill="FFFFFF"/>
                  <w:noWrap w:val="0"/>
                  <w:tcMar>
                    <w:top w:w="0" w:type="dxa"/>
                    <w:left w:w="0" w:type="dxa"/>
                    <w:bottom w:w="0" w:type="dxa"/>
                    <w:right w:w="0" w:type="dxa"/>
                  </w:tcMar>
                  <w:vAlign w:val="center"/>
                </w:tcPr>
                <w:p w14:paraId="321340C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67.2</w:t>
                  </w:r>
                </w:p>
              </w:tc>
              <w:tc>
                <w:tcPr>
                  <w:tcW w:w="603" w:type="dxa"/>
                  <w:shd w:val="clear" w:color="auto" w:fill="FFFFFF"/>
                  <w:noWrap w:val="0"/>
                  <w:tcMar>
                    <w:top w:w="0" w:type="dxa"/>
                    <w:left w:w="0" w:type="dxa"/>
                    <w:bottom w:w="0" w:type="dxa"/>
                    <w:right w:w="0" w:type="dxa"/>
                  </w:tcMar>
                  <w:vAlign w:val="center"/>
                </w:tcPr>
                <w:p w14:paraId="2FAD249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67.2</w:t>
                  </w:r>
                </w:p>
              </w:tc>
              <w:tc>
                <w:tcPr>
                  <w:tcW w:w="603" w:type="dxa"/>
                  <w:shd w:val="clear" w:color="auto" w:fill="FFFFFF"/>
                  <w:noWrap w:val="0"/>
                  <w:tcMar>
                    <w:top w:w="0" w:type="dxa"/>
                    <w:left w:w="0" w:type="dxa"/>
                    <w:bottom w:w="0" w:type="dxa"/>
                    <w:right w:w="0" w:type="dxa"/>
                  </w:tcMar>
                  <w:vAlign w:val="center"/>
                </w:tcPr>
                <w:p w14:paraId="339E863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67.2</w:t>
                  </w:r>
                </w:p>
              </w:tc>
              <w:tc>
                <w:tcPr>
                  <w:tcW w:w="605" w:type="dxa"/>
                  <w:shd w:val="clear" w:color="auto" w:fill="FFFFFF"/>
                  <w:noWrap w:val="0"/>
                  <w:tcMar>
                    <w:top w:w="0" w:type="dxa"/>
                    <w:left w:w="0" w:type="dxa"/>
                    <w:bottom w:w="0" w:type="dxa"/>
                    <w:right w:w="0" w:type="dxa"/>
                  </w:tcMar>
                  <w:vAlign w:val="center"/>
                </w:tcPr>
                <w:p w14:paraId="5B7EB01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67.2</w:t>
                  </w:r>
                </w:p>
              </w:tc>
              <w:tc>
                <w:tcPr>
                  <w:tcW w:w="535" w:type="dxa"/>
                  <w:vMerge w:val="continue"/>
                  <w:shd w:val="clear" w:color="auto" w:fill="FFFFFF"/>
                  <w:noWrap w:val="0"/>
                  <w:tcMar>
                    <w:top w:w="0" w:type="dxa"/>
                    <w:left w:w="0" w:type="dxa"/>
                    <w:bottom w:w="0" w:type="dxa"/>
                    <w:right w:w="0" w:type="dxa"/>
                  </w:tcMar>
                  <w:vAlign w:val="center"/>
                </w:tcPr>
                <w:p w14:paraId="3B8F0DF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p>
              </w:tc>
              <w:tc>
                <w:tcPr>
                  <w:tcW w:w="852" w:type="dxa"/>
                  <w:shd w:val="clear" w:color="auto" w:fill="FFFFFF"/>
                  <w:noWrap w:val="0"/>
                  <w:tcMar>
                    <w:top w:w="0" w:type="dxa"/>
                    <w:left w:w="0" w:type="dxa"/>
                    <w:bottom w:w="0" w:type="dxa"/>
                    <w:right w:w="0" w:type="dxa"/>
                  </w:tcMar>
                  <w:vAlign w:val="center"/>
                </w:tcPr>
                <w:p w14:paraId="2B70620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36</w:t>
                  </w:r>
                </w:p>
              </w:tc>
              <w:tc>
                <w:tcPr>
                  <w:tcW w:w="623" w:type="dxa"/>
                  <w:shd w:val="clear" w:color="auto" w:fill="FFFFFF"/>
                  <w:noWrap w:val="0"/>
                  <w:tcMar>
                    <w:top w:w="0" w:type="dxa"/>
                    <w:left w:w="0" w:type="dxa"/>
                    <w:bottom w:w="0" w:type="dxa"/>
                    <w:right w:w="0" w:type="dxa"/>
                  </w:tcMar>
                  <w:vAlign w:val="center"/>
                </w:tcPr>
                <w:p w14:paraId="00D52B1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31.2</w:t>
                  </w:r>
                </w:p>
              </w:tc>
              <w:tc>
                <w:tcPr>
                  <w:tcW w:w="450" w:type="dxa"/>
                  <w:shd w:val="clear" w:color="auto" w:fill="FFFFFF"/>
                  <w:noWrap w:val="0"/>
                  <w:tcMar>
                    <w:top w:w="0" w:type="dxa"/>
                    <w:left w:w="0" w:type="dxa"/>
                    <w:bottom w:w="0" w:type="dxa"/>
                    <w:right w:w="0" w:type="dxa"/>
                  </w:tcMar>
                  <w:vAlign w:val="center"/>
                </w:tcPr>
                <w:p w14:paraId="2CA0374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31.2</w:t>
                  </w:r>
                </w:p>
              </w:tc>
              <w:tc>
                <w:tcPr>
                  <w:tcW w:w="499" w:type="dxa"/>
                  <w:shd w:val="clear" w:color="auto" w:fill="FFFFFF"/>
                  <w:noWrap w:val="0"/>
                  <w:tcMar>
                    <w:top w:w="0" w:type="dxa"/>
                    <w:left w:w="0" w:type="dxa"/>
                    <w:bottom w:w="0" w:type="dxa"/>
                    <w:right w:w="0" w:type="dxa"/>
                  </w:tcMar>
                  <w:vAlign w:val="center"/>
                </w:tcPr>
                <w:p w14:paraId="6FD9687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31.2</w:t>
                  </w:r>
                </w:p>
              </w:tc>
              <w:tc>
                <w:tcPr>
                  <w:tcW w:w="524" w:type="dxa"/>
                  <w:shd w:val="clear" w:color="auto" w:fill="FFFFFF"/>
                  <w:noWrap w:val="0"/>
                  <w:tcMar>
                    <w:top w:w="0" w:type="dxa"/>
                    <w:left w:w="0" w:type="dxa"/>
                    <w:bottom w:w="0" w:type="dxa"/>
                    <w:right w:w="0" w:type="dxa"/>
                  </w:tcMar>
                  <w:vAlign w:val="center"/>
                </w:tcPr>
                <w:p w14:paraId="721A7BC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31.2</w:t>
                  </w:r>
                </w:p>
              </w:tc>
              <w:tc>
                <w:tcPr>
                  <w:tcW w:w="634" w:type="dxa"/>
                  <w:shd w:val="clear" w:color="auto" w:fill="FFFFFF"/>
                  <w:noWrap w:val="0"/>
                  <w:tcMar>
                    <w:top w:w="0" w:type="dxa"/>
                    <w:left w:w="0" w:type="dxa"/>
                    <w:bottom w:w="0" w:type="dxa"/>
                    <w:right w:w="0" w:type="dxa"/>
                  </w:tcMar>
                  <w:vAlign w:val="center"/>
                </w:tcPr>
                <w:p w14:paraId="1FF821B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r>
            <w:tr w14:paraId="11BBFB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27" w:type="dxa"/>
                  <w:shd w:val="clear" w:color="auto" w:fill="FFFFFF"/>
                  <w:noWrap w:val="0"/>
                  <w:tcMar>
                    <w:top w:w="0" w:type="dxa"/>
                    <w:left w:w="0" w:type="dxa"/>
                    <w:bottom w:w="0" w:type="dxa"/>
                    <w:right w:w="0" w:type="dxa"/>
                  </w:tcMar>
                  <w:vAlign w:val="center"/>
                </w:tcPr>
                <w:p w14:paraId="4F951CD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leftChars="0"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4</w:t>
                  </w:r>
                </w:p>
              </w:tc>
              <w:tc>
                <w:tcPr>
                  <w:tcW w:w="773" w:type="dxa"/>
                  <w:shd w:val="clear" w:color="auto" w:fill="FFFFFF"/>
                  <w:noWrap w:val="0"/>
                  <w:tcMar>
                    <w:top w:w="0" w:type="dxa"/>
                    <w:left w:w="0" w:type="dxa"/>
                    <w:bottom w:w="0" w:type="dxa"/>
                    <w:right w:w="0" w:type="dxa"/>
                  </w:tcMar>
                  <w:vAlign w:val="center"/>
                </w:tcPr>
                <w:p w14:paraId="062737C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喷塑房2</w:t>
                  </w:r>
                </w:p>
              </w:tc>
              <w:tc>
                <w:tcPr>
                  <w:tcW w:w="783" w:type="dxa"/>
                  <w:shd w:val="clear" w:color="auto" w:fill="FFFFFF"/>
                  <w:noWrap w:val="0"/>
                  <w:tcMar>
                    <w:top w:w="0" w:type="dxa"/>
                    <w:left w:w="0" w:type="dxa"/>
                    <w:bottom w:w="0" w:type="dxa"/>
                    <w:right w:w="0" w:type="dxa"/>
                  </w:tcMar>
                  <w:vAlign w:val="center"/>
                </w:tcPr>
                <w:p w14:paraId="628399A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80</w:t>
                  </w:r>
                </w:p>
              </w:tc>
              <w:tc>
                <w:tcPr>
                  <w:tcW w:w="549" w:type="dxa"/>
                  <w:vMerge w:val="continue"/>
                  <w:shd w:val="clear" w:color="auto" w:fill="FFFFFF"/>
                  <w:noWrap w:val="0"/>
                  <w:tcMar>
                    <w:top w:w="0" w:type="dxa"/>
                    <w:left w:w="0" w:type="dxa"/>
                    <w:bottom w:w="0" w:type="dxa"/>
                    <w:right w:w="0" w:type="dxa"/>
                  </w:tcMar>
                  <w:vAlign w:val="center"/>
                </w:tcPr>
                <w:p w14:paraId="3E48B64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p>
              </w:tc>
              <w:tc>
                <w:tcPr>
                  <w:tcW w:w="662" w:type="dxa"/>
                  <w:shd w:val="clear" w:color="auto" w:fill="FFFFFF"/>
                  <w:noWrap w:val="0"/>
                  <w:tcMar>
                    <w:top w:w="0" w:type="dxa"/>
                    <w:left w:w="0" w:type="dxa"/>
                    <w:bottom w:w="0" w:type="dxa"/>
                    <w:right w:w="0" w:type="dxa"/>
                  </w:tcMar>
                  <w:vAlign w:val="center"/>
                </w:tcPr>
                <w:p w14:paraId="7FFD26A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-13.9</w:t>
                  </w:r>
                </w:p>
              </w:tc>
              <w:tc>
                <w:tcPr>
                  <w:tcW w:w="698" w:type="dxa"/>
                  <w:shd w:val="clear" w:color="auto" w:fill="FFFFFF"/>
                  <w:noWrap w:val="0"/>
                  <w:tcMar>
                    <w:top w:w="0" w:type="dxa"/>
                    <w:left w:w="0" w:type="dxa"/>
                    <w:bottom w:w="0" w:type="dxa"/>
                    <w:right w:w="0" w:type="dxa"/>
                  </w:tcMar>
                  <w:vAlign w:val="center"/>
                </w:tcPr>
                <w:p w14:paraId="4CCDC05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13.3</w:t>
                  </w:r>
                </w:p>
              </w:tc>
              <w:tc>
                <w:tcPr>
                  <w:tcW w:w="568" w:type="dxa"/>
                  <w:shd w:val="clear" w:color="auto" w:fill="FFFFFF"/>
                  <w:noWrap w:val="0"/>
                  <w:tcMar>
                    <w:top w:w="0" w:type="dxa"/>
                    <w:left w:w="0" w:type="dxa"/>
                    <w:bottom w:w="0" w:type="dxa"/>
                    <w:right w:w="0" w:type="dxa"/>
                  </w:tcMar>
                  <w:vAlign w:val="center"/>
                </w:tcPr>
                <w:p w14:paraId="037765E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1.2</w:t>
                  </w:r>
                </w:p>
              </w:tc>
              <w:tc>
                <w:tcPr>
                  <w:tcW w:w="611" w:type="dxa"/>
                  <w:shd w:val="clear" w:color="auto" w:fill="FFFFFF"/>
                  <w:noWrap w:val="0"/>
                  <w:tcMar>
                    <w:top w:w="0" w:type="dxa"/>
                    <w:left w:w="0" w:type="dxa"/>
                    <w:bottom w:w="0" w:type="dxa"/>
                    <w:right w:w="0" w:type="dxa"/>
                  </w:tcMar>
                  <w:vAlign w:val="center"/>
                </w:tcPr>
                <w:p w14:paraId="1F1527E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49.8</w:t>
                  </w:r>
                </w:p>
              </w:tc>
              <w:tc>
                <w:tcPr>
                  <w:tcW w:w="611" w:type="dxa"/>
                  <w:shd w:val="clear" w:color="auto" w:fill="FFFFFF"/>
                  <w:noWrap w:val="0"/>
                  <w:tcMar>
                    <w:top w:w="0" w:type="dxa"/>
                    <w:left w:w="0" w:type="dxa"/>
                    <w:bottom w:w="0" w:type="dxa"/>
                    <w:right w:w="0" w:type="dxa"/>
                  </w:tcMar>
                  <w:vAlign w:val="center"/>
                </w:tcPr>
                <w:p w14:paraId="22CDA86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20.3</w:t>
                  </w:r>
                </w:p>
              </w:tc>
              <w:tc>
                <w:tcPr>
                  <w:tcW w:w="704" w:type="dxa"/>
                  <w:shd w:val="clear" w:color="auto" w:fill="FFFFFF"/>
                  <w:noWrap w:val="0"/>
                  <w:tcMar>
                    <w:top w:w="0" w:type="dxa"/>
                    <w:left w:w="0" w:type="dxa"/>
                    <w:bottom w:w="0" w:type="dxa"/>
                    <w:right w:w="0" w:type="dxa"/>
                  </w:tcMar>
                  <w:vAlign w:val="center"/>
                </w:tcPr>
                <w:p w14:paraId="3DF27A0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6.3</w:t>
                  </w:r>
                </w:p>
              </w:tc>
              <w:tc>
                <w:tcPr>
                  <w:tcW w:w="519" w:type="dxa"/>
                  <w:shd w:val="clear" w:color="auto" w:fill="FFFFFF"/>
                  <w:noWrap w:val="0"/>
                  <w:tcMar>
                    <w:top w:w="0" w:type="dxa"/>
                    <w:left w:w="0" w:type="dxa"/>
                    <w:bottom w:w="0" w:type="dxa"/>
                    <w:right w:w="0" w:type="dxa"/>
                  </w:tcMar>
                  <w:vAlign w:val="center"/>
                </w:tcPr>
                <w:p w14:paraId="14152FE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22.8</w:t>
                  </w:r>
                </w:p>
              </w:tc>
              <w:tc>
                <w:tcPr>
                  <w:tcW w:w="603" w:type="dxa"/>
                  <w:shd w:val="clear" w:color="auto" w:fill="FFFFFF"/>
                  <w:noWrap w:val="0"/>
                  <w:tcMar>
                    <w:top w:w="0" w:type="dxa"/>
                    <w:left w:w="0" w:type="dxa"/>
                    <w:bottom w:w="0" w:type="dxa"/>
                    <w:right w:w="0" w:type="dxa"/>
                  </w:tcMar>
                  <w:vAlign w:val="center"/>
                </w:tcPr>
                <w:p w14:paraId="713C5A0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67.2</w:t>
                  </w:r>
                </w:p>
              </w:tc>
              <w:tc>
                <w:tcPr>
                  <w:tcW w:w="603" w:type="dxa"/>
                  <w:shd w:val="clear" w:color="auto" w:fill="FFFFFF"/>
                  <w:noWrap w:val="0"/>
                  <w:tcMar>
                    <w:top w:w="0" w:type="dxa"/>
                    <w:left w:w="0" w:type="dxa"/>
                    <w:bottom w:w="0" w:type="dxa"/>
                    <w:right w:w="0" w:type="dxa"/>
                  </w:tcMar>
                  <w:vAlign w:val="center"/>
                </w:tcPr>
                <w:p w14:paraId="262B780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67.2</w:t>
                  </w:r>
                </w:p>
              </w:tc>
              <w:tc>
                <w:tcPr>
                  <w:tcW w:w="603" w:type="dxa"/>
                  <w:shd w:val="clear" w:color="auto" w:fill="FFFFFF"/>
                  <w:noWrap w:val="0"/>
                  <w:tcMar>
                    <w:top w:w="0" w:type="dxa"/>
                    <w:left w:w="0" w:type="dxa"/>
                    <w:bottom w:w="0" w:type="dxa"/>
                    <w:right w:w="0" w:type="dxa"/>
                  </w:tcMar>
                  <w:vAlign w:val="center"/>
                </w:tcPr>
                <w:p w14:paraId="251C2C7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67.4</w:t>
                  </w:r>
                </w:p>
              </w:tc>
              <w:tc>
                <w:tcPr>
                  <w:tcW w:w="605" w:type="dxa"/>
                  <w:shd w:val="clear" w:color="auto" w:fill="FFFFFF"/>
                  <w:noWrap w:val="0"/>
                  <w:tcMar>
                    <w:top w:w="0" w:type="dxa"/>
                    <w:left w:w="0" w:type="dxa"/>
                    <w:bottom w:w="0" w:type="dxa"/>
                    <w:right w:w="0" w:type="dxa"/>
                  </w:tcMar>
                  <w:vAlign w:val="center"/>
                </w:tcPr>
                <w:p w14:paraId="2BD0E8D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67.2</w:t>
                  </w:r>
                </w:p>
              </w:tc>
              <w:tc>
                <w:tcPr>
                  <w:tcW w:w="535" w:type="dxa"/>
                  <w:vMerge w:val="continue"/>
                  <w:shd w:val="clear" w:color="auto" w:fill="FFFFFF"/>
                  <w:noWrap w:val="0"/>
                  <w:tcMar>
                    <w:top w:w="0" w:type="dxa"/>
                    <w:left w:w="0" w:type="dxa"/>
                    <w:bottom w:w="0" w:type="dxa"/>
                    <w:right w:w="0" w:type="dxa"/>
                  </w:tcMar>
                  <w:vAlign w:val="center"/>
                </w:tcPr>
                <w:p w14:paraId="37B2248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p>
              </w:tc>
              <w:tc>
                <w:tcPr>
                  <w:tcW w:w="852" w:type="dxa"/>
                  <w:shd w:val="clear" w:color="auto" w:fill="FFFFFF"/>
                  <w:noWrap w:val="0"/>
                  <w:tcMar>
                    <w:top w:w="0" w:type="dxa"/>
                    <w:left w:w="0" w:type="dxa"/>
                    <w:bottom w:w="0" w:type="dxa"/>
                    <w:right w:w="0" w:type="dxa"/>
                  </w:tcMar>
                  <w:vAlign w:val="center"/>
                </w:tcPr>
                <w:p w14:paraId="391143F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36</w:t>
                  </w:r>
                </w:p>
              </w:tc>
              <w:tc>
                <w:tcPr>
                  <w:tcW w:w="623" w:type="dxa"/>
                  <w:shd w:val="clear" w:color="auto" w:fill="FFFFFF"/>
                  <w:noWrap w:val="0"/>
                  <w:tcMar>
                    <w:top w:w="0" w:type="dxa"/>
                    <w:left w:w="0" w:type="dxa"/>
                    <w:bottom w:w="0" w:type="dxa"/>
                    <w:right w:w="0" w:type="dxa"/>
                  </w:tcMar>
                  <w:vAlign w:val="center"/>
                </w:tcPr>
                <w:p w14:paraId="3F0CC0C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31.2</w:t>
                  </w:r>
                </w:p>
              </w:tc>
              <w:tc>
                <w:tcPr>
                  <w:tcW w:w="450" w:type="dxa"/>
                  <w:shd w:val="clear" w:color="auto" w:fill="FFFFFF"/>
                  <w:noWrap w:val="0"/>
                  <w:tcMar>
                    <w:top w:w="0" w:type="dxa"/>
                    <w:left w:w="0" w:type="dxa"/>
                    <w:bottom w:w="0" w:type="dxa"/>
                    <w:right w:w="0" w:type="dxa"/>
                  </w:tcMar>
                  <w:vAlign w:val="center"/>
                </w:tcPr>
                <w:p w14:paraId="704DD34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31.2</w:t>
                  </w:r>
                </w:p>
              </w:tc>
              <w:tc>
                <w:tcPr>
                  <w:tcW w:w="499" w:type="dxa"/>
                  <w:shd w:val="clear" w:color="auto" w:fill="FFFFFF"/>
                  <w:noWrap w:val="0"/>
                  <w:tcMar>
                    <w:top w:w="0" w:type="dxa"/>
                    <w:left w:w="0" w:type="dxa"/>
                    <w:bottom w:w="0" w:type="dxa"/>
                    <w:right w:w="0" w:type="dxa"/>
                  </w:tcMar>
                  <w:vAlign w:val="center"/>
                </w:tcPr>
                <w:p w14:paraId="3B093A1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31.4</w:t>
                  </w:r>
                </w:p>
              </w:tc>
              <w:tc>
                <w:tcPr>
                  <w:tcW w:w="524" w:type="dxa"/>
                  <w:shd w:val="clear" w:color="auto" w:fill="FFFFFF"/>
                  <w:noWrap w:val="0"/>
                  <w:tcMar>
                    <w:top w:w="0" w:type="dxa"/>
                    <w:left w:w="0" w:type="dxa"/>
                    <w:bottom w:w="0" w:type="dxa"/>
                    <w:right w:w="0" w:type="dxa"/>
                  </w:tcMar>
                  <w:vAlign w:val="center"/>
                </w:tcPr>
                <w:p w14:paraId="24C2E34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31.2</w:t>
                  </w:r>
                </w:p>
              </w:tc>
              <w:tc>
                <w:tcPr>
                  <w:tcW w:w="634" w:type="dxa"/>
                  <w:shd w:val="clear" w:color="auto" w:fill="FFFFFF"/>
                  <w:noWrap w:val="0"/>
                  <w:tcMar>
                    <w:top w:w="0" w:type="dxa"/>
                    <w:left w:w="0" w:type="dxa"/>
                    <w:bottom w:w="0" w:type="dxa"/>
                    <w:right w:w="0" w:type="dxa"/>
                  </w:tcMar>
                  <w:vAlign w:val="center"/>
                </w:tcPr>
                <w:p w14:paraId="0BF4F76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r>
            <w:tr w14:paraId="4DBA0C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27" w:type="dxa"/>
                  <w:shd w:val="clear" w:color="auto" w:fill="FFFFFF"/>
                  <w:noWrap w:val="0"/>
                  <w:tcMar>
                    <w:top w:w="0" w:type="dxa"/>
                    <w:left w:w="0" w:type="dxa"/>
                    <w:bottom w:w="0" w:type="dxa"/>
                    <w:right w:w="0" w:type="dxa"/>
                  </w:tcMar>
                  <w:vAlign w:val="center"/>
                </w:tcPr>
                <w:p w14:paraId="7027EFF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leftChars="0"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5</w:t>
                  </w:r>
                </w:p>
              </w:tc>
              <w:tc>
                <w:tcPr>
                  <w:tcW w:w="773" w:type="dxa"/>
                  <w:shd w:val="clear" w:color="auto" w:fill="FFFFFF"/>
                  <w:noWrap w:val="0"/>
                  <w:tcMar>
                    <w:top w:w="0" w:type="dxa"/>
                    <w:left w:w="0" w:type="dxa"/>
                    <w:bottom w:w="0" w:type="dxa"/>
                    <w:right w:w="0" w:type="dxa"/>
                  </w:tcMar>
                  <w:vAlign w:val="center"/>
                </w:tcPr>
                <w:p w14:paraId="51D4235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燃烧机</w:t>
                  </w:r>
                </w:p>
              </w:tc>
              <w:tc>
                <w:tcPr>
                  <w:tcW w:w="783" w:type="dxa"/>
                  <w:shd w:val="clear" w:color="auto" w:fill="FFFFFF"/>
                  <w:noWrap w:val="0"/>
                  <w:tcMar>
                    <w:top w:w="0" w:type="dxa"/>
                    <w:left w:w="0" w:type="dxa"/>
                    <w:bottom w:w="0" w:type="dxa"/>
                    <w:right w:w="0" w:type="dxa"/>
                  </w:tcMar>
                  <w:vAlign w:val="center"/>
                </w:tcPr>
                <w:p w14:paraId="3EE06FF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78</w:t>
                  </w:r>
                </w:p>
              </w:tc>
              <w:tc>
                <w:tcPr>
                  <w:tcW w:w="549" w:type="dxa"/>
                  <w:vMerge w:val="continue"/>
                  <w:shd w:val="clear" w:color="auto" w:fill="FFFFFF"/>
                  <w:noWrap w:val="0"/>
                  <w:tcMar>
                    <w:top w:w="0" w:type="dxa"/>
                    <w:left w:w="0" w:type="dxa"/>
                    <w:bottom w:w="0" w:type="dxa"/>
                    <w:right w:w="0" w:type="dxa"/>
                  </w:tcMar>
                  <w:vAlign w:val="center"/>
                </w:tcPr>
                <w:p w14:paraId="686E78D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p>
              </w:tc>
              <w:tc>
                <w:tcPr>
                  <w:tcW w:w="662" w:type="dxa"/>
                  <w:shd w:val="clear" w:color="auto" w:fill="FFFFFF"/>
                  <w:noWrap w:val="0"/>
                  <w:tcMar>
                    <w:top w:w="0" w:type="dxa"/>
                    <w:left w:w="0" w:type="dxa"/>
                    <w:bottom w:w="0" w:type="dxa"/>
                    <w:right w:w="0" w:type="dxa"/>
                  </w:tcMar>
                  <w:vAlign w:val="center"/>
                </w:tcPr>
                <w:p w14:paraId="74107F9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-0.3</w:t>
                  </w:r>
                </w:p>
              </w:tc>
              <w:tc>
                <w:tcPr>
                  <w:tcW w:w="698" w:type="dxa"/>
                  <w:shd w:val="clear" w:color="auto" w:fill="FFFFFF"/>
                  <w:noWrap w:val="0"/>
                  <w:tcMar>
                    <w:top w:w="0" w:type="dxa"/>
                    <w:left w:w="0" w:type="dxa"/>
                    <w:bottom w:w="0" w:type="dxa"/>
                    <w:right w:w="0" w:type="dxa"/>
                  </w:tcMar>
                  <w:vAlign w:val="center"/>
                </w:tcPr>
                <w:p w14:paraId="3FF377E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0</w:t>
                  </w:r>
                </w:p>
              </w:tc>
              <w:tc>
                <w:tcPr>
                  <w:tcW w:w="568" w:type="dxa"/>
                  <w:shd w:val="clear" w:color="auto" w:fill="FFFFFF"/>
                  <w:noWrap w:val="0"/>
                  <w:tcMar>
                    <w:top w:w="0" w:type="dxa"/>
                    <w:left w:w="0" w:type="dxa"/>
                    <w:bottom w:w="0" w:type="dxa"/>
                    <w:right w:w="0" w:type="dxa"/>
                  </w:tcMar>
                  <w:vAlign w:val="center"/>
                </w:tcPr>
                <w:p w14:paraId="08CB7C9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1.2</w:t>
                  </w:r>
                </w:p>
              </w:tc>
              <w:tc>
                <w:tcPr>
                  <w:tcW w:w="611" w:type="dxa"/>
                  <w:shd w:val="clear" w:color="auto" w:fill="FFFFFF"/>
                  <w:noWrap w:val="0"/>
                  <w:tcMar>
                    <w:top w:w="0" w:type="dxa"/>
                    <w:left w:w="0" w:type="dxa"/>
                    <w:bottom w:w="0" w:type="dxa"/>
                    <w:right w:w="0" w:type="dxa"/>
                  </w:tcMar>
                  <w:vAlign w:val="center"/>
                </w:tcPr>
                <w:p w14:paraId="3D7BC44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30.8</w:t>
                  </w:r>
                </w:p>
              </w:tc>
              <w:tc>
                <w:tcPr>
                  <w:tcW w:w="611" w:type="dxa"/>
                  <w:shd w:val="clear" w:color="auto" w:fill="FFFFFF"/>
                  <w:noWrap w:val="0"/>
                  <w:tcMar>
                    <w:top w:w="0" w:type="dxa"/>
                    <w:left w:w="0" w:type="dxa"/>
                    <w:bottom w:w="0" w:type="dxa"/>
                    <w:right w:w="0" w:type="dxa"/>
                  </w:tcMar>
                  <w:vAlign w:val="center"/>
                </w:tcPr>
                <w:p w14:paraId="7FFD099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20.9</w:t>
                  </w:r>
                </w:p>
              </w:tc>
              <w:tc>
                <w:tcPr>
                  <w:tcW w:w="704" w:type="dxa"/>
                  <w:shd w:val="clear" w:color="auto" w:fill="FFFFFF"/>
                  <w:noWrap w:val="0"/>
                  <w:tcMar>
                    <w:top w:w="0" w:type="dxa"/>
                    <w:left w:w="0" w:type="dxa"/>
                    <w:bottom w:w="0" w:type="dxa"/>
                    <w:right w:w="0" w:type="dxa"/>
                  </w:tcMar>
                  <w:vAlign w:val="center"/>
                </w:tcPr>
                <w:p w14:paraId="176634B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25.3</w:t>
                  </w:r>
                </w:p>
              </w:tc>
              <w:tc>
                <w:tcPr>
                  <w:tcW w:w="519" w:type="dxa"/>
                  <w:shd w:val="clear" w:color="auto" w:fill="FFFFFF"/>
                  <w:noWrap w:val="0"/>
                  <w:tcMar>
                    <w:top w:w="0" w:type="dxa"/>
                    <w:left w:w="0" w:type="dxa"/>
                    <w:bottom w:w="0" w:type="dxa"/>
                    <w:right w:w="0" w:type="dxa"/>
                  </w:tcMar>
                  <w:vAlign w:val="center"/>
                </w:tcPr>
                <w:p w14:paraId="79BC305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21.9</w:t>
                  </w:r>
                </w:p>
              </w:tc>
              <w:tc>
                <w:tcPr>
                  <w:tcW w:w="603" w:type="dxa"/>
                  <w:shd w:val="clear" w:color="auto" w:fill="FFFFFF"/>
                  <w:noWrap w:val="0"/>
                  <w:tcMar>
                    <w:top w:w="0" w:type="dxa"/>
                    <w:left w:w="0" w:type="dxa"/>
                    <w:bottom w:w="0" w:type="dxa"/>
                    <w:right w:w="0" w:type="dxa"/>
                  </w:tcMar>
                  <w:vAlign w:val="center"/>
                </w:tcPr>
                <w:p w14:paraId="50D05BB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65.2</w:t>
                  </w:r>
                </w:p>
              </w:tc>
              <w:tc>
                <w:tcPr>
                  <w:tcW w:w="603" w:type="dxa"/>
                  <w:shd w:val="clear" w:color="auto" w:fill="FFFFFF"/>
                  <w:noWrap w:val="0"/>
                  <w:tcMar>
                    <w:top w:w="0" w:type="dxa"/>
                    <w:left w:w="0" w:type="dxa"/>
                    <w:bottom w:w="0" w:type="dxa"/>
                    <w:right w:w="0" w:type="dxa"/>
                  </w:tcMar>
                  <w:vAlign w:val="center"/>
                </w:tcPr>
                <w:p w14:paraId="4BCC654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65.2</w:t>
                  </w:r>
                </w:p>
              </w:tc>
              <w:tc>
                <w:tcPr>
                  <w:tcW w:w="603" w:type="dxa"/>
                  <w:shd w:val="clear" w:color="auto" w:fill="FFFFFF"/>
                  <w:noWrap w:val="0"/>
                  <w:tcMar>
                    <w:top w:w="0" w:type="dxa"/>
                    <w:left w:w="0" w:type="dxa"/>
                    <w:bottom w:w="0" w:type="dxa"/>
                    <w:right w:w="0" w:type="dxa"/>
                  </w:tcMar>
                  <w:vAlign w:val="center"/>
                </w:tcPr>
                <w:p w14:paraId="647E927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65.2</w:t>
                  </w:r>
                </w:p>
              </w:tc>
              <w:tc>
                <w:tcPr>
                  <w:tcW w:w="605" w:type="dxa"/>
                  <w:shd w:val="clear" w:color="auto" w:fill="FFFFFF"/>
                  <w:noWrap w:val="0"/>
                  <w:tcMar>
                    <w:top w:w="0" w:type="dxa"/>
                    <w:left w:w="0" w:type="dxa"/>
                    <w:bottom w:w="0" w:type="dxa"/>
                    <w:right w:w="0" w:type="dxa"/>
                  </w:tcMar>
                  <w:vAlign w:val="center"/>
                </w:tcPr>
                <w:p w14:paraId="0263D62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65.2</w:t>
                  </w:r>
                </w:p>
              </w:tc>
              <w:tc>
                <w:tcPr>
                  <w:tcW w:w="535" w:type="dxa"/>
                  <w:vMerge w:val="continue"/>
                  <w:shd w:val="clear" w:color="auto" w:fill="FFFFFF"/>
                  <w:noWrap w:val="0"/>
                  <w:tcMar>
                    <w:top w:w="0" w:type="dxa"/>
                    <w:left w:w="0" w:type="dxa"/>
                    <w:bottom w:w="0" w:type="dxa"/>
                    <w:right w:w="0" w:type="dxa"/>
                  </w:tcMar>
                  <w:vAlign w:val="center"/>
                </w:tcPr>
                <w:p w14:paraId="5E26437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p>
              </w:tc>
              <w:tc>
                <w:tcPr>
                  <w:tcW w:w="852" w:type="dxa"/>
                  <w:shd w:val="clear" w:color="auto" w:fill="FFFFFF"/>
                  <w:noWrap w:val="0"/>
                  <w:tcMar>
                    <w:top w:w="0" w:type="dxa"/>
                    <w:left w:w="0" w:type="dxa"/>
                    <w:bottom w:w="0" w:type="dxa"/>
                    <w:right w:w="0" w:type="dxa"/>
                  </w:tcMar>
                  <w:vAlign w:val="center"/>
                </w:tcPr>
                <w:p w14:paraId="31DABBA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36</w:t>
                  </w:r>
                </w:p>
              </w:tc>
              <w:tc>
                <w:tcPr>
                  <w:tcW w:w="623" w:type="dxa"/>
                  <w:shd w:val="clear" w:color="auto" w:fill="FFFFFF"/>
                  <w:noWrap w:val="0"/>
                  <w:tcMar>
                    <w:top w:w="0" w:type="dxa"/>
                    <w:left w:w="0" w:type="dxa"/>
                    <w:bottom w:w="0" w:type="dxa"/>
                    <w:right w:w="0" w:type="dxa"/>
                  </w:tcMar>
                  <w:vAlign w:val="center"/>
                </w:tcPr>
                <w:p w14:paraId="1E543AB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29.2</w:t>
                  </w:r>
                </w:p>
              </w:tc>
              <w:tc>
                <w:tcPr>
                  <w:tcW w:w="450" w:type="dxa"/>
                  <w:shd w:val="clear" w:color="auto" w:fill="FFFFFF"/>
                  <w:noWrap w:val="0"/>
                  <w:tcMar>
                    <w:top w:w="0" w:type="dxa"/>
                    <w:left w:w="0" w:type="dxa"/>
                    <w:bottom w:w="0" w:type="dxa"/>
                    <w:right w:w="0" w:type="dxa"/>
                  </w:tcMar>
                  <w:vAlign w:val="center"/>
                </w:tcPr>
                <w:p w14:paraId="6B83052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29.2</w:t>
                  </w:r>
                </w:p>
              </w:tc>
              <w:tc>
                <w:tcPr>
                  <w:tcW w:w="499" w:type="dxa"/>
                  <w:shd w:val="clear" w:color="auto" w:fill="FFFFFF"/>
                  <w:noWrap w:val="0"/>
                  <w:tcMar>
                    <w:top w:w="0" w:type="dxa"/>
                    <w:left w:w="0" w:type="dxa"/>
                    <w:bottom w:w="0" w:type="dxa"/>
                    <w:right w:w="0" w:type="dxa"/>
                  </w:tcMar>
                  <w:vAlign w:val="center"/>
                </w:tcPr>
                <w:p w14:paraId="0F06CD3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29.2</w:t>
                  </w:r>
                </w:p>
              </w:tc>
              <w:tc>
                <w:tcPr>
                  <w:tcW w:w="524" w:type="dxa"/>
                  <w:shd w:val="clear" w:color="auto" w:fill="FFFFFF"/>
                  <w:noWrap w:val="0"/>
                  <w:tcMar>
                    <w:top w:w="0" w:type="dxa"/>
                    <w:left w:w="0" w:type="dxa"/>
                    <w:bottom w:w="0" w:type="dxa"/>
                    <w:right w:w="0" w:type="dxa"/>
                  </w:tcMar>
                  <w:vAlign w:val="center"/>
                </w:tcPr>
                <w:p w14:paraId="0F5A127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29.2</w:t>
                  </w:r>
                </w:p>
              </w:tc>
              <w:tc>
                <w:tcPr>
                  <w:tcW w:w="634" w:type="dxa"/>
                  <w:shd w:val="clear" w:color="auto" w:fill="FFFFFF"/>
                  <w:noWrap w:val="0"/>
                  <w:tcMar>
                    <w:top w:w="0" w:type="dxa"/>
                    <w:left w:w="0" w:type="dxa"/>
                    <w:bottom w:w="0" w:type="dxa"/>
                    <w:right w:w="0" w:type="dxa"/>
                  </w:tcMar>
                  <w:vAlign w:val="center"/>
                </w:tcPr>
                <w:p w14:paraId="2C45C06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r>
            <w:tr w14:paraId="7B5FB4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27" w:type="dxa"/>
                  <w:shd w:val="clear" w:color="auto" w:fill="FFFFFF"/>
                  <w:noWrap w:val="0"/>
                  <w:tcMar>
                    <w:top w:w="0" w:type="dxa"/>
                    <w:left w:w="0" w:type="dxa"/>
                    <w:bottom w:w="0" w:type="dxa"/>
                    <w:right w:w="0" w:type="dxa"/>
                  </w:tcMar>
                  <w:vAlign w:val="center"/>
                </w:tcPr>
                <w:p w14:paraId="1B85B4A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773" w:type="dxa"/>
                  <w:shd w:val="clear" w:color="auto" w:fill="FFFFFF"/>
                  <w:noWrap w:val="0"/>
                  <w:tcMar>
                    <w:top w:w="0" w:type="dxa"/>
                    <w:left w:w="0" w:type="dxa"/>
                    <w:bottom w:w="0" w:type="dxa"/>
                    <w:right w:w="0" w:type="dxa"/>
                  </w:tcMar>
                  <w:vAlign w:val="center"/>
                </w:tcPr>
                <w:p w14:paraId="41F9615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空压机</w:t>
                  </w:r>
                </w:p>
              </w:tc>
              <w:tc>
                <w:tcPr>
                  <w:tcW w:w="783" w:type="dxa"/>
                  <w:shd w:val="clear" w:color="auto" w:fill="FFFFFF"/>
                  <w:noWrap w:val="0"/>
                  <w:tcMar>
                    <w:top w:w="0" w:type="dxa"/>
                    <w:left w:w="0" w:type="dxa"/>
                    <w:bottom w:w="0" w:type="dxa"/>
                    <w:right w:w="0" w:type="dxa"/>
                  </w:tcMar>
                  <w:vAlign w:val="center"/>
                </w:tcPr>
                <w:p w14:paraId="7F4AF72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88</w:t>
                  </w:r>
                </w:p>
              </w:tc>
              <w:tc>
                <w:tcPr>
                  <w:tcW w:w="549" w:type="dxa"/>
                  <w:vMerge w:val="continue"/>
                  <w:shd w:val="clear" w:color="auto" w:fill="FFFFFF"/>
                  <w:noWrap w:val="0"/>
                  <w:tcMar>
                    <w:top w:w="0" w:type="dxa"/>
                    <w:left w:w="0" w:type="dxa"/>
                    <w:bottom w:w="0" w:type="dxa"/>
                    <w:right w:w="0" w:type="dxa"/>
                  </w:tcMar>
                  <w:vAlign w:val="center"/>
                </w:tcPr>
                <w:p w14:paraId="1BF63D0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p>
              </w:tc>
              <w:tc>
                <w:tcPr>
                  <w:tcW w:w="662" w:type="dxa"/>
                  <w:shd w:val="clear" w:color="auto" w:fill="FFFFFF"/>
                  <w:noWrap w:val="0"/>
                  <w:tcMar>
                    <w:top w:w="0" w:type="dxa"/>
                    <w:left w:w="0" w:type="dxa"/>
                    <w:bottom w:w="0" w:type="dxa"/>
                    <w:right w:w="0" w:type="dxa"/>
                  </w:tcMar>
                  <w:vAlign w:val="center"/>
                </w:tcPr>
                <w:p w14:paraId="217BC1B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-6.5</w:t>
                  </w:r>
                </w:p>
              </w:tc>
              <w:tc>
                <w:tcPr>
                  <w:tcW w:w="698" w:type="dxa"/>
                  <w:shd w:val="clear" w:color="auto" w:fill="FFFFFF"/>
                  <w:noWrap w:val="0"/>
                  <w:tcMar>
                    <w:top w:w="0" w:type="dxa"/>
                    <w:left w:w="0" w:type="dxa"/>
                    <w:bottom w:w="0" w:type="dxa"/>
                    <w:right w:w="0" w:type="dxa"/>
                  </w:tcMar>
                  <w:vAlign w:val="center"/>
                </w:tcPr>
                <w:p w14:paraId="4B4F759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25.2</w:t>
                  </w:r>
                </w:p>
              </w:tc>
              <w:tc>
                <w:tcPr>
                  <w:tcW w:w="568" w:type="dxa"/>
                  <w:shd w:val="clear" w:color="auto" w:fill="FFFFFF"/>
                  <w:noWrap w:val="0"/>
                  <w:tcMar>
                    <w:top w:w="0" w:type="dxa"/>
                    <w:left w:w="0" w:type="dxa"/>
                    <w:bottom w:w="0" w:type="dxa"/>
                    <w:right w:w="0" w:type="dxa"/>
                  </w:tcMar>
                  <w:vAlign w:val="center"/>
                </w:tcPr>
                <w:p w14:paraId="023D31C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1.2</w:t>
                  </w:r>
                </w:p>
              </w:tc>
              <w:tc>
                <w:tcPr>
                  <w:tcW w:w="611" w:type="dxa"/>
                  <w:shd w:val="clear" w:color="auto" w:fill="FFFFFF"/>
                  <w:noWrap w:val="0"/>
                  <w:tcMar>
                    <w:top w:w="0" w:type="dxa"/>
                    <w:left w:w="0" w:type="dxa"/>
                    <w:bottom w:w="0" w:type="dxa"/>
                    <w:right w:w="0" w:type="dxa"/>
                  </w:tcMar>
                  <w:vAlign w:val="center"/>
                </w:tcPr>
                <w:p w14:paraId="5EAB4C7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52.2</w:t>
                  </w:r>
                </w:p>
              </w:tc>
              <w:tc>
                <w:tcPr>
                  <w:tcW w:w="611" w:type="dxa"/>
                  <w:shd w:val="clear" w:color="auto" w:fill="FFFFFF"/>
                  <w:noWrap w:val="0"/>
                  <w:tcMar>
                    <w:top w:w="0" w:type="dxa"/>
                    <w:left w:w="0" w:type="dxa"/>
                    <w:bottom w:w="0" w:type="dxa"/>
                    <w:right w:w="0" w:type="dxa"/>
                  </w:tcMar>
                  <w:vAlign w:val="center"/>
                </w:tcPr>
                <w:p w14:paraId="7BB145F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33.9</w:t>
                  </w:r>
                </w:p>
              </w:tc>
              <w:tc>
                <w:tcPr>
                  <w:tcW w:w="704" w:type="dxa"/>
                  <w:shd w:val="clear" w:color="auto" w:fill="FFFFFF"/>
                  <w:noWrap w:val="0"/>
                  <w:tcMar>
                    <w:top w:w="0" w:type="dxa"/>
                    <w:left w:w="0" w:type="dxa"/>
                    <w:bottom w:w="0" w:type="dxa"/>
                    <w:right w:w="0" w:type="dxa"/>
                  </w:tcMar>
                  <w:vAlign w:val="center"/>
                </w:tcPr>
                <w:p w14:paraId="73AFE6B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3.8</w:t>
                  </w:r>
                </w:p>
              </w:tc>
              <w:tc>
                <w:tcPr>
                  <w:tcW w:w="519" w:type="dxa"/>
                  <w:shd w:val="clear" w:color="auto" w:fill="FFFFFF"/>
                  <w:noWrap w:val="0"/>
                  <w:tcMar>
                    <w:top w:w="0" w:type="dxa"/>
                    <w:left w:w="0" w:type="dxa"/>
                    <w:bottom w:w="0" w:type="dxa"/>
                    <w:right w:w="0" w:type="dxa"/>
                  </w:tcMar>
                  <w:vAlign w:val="center"/>
                </w:tcPr>
                <w:p w14:paraId="51ACB3F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9.3</w:t>
                  </w:r>
                </w:p>
              </w:tc>
              <w:tc>
                <w:tcPr>
                  <w:tcW w:w="603" w:type="dxa"/>
                  <w:shd w:val="clear" w:color="auto" w:fill="FFFFFF"/>
                  <w:noWrap w:val="0"/>
                  <w:tcMar>
                    <w:top w:w="0" w:type="dxa"/>
                    <w:left w:w="0" w:type="dxa"/>
                    <w:bottom w:w="0" w:type="dxa"/>
                    <w:right w:w="0" w:type="dxa"/>
                  </w:tcMar>
                  <w:vAlign w:val="center"/>
                </w:tcPr>
                <w:p w14:paraId="342F77E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75.2</w:t>
                  </w:r>
                </w:p>
              </w:tc>
              <w:tc>
                <w:tcPr>
                  <w:tcW w:w="603" w:type="dxa"/>
                  <w:shd w:val="clear" w:color="auto" w:fill="FFFFFF"/>
                  <w:noWrap w:val="0"/>
                  <w:tcMar>
                    <w:top w:w="0" w:type="dxa"/>
                    <w:left w:w="0" w:type="dxa"/>
                    <w:bottom w:w="0" w:type="dxa"/>
                    <w:right w:w="0" w:type="dxa"/>
                  </w:tcMar>
                  <w:vAlign w:val="center"/>
                </w:tcPr>
                <w:p w14:paraId="0196822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75.2</w:t>
                  </w:r>
                </w:p>
              </w:tc>
              <w:tc>
                <w:tcPr>
                  <w:tcW w:w="603" w:type="dxa"/>
                  <w:shd w:val="clear" w:color="auto" w:fill="FFFFFF"/>
                  <w:noWrap w:val="0"/>
                  <w:tcMar>
                    <w:top w:w="0" w:type="dxa"/>
                    <w:left w:w="0" w:type="dxa"/>
                    <w:bottom w:w="0" w:type="dxa"/>
                    <w:right w:w="0" w:type="dxa"/>
                  </w:tcMar>
                  <w:vAlign w:val="center"/>
                </w:tcPr>
                <w:p w14:paraId="73DAC9B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75.6</w:t>
                  </w:r>
                </w:p>
              </w:tc>
              <w:tc>
                <w:tcPr>
                  <w:tcW w:w="605" w:type="dxa"/>
                  <w:shd w:val="clear" w:color="auto" w:fill="FFFFFF"/>
                  <w:noWrap w:val="0"/>
                  <w:tcMar>
                    <w:top w:w="0" w:type="dxa"/>
                    <w:left w:w="0" w:type="dxa"/>
                    <w:bottom w:w="0" w:type="dxa"/>
                    <w:right w:w="0" w:type="dxa"/>
                  </w:tcMar>
                  <w:vAlign w:val="center"/>
                </w:tcPr>
                <w:p w14:paraId="4FD8407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75.3</w:t>
                  </w:r>
                </w:p>
              </w:tc>
              <w:tc>
                <w:tcPr>
                  <w:tcW w:w="535" w:type="dxa"/>
                  <w:vMerge w:val="continue"/>
                  <w:shd w:val="clear" w:color="auto" w:fill="FFFFFF"/>
                  <w:noWrap w:val="0"/>
                  <w:tcMar>
                    <w:top w:w="0" w:type="dxa"/>
                    <w:left w:w="0" w:type="dxa"/>
                    <w:bottom w:w="0" w:type="dxa"/>
                    <w:right w:w="0" w:type="dxa"/>
                  </w:tcMar>
                  <w:vAlign w:val="center"/>
                </w:tcPr>
                <w:p w14:paraId="101C751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p>
              </w:tc>
              <w:tc>
                <w:tcPr>
                  <w:tcW w:w="852" w:type="dxa"/>
                  <w:shd w:val="clear" w:color="auto" w:fill="FFFFFF"/>
                  <w:noWrap w:val="0"/>
                  <w:tcMar>
                    <w:top w:w="0" w:type="dxa"/>
                    <w:left w:w="0" w:type="dxa"/>
                    <w:bottom w:w="0" w:type="dxa"/>
                    <w:right w:w="0" w:type="dxa"/>
                  </w:tcMar>
                  <w:vAlign w:val="center"/>
                </w:tcPr>
                <w:p w14:paraId="7410AA7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36</w:t>
                  </w:r>
                </w:p>
              </w:tc>
              <w:tc>
                <w:tcPr>
                  <w:tcW w:w="623" w:type="dxa"/>
                  <w:shd w:val="clear" w:color="auto" w:fill="FFFFFF"/>
                  <w:noWrap w:val="0"/>
                  <w:tcMar>
                    <w:top w:w="0" w:type="dxa"/>
                    <w:left w:w="0" w:type="dxa"/>
                    <w:bottom w:w="0" w:type="dxa"/>
                    <w:right w:w="0" w:type="dxa"/>
                  </w:tcMar>
                  <w:vAlign w:val="center"/>
                </w:tcPr>
                <w:p w14:paraId="451470D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39.2</w:t>
                  </w:r>
                </w:p>
              </w:tc>
              <w:tc>
                <w:tcPr>
                  <w:tcW w:w="450" w:type="dxa"/>
                  <w:shd w:val="clear" w:color="auto" w:fill="FFFFFF"/>
                  <w:noWrap w:val="0"/>
                  <w:tcMar>
                    <w:top w:w="0" w:type="dxa"/>
                    <w:left w:w="0" w:type="dxa"/>
                    <w:bottom w:w="0" w:type="dxa"/>
                    <w:right w:w="0" w:type="dxa"/>
                  </w:tcMar>
                  <w:vAlign w:val="center"/>
                </w:tcPr>
                <w:p w14:paraId="776D10B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39.2</w:t>
                  </w:r>
                </w:p>
              </w:tc>
              <w:tc>
                <w:tcPr>
                  <w:tcW w:w="499" w:type="dxa"/>
                  <w:shd w:val="clear" w:color="auto" w:fill="FFFFFF"/>
                  <w:noWrap w:val="0"/>
                  <w:tcMar>
                    <w:top w:w="0" w:type="dxa"/>
                    <w:left w:w="0" w:type="dxa"/>
                    <w:bottom w:w="0" w:type="dxa"/>
                    <w:right w:w="0" w:type="dxa"/>
                  </w:tcMar>
                  <w:vAlign w:val="center"/>
                </w:tcPr>
                <w:p w14:paraId="2DC28E9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39.6</w:t>
                  </w:r>
                </w:p>
              </w:tc>
              <w:tc>
                <w:tcPr>
                  <w:tcW w:w="524" w:type="dxa"/>
                  <w:shd w:val="clear" w:color="auto" w:fill="FFFFFF"/>
                  <w:noWrap w:val="0"/>
                  <w:tcMar>
                    <w:top w:w="0" w:type="dxa"/>
                    <w:left w:w="0" w:type="dxa"/>
                    <w:bottom w:w="0" w:type="dxa"/>
                    <w:right w:w="0" w:type="dxa"/>
                  </w:tcMar>
                  <w:vAlign w:val="center"/>
                </w:tcPr>
                <w:p w14:paraId="73D877C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39.3</w:t>
                  </w:r>
                </w:p>
              </w:tc>
              <w:tc>
                <w:tcPr>
                  <w:tcW w:w="634" w:type="dxa"/>
                  <w:shd w:val="clear" w:color="auto" w:fill="FFFFFF"/>
                  <w:noWrap w:val="0"/>
                  <w:tcMar>
                    <w:top w:w="0" w:type="dxa"/>
                    <w:left w:w="0" w:type="dxa"/>
                    <w:bottom w:w="0" w:type="dxa"/>
                    <w:right w:w="0" w:type="dxa"/>
                  </w:tcMar>
                  <w:vAlign w:val="center"/>
                </w:tcPr>
                <w:p w14:paraId="1988943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r>
            <w:bookmarkEnd w:id="171"/>
          </w:tbl>
          <w:p w14:paraId="70F17274">
            <w:pPr>
              <w:pStyle w:val="28"/>
              <w:keepNext w:val="0"/>
              <w:keepLines w:val="0"/>
              <w:suppressLineNumbers w:val="0"/>
              <w:spacing w:before="0" w:beforeAutospacing="0" w:after="0" w:afterAutospacing="0"/>
              <w:ind w:left="0" w:right="0" w:firstLine="0" w:firstLineChars="0"/>
              <w:jc w:val="both"/>
              <w:rPr>
                <w:rFonts w:hint="eastAsia" w:ascii="宋体" w:hAnsi="宋体" w:eastAsia="宋体" w:cs="宋体"/>
                <w:bCs/>
                <w:kern w:val="44"/>
              </w:rPr>
            </w:pPr>
            <w:r>
              <w:rPr>
                <w:rFonts w:hint="eastAsia" w:ascii="Times New Roman" w:hAnsi="Times New Roman" w:cs="Times New Roman" w:eastAsiaTheme="minorEastAsia"/>
                <w:b w:val="0"/>
                <w:bCs/>
                <w:sz w:val="21"/>
                <w:szCs w:val="21"/>
                <w:lang w:val="en-US" w:eastAsia="zh-CN"/>
              </w:rPr>
              <w:t>注：</w:t>
            </w:r>
            <w:r>
              <w:rPr>
                <w:rFonts w:hint="default" w:ascii="Times New Roman" w:hAnsi="Times New Roman" w:cs="Times New Roman" w:eastAsiaTheme="minorEastAsia"/>
                <w:b w:val="0"/>
                <w:bCs/>
                <w:sz w:val="21"/>
                <w:szCs w:val="21"/>
                <w:lang w:val="en-US" w:eastAsia="zh-CN"/>
              </w:rPr>
              <w:t>表中坐标以厂界中心（</w:t>
            </w:r>
            <w:bookmarkStart w:id="173" w:name="PO_7"/>
            <w:r>
              <w:rPr>
                <w:rFonts w:hint="default" w:ascii="Times New Roman" w:hAnsi="Times New Roman" w:cs="Times New Roman" w:eastAsiaTheme="minorEastAsia"/>
                <w:b w:val="0"/>
                <w:bCs/>
                <w:sz w:val="21"/>
                <w:szCs w:val="21"/>
                <w:lang w:val="en-US" w:eastAsia="zh-CN"/>
              </w:rPr>
              <w:t>119.694786,32.186420</w:t>
            </w:r>
            <w:bookmarkEnd w:id="173"/>
            <w:r>
              <w:rPr>
                <w:rFonts w:hint="default" w:ascii="Times New Roman" w:hAnsi="Times New Roman" w:cs="Times New Roman" w:eastAsiaTheme="minorEastAsia"/>
                <w:b w:val="0"/>
                <w:bCs/>
                <w:sz w:val="21"/>
                <w:szCs w:val="21"/>
                <w:lang w:val="en-US" w:eastAsia="zh-CN"/>
              </w:rPr>
              <w:t>）为坐标原点，正东向为X轴正方向，正北向为Y轴正方向</w:t>
            </w:r>
          </w:p>
          <w:p w14:paraId="6E12773C">
            <w:pPr>
              <w:pStyle w:val="28"/>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rPr>
            </w:pPr>
            <w:r>
              <w:rPr>
                <w:rFonts w:hint="eastAsia" w:ascii="宋体" w:hAnsi="宋体" w:eastAsia="宋体" w:cs="宋体"/>
                <w:b/>
                <w:bCs w:val="0"/>
                <w:kern w:val="44"/>
              </w:rPr>
              <w:t>表4-1</w:t>
            </w:r>
            <w:r>
              <w:rPr>
                <w:rFonts w:hint="eastAsia" w:ascii="宋体" w:hAnsi="宋体" w:eastAsia="宋体" w:cs="宋体"/>
                <w:b/>
                <w:bCs w:val="0"/>
                <w:kern w:val="44"/>
                <w:lang w:val="en-US" w:eastAsia="zh-CN"/>
              </w:rPr>
              <w:t>7</w:t>
            </w:r>
            <w:r>
              <w:rPr>
                <w:rFonts w:hint="eastAsia" w:ascii="宋体" w:hAnsi="宋体" w:eastAsia="宋体" w:cs="宋体"/>
                <w:b/>
                <w:bCs w:val="0"/>
                <w:kern w:val="44"/>
              </w:rPr>
              <w:t xml:space="preserve"> </w:t>
            </w:r>
            <w:r>
              <w:rPr>
                <w:rFonts w:hint="eastAsia" w:ascii="宋体" w:hAnsi="宋体" w:eastAsia="宋体" w:cs="宋体"/>
                <w:b/>
                <w:bCs w:val="0"/>
              </w:rPr>
              <w:t>工业企业噪声源强调查清单（室外声源）</w:t>
            </w:r>
            <w:bookmarkStart w:id="174" w:name="PT_5"/>
          </w:p>
          <w:tbl>
            <w:tblPr>
              <w:tblStyle w:val="3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060"/>
              <w:gridCol w:w="937"/>
              <w:gridCol w:w="1087"/>
              <w:gridCol w:w="850"/>
              <w:gridCol w:w="1881"/>
              <w:gridCol w:w="2225"/>
              <w:gridCol w:w="1300"/>
            </w:tblGrid>
            <w:tr w14:paraId="4C0A40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0" w:hRule="exact"/>
                <w:jc w:val="center"/>
              </w:trPr>
              <w:tc>
                <w:tcPr>
                  <w:tcW w:w="0" w:type="auto"/>
                  <w:vMerge w:val="restart"/>
                  <w:noWrap w:val="0"/>
                  <w:vAlign w:val="center"/>
                </w:tcPr>
                <w:p w14:paraId="2B140F5D">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b/>
                      <w:sz w:val="21"/>
                      <w:szCs w:val="21"/>
                    </w:rPr>
                    <w:t>序号</w:t>
                  </w:r>
                </w:p>
              </w:tc>
              <w:tc>
                <w:tcPr>
                  <w:tcW w:w="0" w:type="auto"/>
                  <w:vMerge w:val="restart"/>
                  <w:noWrap w:val="0"/>
                  <w:vAlign w:val="center"/>
                </w:tcPr>
                <w:p w14:paraId="04169C7D">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b/>
                      <w:sz w:val="21"/>
                      <w:szCs w:val="21"/>
                    </w:rPr>
                    <w:t>声源名称</w:t>
                  </w:r>
                </w:p>
              </w:tc>
              <w:tc>
                <w:tcPr>
                  <w:tcW w:w="2874" w:type="dxa"/>
                  <w:gridSpan w:val="3"/>
                  <w:noWrap w:val="0"/>
                  <w:vAlign w:val="center"/>
                </w:tcPr>
                <w:p w14:paraId="722BA451">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b/>
                      <w:sz w:val="21"/>
                      <w:szCs w:val="21"/>
                    </w:rPr>
                    <w:t>空间相对位置/m</w:t>
                  </w:r>
                </w:p>
              </w:tc>
              <w:tc>
                <w:tcPr>
                  <w:tcW w:w="1881" w:type="dxa"/>
                  <w:noWrap w:val="0"/>
                  <w:vAlign w:val="center"/>
                </w:tcPr>
                <w:p w14:paraId="7937F2A9">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b/>
                      <w:sz w:val="21"/>
                      <w:szCs w:val="21"/>
                    </w:rPr>
                    <w:t>声源源强</w:t>
                  </w:r>
                </w:p>
              </w:tc>
              <w:tc>
                <w:tcPr>
                  <w:tcW w:w="2225" w:type="dxa"/>
                  <w:vMerge w:val="restart"/>
                  <w:noWrap w:val="0"/>
                  <w:vAlign w:val="center"/>
                </w:tcPr>
                <w:p w14:paraId="15F3E844">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b/>
                      <w:sz w:val="21"/>
                      <w:szCs w:val="21"/>
                    </w:rPr>
                    <w:t>声源控制措施</w:t>
                  </w:r>
                </w:p>
              </w:tc>
              <w:tc>
                <w:tcPr>
                  <w:tcW w:w="1300" w:type="dxa"/>
                  <w:vMerge w:val="restart"/>
                  <w:noWrap w:val="0"/>
                  <w:vAlign w:val="center"/>
                </w:tcPr>
                <w:p w14:paraId="71EADA52">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b/>
                      <w:sz w:val="21"/>
                      <w:szCs w:val="21"/>
                    </w:rPr>
                    <w:t>运行时段</w:t>
                  </w:r>
                </w:p>
              </w:tc>
            </w:tr>
            <w:tr w14:paraId="07F737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shd w:val="clear" w:color="auto" w:fill="FFFFFF"/>
                  <w:noWrap w:val="0"/>
                  <w:vAlign w:val="center"/>
                </w:tcPr>
                <w:p w14:paraId="609EE9FF">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0" w:type="auto"/>
                  <w:vMerge w:val="continue"/>
                  <w:shd w:val="clear" w:color="auto" w:fill="FFFFFF"/>
                  <w:noWrap w:val="0"/>
                  <w:vAlign w:val="center"/>
                </w:tcPr>
                <w:p w14:paraId="79431A31">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937" w:type="dxa"/>
                  <w:shd w:val="clear" w:color="auto" w:fill="FFFFFF"/>
                  <w:noWrap w:val="0"/>
                  <w:vAlign w:val="center"/>
                </w:tcPr>
                <w:p w14:paraId="39177318">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X</w:t>
                  </w:r>
                </w:p>
              </w:tc>
              <w:tc>
                <w:tcPr>
                  <w:tcW w:w="1087" w:type="dxa"/>
                  <w:shd w:val="clear" w:color="auto" w:fill="FFFFFF"/>
                  <w:noWrap w:val="0"/>
                  <w:vAlign w:val="center"/>
                </w:tcPr>
                <w:p w14:paraId="2A4DB52F">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Y</w:t>
                  </w:r>
                </w:p>
              </w:tc>
              <w:tc>
                <w:tcPr>
                  <w:tcW w:w="850" w:type="dxa"/>
                  <w:shd w:val="clear" w:color="auto" w:fill="FFFFFF"/>
                  <w:noWrap w:val="0"/>
                  <w:vAlign w:val="center"/>
                </w:tcPr>
                <w:p w14:paraId="380EC933">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Z</w:t>
                  </w:r>
                </w:p>
              </w:tc>
              <w:tc>
                <w:tcPr>
                  <w:tcW w:w="1881" w:type="dxa"/>
                  <w:shd w:val="clear" w:color="auto" w:fill="FFFFFF"/>
                  <w:noWrap w:val="0"/>
                  <w:vAlign w:val="center"/>
                </w:tcPr>
                <w:p w14:paraId="316E4B9E">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声功率级/dB(A)</w:t>
                  </w:r>
                </w:p>
              </w:tc>
              <w:tc>
                <w:tcPr>
                  <w:tcW w:w="2225" w:type="dxa"/>
                  <w:vMerge w:val="continue"/>
                  <w:shd w:val="clear" w:color="auto" w:fill="FFFFFF"/>
                  <w:noWrap w:val="0"/>
                  <w:vAlign w:val="center"/>
                </w:tcPr>
                <w:p w14:paraId="60450BDE">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bookmarkEnd w:id="174"/>
              </w:tc>
              <w:tc>
                <w:tcPr>
                  <w:tcW w:w="1300" w:type="dxa"/>
                  <w:vMerge w:val="continue"/>
                  <w:shd w:val="clear" w:color="auto" w:fill="FFFFFF"/>
                  <w:noWrap w:val="0"/>
                  <w:vAlign w:val="center"/>
                </w:tcPr>
                <w:p w14:paraId="0EFDADC7">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r>
            <w:tr w14:paraId="76C2F3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82" w:hRule="exact"/>
                <w:jc w:val="center"/>
              </w:trPr>
              <w:tc>
                <w:tcPr>
                  <w:tcW w:w="0" w:type="auto"/>
                  <w:shd w:val="clear" w:color="auto" w:fill="FFFFFF"/>
                  <w:noWrap w:val="0"/>
                  <w:vAlign w:val="center"/>
                </w:tcPr>
                <w:p w14:paraId="2F348DE5">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1</w:t>
                  </w:r>
                </w:p>
              </w:tc>
              <w:tc>
                <w:tcPr>
                  <w:tcW w:w="1060" w:type="dxa"/>
                  <w:shd w:val="clear" w:color="auto" w:fill="FFFFFF"/>
                  <w:noWrap w:val="0"/>
                  <w:vAlign w:val="center"/>
                </w:tcPr>
                <w:p w14:paraId="4093C3D3">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风机</w:t>
                  </w:r>
                </w:p>
              </w:tc>
              <w:tc>
                <w:tcPr>
                  <w:tcW w:w="937" w:type="dxa"/>
                  <w:shd w:val="clear" w:color="auto" w:fill="FFFFFF"/>
                  <w:noWrap w:val="0"/>
                  <w:vAlign w:val="center"/>
                </w:tcPr>
                <w:p w14:paraId="6973184E">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10.4</w:t>
                  </w:r>
                </w:p>
              </w:tc>
              <w:tc>
                <w:tcPr>
                  <w:tcW w:w="1087" w:type="dxa"/>
                  <w:shd w:val="clear" w:color="auto" w:fill="FFFFFF"/>
                  <w:noWrap w:val="0"/>
                  <w:vAlign w:val="center"/>
                </w:tcPr>
                <w:p w14:paraId="529884E6">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25.8</w:t>
                  </w:r>
                </w:p>
              </w:tc>
              <w:tc>
                <w:tcPr>
                  <w:tcW w:w="850" w:type="dxa"/>
                  <w:shd w:val="clear" w:color="auto" w:fill="FFFFFF"/>
                  <w:noWrap w:val="0"/>
                  <w:vAlign w:val="center"/>
                </w:tcPr>
                <w:p w14:paraId="3BFB40F3">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1.2</w:t>
                  </w:r>
                </w:p>
              </w:tc>
              <w:tc>
                <w:tcPr>
                  <w:tcW w:w="1881" w:type="dxa"/>
                  <w:shd w:val="clear" w:color="auto" w:fill="FFFFFF"/>
                  <w:noWrap w:val="0"/>
                  <w:vAlign w:val="center"/>
                </w:tcPr>
                <w:p w14:paraId="20CDB270">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90</w:t>
                  </w:r>
                </w:p>
              </w:tc>
              <w:tc>
                <w:tcPr>
                  <w:tcW w:w="2225" w:type="dxa"/>
                  <w:vMerge w:val="restart"/>
                  <w:shd w:val="clear" w:color="auto" w:fill="FFFFFF"/>
                  <w:noWrap w:val="0"/>
                  <w:vAlign w:val="center"/>
                </w:tcPr>
                <w:p w14:paraId="53A439BB">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napToGrid w:val="0"/>
                      <w:sz w:val="21"/>
                      <w:szCs w:val="21"/>
                    </w:rPr>
                    <w:t>选用低噪声设备、合理布局</w:t>
                  </w:r>
                </w:p>
              </w:tc>
              <w:tc>
                <w:tcPr>
                  <w:tcW w:w="1300" w:type="dxa"/>
                  <w:vMerge w:val="restart"/>
                  <w:shd w:val="clear" w:color="auto" w:fill="FFFFFF"/>
                  <w:noWrap w:val="0"/>
                  <w:vAlign w:val="center"/>
                </w:tcPr>
                <w:p w14:paraId="0D90AD20">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lang w:eastAsia="zh-CN"/>
                    </w:rPr>
                    <w:t>2000</w:t>
                  </w:r>
                  <w:r>
                    <w:rPr>
                      <w:rFonts w:hint="eastAsia" w:ascii="宋体" w:hAnsi="宋体" w:eastAsia="宋体" w:cs="宋体"/>
                      <w:sz w:val="21"/>
                      <w:szCs w:val="21"/>
                    </w:rPr>
                    <w:t>h</w:t>
                  </w:r>
                </w:p>
              </w:tc>
            </w:tr>
            <w:tr w14:paraId="545903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82" w:hRule="exact"/>
                <w:jc w:val="center"/>
              </w:trPr>
              <w:tc>
                <w:tcPr>
                  <w:tcW w:w="0" w:type="auto"/>
                  <w:shd w:val="clear" w:color="auto" w:fill="FFFFFF"/>
                  <w:noWrap w:val="0"/>
                  <w:vAlign w:val="center"/>
                </w:tcPr>
                <w:p w14:paraId="3AF8BE72">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2</w:t>
                  </w:r>
                </w:p>
              </w:tc>
              <w:tc>
                <w:tcPr>
                  <w:tcW w:w="1060" w:type="dxa"/>
                  <w:shd w:val="clear" w:color="auto" w:fill="FFFFFF"/>
                  <w:noWrap w:val="0"/>
                  <w:vAlign w:val="center"/>
                </w:tcPr>
                <w:p w14:paraId="4C1BED1E">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泵</w:t>
                  </w:r>
                </w:p>
              </w:tc>
              <w:tc>
                <w:tcPr>
                  <w:tcW w:w="937" w:type="dxa"/>
                  <w:shd w:val="clear" w:color="auto" w:fill="FFFFFF"/>
                  <w:noWrap w:val="0"/>
                  <w:vAlign w:val="center"/>
                </w:tcPr>
                <w:p w14:paraId="3EDB7B44">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24.2</w:t>
                  </w:r>
                </w:p>
              </w:tc>
              <w:tc>
                <w:tcPr>
                  <w:tcW w:w="1087" w:type="dxa"/>
                  <w:shd w:val="clear" w:color="auto" w:fill="FFFFFF"/>
                  <w:noWrap w:val="0"/>
                  <w:vAlign w:val="center"/>
                </w:tcPr>
                <w:p w14:paraId="5370C0DC">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8.4</w:t>
                  </w:r>
                </w:p>
              </w:tc>
              <w:tc>
                <w:tcPr>
                  <w:tcW w:w="850" w:type="dxa"/>
                  <w:shd w:val="clear" w:color="auto" w:fill="FFFFFF"/>
                  <w:noWrap w:val="0"/>
                  <w:vAlign w:val="center"/>
                </w:tcPr>
                <w:p w14:paraId="5BDF6EB0">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1.2</w:t>
                  </w:r>
                </w:p>
              </w:tc>
              <w:tc>
                <w:tcPr>
                  <w:tcW w:w="1881" w:type="dxa"/>
                  <w:shd w:val="clear" w:color="auto" w:fill="FFFFFF"/>
                  <w:noWrap w:val="0"/>
                  <w:vAlign w:val="center"/>
                </w:tcPr>
                <w:p w14:paraId="1CF8C41F">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8</w:t>
                  </w:r>
                  <w:r>
                    <w:rPr>
                      <w:rFonts w:hint="eastAsia" w:ascii="宋体" w:hAnsi="宋体" w:eastAsia="宋体" w:cs="宋体"/>
                      <w:sz w:val="21"/>
                      <w:szCs w:val="21"/>
                    </w:rPr>
                    <w:t>0</w:t>
                  </w:r>
                </w:p>
              </w:tc>
              <w:tc>
                <w:tcPr>
                  <w:tcW w:w="2225" w:type="dxa"/>
                  <w:vMerge w:val="continue"/>
                  <w:shd w:val="clear" w:color="auto" w:fill="FFFFFF"/>
                  <w:noWrap w:val="0"/>
                  <w:vAlign w:val="center"/>
                </w:tcPr>
                <w:p w14:paraId="05102E2B">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c>
                <w:tcPr>
                  <w:tcW w:w="1300" w:type="dxa"/>
                  <w:vMerge w:val="continue"/>
                  <w:shd w:val="clear" w:color="auto" w:fill="FFFFFF"/>
                  <w:noWrap w:val="0"/>
                  <w:vAlign w:val="center"/>
                </w:tcPr>
                <w:p w14:paraId="7AE79A26">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r>
          </w:tbl>
          <w:p w14:paraId="411CEA11">
            <w:pPr>
              <w:pStyle w:val="29"/>
              <w:keepNext w:val="0"/>
              <w:keepLines w:val="0"/>
              <w:suppressLineNumbers w:val="0"/>
              <w:spacing w:before="0" w:beforeAutospacing="0" w:afterAutospacing="0"/>
              <w:ind w:left="0" w:leftChars="0" w:right="0" w:firstLine="0" w:firstLineChars="0"/>
              <w:rPr>
                <w:rFonts w:hint="eastAsia" w:ascii="Times New Roman" w:hAnsi="Times New Roman" w:cs="Times New Roman" w:eastAsiaTheme="minorEastAsia"/>
                <w:b w:val="0"/>
                <w:bCs/>
                <w:sz w:val="21"/>
                <w:szCs w:val="21"/>
                <w:lang w:val="en-US" w:eastAsia="zh-CN"/>
              </w:rPr>
            </w:pPr>
            <w:r>
              <w:rPr>
                <w:rFonts w:hint="eastAsia" w:cs="Times New Roman"/>
                <w:bCs/>
                <w:szCs w:val="21"/>
              </w:rPr>
              <w:t>注：</w:t>
            </w:r>
            <w:r>
              <w:rPr>
                <w:rFonts w:hint="default" w:ascii="Times New Roman" w:hAnsi="Times New Roman" w:cs="Times New Roman" w:eastAsiaTheme="minorEastAsia"/>
                <w:b w:val="0"/>
                <w:bCs/>
                <w:sz w:val="21"/>
                <w:szCs w:val="21"/>
                <w:lang w:val="en-US" w:eastAsia="zh-CN"/>
              </w:rPr>
              <w:t>表中坐标以厂界中心（</w:t>
            </w:r>
            <w:bookmarkStart w:id="175" w:name="PO_6"/>
            <w:r>
              <w:rPr>
                <w:rFonts w:hint="default" w:ascii="Times New Roman" w:hAnsi="Times New Roman" w:cs="Times New Roman" w:eastAsiaTheme="minorEastAsia"/>
                <w:b w:val="0"/>
                <w:bCs/>
                <w:sz w:val="21"/>
                <w:szCs w:val="21"/>
                <w:lang w:val="en-US" w:eastAsia="zh-CN"/>
              </w:rPr>
              <w:t>119.694786,32.186420</w:t>
            </w:r>
            <w:bookmarkEnd w:id="175"/>
            <w:r>
              <w:rPr>
                <w:rFonts w:hint="default" w:ascii="Times New Roman" w:hAnsi="Times New Roman" w:cs="Times New Roman" w:eastAsiaTheme="minorEastAsia"/>
                <w:b w:val="0"/>
                <w:bCs/>
                <w:sz w:val="21"/>
                <w:szCs w:val="21"/>
                <w:lang w:val="en-US" w:eastAsia="zh-CN"/>
              </w:rPr>
              <w:t>）为坐标原点，正东向为X轴正方向，正北向为Y轴正方向</w:t>
            </w:r>
          </w:p>
        </w:tc>
      </w:tr>
    </w:tbl>
    <w:p w14:paraId="1E94040F">
      <w:pPr>
        <w:pStyle w:val="2"/>
        <w:jc w:val="both"/>
        <w:rPr>
          <w:rFonts w:hint="eastAsia"/>
        </w:rPr>
        <w:sectPr>
          <w:pgSz w:w="16838" w:h="11906" w:orient="landscape"/>
          <w:pgMar w:top="1803" w:right="1440" w:bottom="1803" w:left="1440" w:header="851" w:footer="850" w:gutter="0"/>
          <w:pgBorders>
            <w:top w:val="none" w:sz="0" w:space="0"/>
            <w:left w:val="none" w:sz="0" w:space="0"/>
            <w:bottom w:val="none" w:sz="0" w:space="0"/>
            <w:right w:val="none" w:sz="0" w:space="0"/>
          </w:pgBorders>
          <w:cols w:space="720" w:num="1"/>
          <w:docGrid w:linePitch="312" w:charSpace="0"/>
        </w:sectPr>
      </w:pPr>
    </w:p>
    <w:tbl>
      <w:tblPr>
        <w:tblStyle w:val="30"/>
        <w:tblW w:w="8987" w:type="dxa"/>
        <w:tblInd w:w="-257"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687"/>
        <w:gridCol w:w="8300"/>
      </w:tblGrid>
      <w:tr w14:paraId="5E589DB3">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687" w:type="dxa"/>
            <w:noWrap w:val="0"/>
            <w:vAlign w:val="top"/>
          </w:tcPr>
          <w:p w14:paraId="65F98564">
            <w:pPr>
              <w:keepNext w:val="0"/>
              <w:keepLines w:val="0"/>
              <w:suppressLineNumbers w:val="0"/>
              <w:spacing w:before="0" w:beforeAutospacing="0" w:after="0" w:afterAutospacing="0"/>
              <w:ind w:left="0" w:right="0"/>
              <w:rPr>
                <w:rFonts w:hint="eastAsia" w:ascii="Times New Roman" w:hAnsi="Times New Roman" w:cs="Times New Roman"/>
              </w:rPr>
            </w:pPr>
          </w:p>
        </w:tc>
        <w:tc>
          <w:tcPr>
            <w:tcW w:w="8300" w:type="dxa"/>
            <w:noWrap w:val="0"/>
            <w:vAlign w:val="top"/>
          </w:tcPr>
          <w:p w14:paraId="264BC1A2">
            <w:pPr>
              <w:keepNext w:val="0"/>
              <w:keepLines w:val="0"/>
              <w:suppressLineNumbers w:val="0"/>
              <w:adjustRightInd w:val="0"/>
              <w:snapToGrid w:val="0"/>
              <w:spacing w:before="0" w:beforeAutospacing="0" w:after="0" w:afterAutospacing="0"/>
              <w:ind w:left="0" w:right="0"/>
              <w:rPr>
                <w:rFonts w:hint="eastAsia" w:ascii="宋体" w:hAnsi="宋体" w:eastAsia="宋体" w:cs="宋体"/>
                <w:bCs/>
              </w:rPr>
            </w:pPr>
            <w:r>
              <w:rPr>
                <w:rFonts w:hint="eastAsia" w:ascii="宋体" w:hAnsi="宋体" w:eastAsia="宋体" w:cs="宋体"/>
                <w:bCs/>
              </w:rPr>
              <w:t>2、声环境影响分析</w:t>
            </w:r>
          </w:p>
          <w:p w14:paraId="61E1D398">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snapToGrid w:val="0"/>
                <w:kern w:val="0"/>
              </w:rPr>
            </w:pPr>
            <w:r>
              <w:rPr>
                <w:rFonts w:hint="eastAsia" w:ascii="宋体" w:hAnsi="宋体" w:eastAsia="宋体" w:cs="宋体"/>
                <w:snapToGrid w:val="0"/>
                <w:kern w:val="0"/>
              </w:rPr>
              <w:t>本次评价采用多点源、等距离噪声衰减预测模式，并参照最为不利时气象条件等修正值进行计算，噪声从声源传播到受声点，受传播距离、空气吸收、阻挡物的反射与屏蔽等因素的影响，声能逐渐衰减。</w:t>
            </w:r>
          </w:p>
          <w:p w14:paraId="7A8360F5">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snapToGrid w:val="0"/>
                <w:kern w:val="0"/>
              </w:rPr>
            </w:pPr>
            <w:r>
              <w:rPr>
                <w:rFonts w:hint="eastAsia" w:ascii="宋体" w:hAnsi="宋体" w:eastAsia="宋体" w:cs="宋体"/>
                <w:szCs w:val="28"/>
              </w:rPr>
              <w:t>根据工程分析提供的噪声源参数和有关设备的安装位置，采用点声源等距离衰减预测模型，参照气象条件修正值进行计算，并考虑多声源迭加。在室内的噪声源应考虑室内声压级分布和厂房隔声。</w:t>
            </w:r>
            <w:r>
              <w:rPr>
                <w:rFonts w:hint="eastAsia" w:ascii="宋体" w:hAnsi="宋体" w:eastAsia="宋体" w:cs="宋体"/>
                <w:snapToGrid w:val="0"/>
                <w:kern w:val="0"/>
              </w:rPr>
              <w:t>根据《环境影响评价技术导则 声环境》（HJ2.4-2021），计算过程如下：</w:t>
            </w:r>
          </w:p>
          <w:p w14:paraId="4667FEAA">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snapToGrid w:val="0"/>
                <w:kern w:val="0"/>
                <w:szCs w:val="22"/>
              </w:rPr>
            </w:pPr>
            <w:r>
              <w:rPr>
                <w:rFonts w:hint="eastAsia" w:ascii="宋体" w:hAnsi="宋体" w:eastAsia="宋体" w:cs="宋体"/>
                <w:snapToGrid w:val="0"/>
                <w:kern w:val="0"/>
                <w:szCs w:val="22"/>
              </w:rPr>
              <w:t>①室内点声源</w:t>
            </w:r>
            <w:r>
              <w:rPr>
                <w:rFonts w:hint="eastAsia" w:ascii="宋体" w:hAnsi="宋体" w:eastAsia="宋体" w:cs="宋体"/>
                <w:snapToGrid w:val="0"/>
                <w:kern w:val="0"/>
                <w:szCs w:val="22"/>
              </w:rPr>
              <w:tab/>
            </w:r>
          </w:p>
          <w:p w14:paraId="3F2FAB1D">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napToGrid w:val="0"/>
                <w:kern w:val="0"/>
                <w:szCs w:val="22"/>
              </w:rPr>
            </w:pPr>
            <m:oMathPara>
              <m:oMath>
                <m:sSub>
                  <m:sSubPr>
                    <m:ctrlPr>
                      <w:rPr>
                        <w:rFonts w:hint="default" w:ascii="Cambria Math" w:hAnsi="Cambria Math" w:cs="Times New Roman"/>
                        <w:i/>
                        <w:snapToGrid w:val="0"/>
                        <w:color w:val="000000"/>
                        <w:kern w:val="0"/>
                        <w:sz w:val="24"/>
                        <w:szCs w:val="22"/>
                      </w:rPr>
                    </m:ctrlPr>
                  </m:sSubPr>
                  <m:e>
                    <m:r>
                      <m:rPr/>
                      <w:rPr>
                        <w:rFonts w:hint="default" w:ascii="Cambria Math" w:hAnsi="Cambria Math" w:cs="Times New Roman"/>
                        <w:snapToGrid w:val="0"/>
                        <w:color w:val="000000"/>
                        <w:kern w:val="0"/>
                        <w:sz w:val="24"/>
                        <w:szCs w:val="22"/>
                      </w:rPr>
                      <m:t>Lp</m:t>
                    </m:r>
                    <m:ctrlPr>
                      <w:rPr>
                        <w:rFonts w:hint="default" w:ascii="Cambria Math" w:hAnsi="Cambria Math" w:cs="Times New Roman"/>
                        <w:i/>
                        <w:snapToGrid w:val="0"/>
                        <w:color w:val="000000"/>
                        <w:kern w:val="0"/>
                        <w:sz w:val="24"/>
                        <w:szCs w:val="22"/>
                      </w:rPr>
                    </m:ctrlPr>
                  </m:e>
                  <m:sub>
                    <m:r>
                      <m:rPr/>
                      <w:rPr>
                        <w:rFonts w:hint="default" w:ascii="Cambria Math" w:hAnsi="Cambria Math" w:cs="Times New Roman"/>
                        <w:snapToGrid w:val="0"/>
                        <w:color w:val="000000"/>
                        <w:kern w:val="0"/>
                        <w:sz w:val="24"/>
                        <w:szCs w:val="22"/>
                      </w:rPr>
                      <m:t>2</m:t>
                    </m:r>
                    <m:ctrlPr>
                      <w:rPr>
                        <w:rFonts w:hint="default" w:ascii="Cambria Math" w:hAnsi="Cambria Math" w:cs="Times New Roman"/>
                        <w:i/>
                        <w:snapToGrid w:val="0"/>
                        <w:color w:val="000000"/>
                        <w:kern w:val="0"/>
                        <w:sz w:val="24"/>
                        <w:szCs w:val="22"/>
                      </w:rPr>
                    </m:ctrlPr>
                  </m:sub>
                </m:sSub>
                <m:r>
                  <m:rPr/>
                  <w:rPr>
                    <w:rFonts w:hint="default" w:ascii="Cambria Math" w:hAnsi="Cambria Math" w:cs="Times New Roman"/>
                    <w:snapToGrid w:val="0"/>
                    <w:color w:val="000000"/>
                    <w:kern w:val="0"/>
                    <w:sz w:val="24"/>
                    <w:szCs w:val="22"/>
                  </w:rPr>
                  <m:t>=</m:t>
                </m:r>
                <m:sSub>
                  <m:sSubPr>
                    <m:ctrlPr>
                      <w:rPr>
                        <w:rFonts w:hint="default" w:ascii="Cambria Math" w:hAnsi="Cambria Math" w:cs="Times New Roman"/>
                        <w:i/>
                        <w:snapToGrid w:val="0"/>
                        <w:color w:val="000000"/>
                        <w:kern w:val="0"/>
                        <w:sz w:val="24"/>
                        <w:szCs w:val="22"/>
                      </w:rPr>
                    </m:ctrlPr>
                  </m:sSubPr>
                  <m:e>
                    <m:r>
                      <m:rPr/>
                      <w:rPr>
                        <w:rFonts w:hint="default" w:ascii="Cambria Math" w:hAnsi="Cambria Math" w:cs="Times New Roman"/>
                        <w:snapToGrid w:val="0"/>
                        <w:color w:val="000000"/>
                        <w:kern w:val="0"/>
                        <w:sz w:val="24"/>
                        <w:szCs w:val="22"/>
                      </w:rPr>
                      <m:t>Lp</m:t>
                    </m:r>
                    <m:ctrlPr>
                      <w:rPr>
                        <w:rFonts w:hint="default" w:ascii="Cambria Math" w:hAnsi="Cambria Math" w:cs="Times New Roman"/>
                        <w:i/>
                        <w:snapToGrid w:val="0"/>
                        <w:color w:val="000000"/>
                        <w:kern w:val="0"/>
                        <w:sz w:val="24"/>
                        <w:szCs w:val="22"/>
                      </w:rPr>
                    </m:ctrlPr>
                  </m:e>
                  <m:sub>
                    <m:r>
                      <m:rPr/>
                      <w:rPr>
                        <w:rFonts w:hint="default" w:ascii="Cambria Math" w:hAnsi="Cambria Math" w:cs="Times New Roman"/>
                        <w:snapToGrid w:val="0"/>
                        <w:color w:val="000000"/>
                        <w:kern w:val="0"/>
                        <w:sz w:val="24"/>
                        <w:szCs w:val="22"/>
                      </w:rPr>
                      <m:t>1</m:t>
                    </m:r>
                    <m:ctrlPr>
                      <w:rPr>
                        <w:rFonts w:hint="default" w:ascii="Cambria Math" w:hAnsi="Cambria Math" w:cs="Times New Roman"/>
                        <w:i/>
                        <w:snapToGrid w:val="0"/>
                        <w:color w:val="000000"/>
                        <w:kern w:val="0"/>
                        <w:sz w:val="24"/>
                        <w:szCs w:val="22"/>
                      </w:rPr>
                    </m:ctrlPr>
                  </m:sub>
                </m:sSub>
                <m:r>
                  <m:rPr/>
                  <w:rPr>
                    <w:rFonts w:hint="default" w:ascii="Cambria Math" w:hAnsi="Cambria Math" w:cs="Times New Roman"/>
                    <w:snapToGrid w:val="0"/>
                    <w:color w:val="000000"/>
                    <w:kern w:val="0"/>
                    <w:sz w:val="24"/>
                    <w:szCs w:val="22"/>
                  </w:rPr>
                  <m:t>−</m:t>
                </m:r>
                <m:d>
                  <m:dPr>
                    <m:ctrlPr>
                      <w:rPr>
                        <w:rFonts w:hint="default" w:ascii="Cambria Math" w:hAnsi="Cambria Math" w:cs="Times New Roman"/>
                        <w:i/>
                        <w:snapToGrid w:val="0"/>
                        <w:color w:val="000000"/>
                        <w:kern w:val="0"/>
                        <w:sz w:val="24"/>
                        <w:szCs w:val="22"/>
                      </w:rPr>
                    </m:ctrlPr>
                  </m:dPr>
                  <m:e>
                    <m:r>
                      <m:rPr/>
                      <w:rPr>
                        <w:rFonts w:hint="default" w:ascii="Cambria Math" w:hAnsi="Cambria Math" w:cs="Times New Roman"/>
                        <w:snapToGrid w:val="0"/>
                        <w:color w:val="000000"/>
                        <w:kern w:val="0"/>
                        <w:sz w:val="24"/>
                        <w:szCs w:val="22"/>
                      </w:rPr>
                      <m:t>TL+6</m:t>
                    </m:r>
                    <m:ctrlPr>
                      <w:rPr>
                        <w:rFonts w:hint="default" w:ascii="Cambria Math" w:hAnsi="Cambria Math" w:cs="Times New Roman"/>
                        <w:i/>
                        <w:snapToGrid w:val="0"/>
                        <w:color w:val="000000"/>
                        <w:kern w:val="0"/>
                        <w:sz w:val="24"/>
                        <w:szCs w:val="22"/>
                      </w:rPr>
                    </m:ctrlPr>
                  </m:e>
                </m:d>
              </m:oMath>
            </m:oMathPara>
          </w:p>
          <w:p w14:paraId="128C4F8E">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snapToGrid w:val="0"/>
                <w:kern w:val="0"/>
                <w:szCs w:val="22"/>
              </w:rPr>
            </w:pPr>
            <w:r>
              <w:rPr>
                <w:rFonts w:hint="eastAsia" w:ascii="宋体" w:hAnsi="宋体" w:eastAsia="宋体" w:cs="宋体"/>
                <w:snapToGrid w:val="0"/>
                <w:kern w:val="0"/>
                <w:szCs w:val="22"/>
              </w:rPr>
              <w:t>式中：</w:t>
            </w:r>
          </w:p>
          <w:p w14:paraId="1F8B9BD5">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snapToGrid w:val="0"/>
                <w:kern w:val="0"/>
                <w:szCs w:val="22"/>
              </w:rPr>
            </w:pPr>
            <w:r>
              <w:rPr>
                <w:rFonts w:hint="eastAsia" w:ascii="宋体" w:hAnsi="宋体" w:eastAsia="宋体" w:cs="宋体"/>
                <w:snapToGrid w:val="0"/>
                <w:kern w:val="0"/>
                <w:szCs w:val="22"/>
              </w:rPr>
              <w:t>L</w:t>
            </w:r>
            <w:r>
              <w:rPr>
                <w:rFonts w:hint="eastAsia" w:ascii="宋体" w:hAnsi="宋体" w:eastAsia="宋体" w:cs="宋体"/>
                <w:snapToGrid w:val="0"/>
                <w:kern w:val="0"/>
                <w:szCs w:val="22"/>
                <w:vertAlign w:val="subscript"/>
              </w:rPr>
              <w:t>p1</w:t>
            </w:r>
            <w:r>
              <w:rPr>
                <w:rFonts w:hint="eastAsia" w:ascii="宋体" w:hAnsi="宋体" w:eastAsia="宋体" w:cs="宋体"/>
                <w:snapToGrid w:val="0"/>
                <w:kern w:val="0"/>
                <w:szCs w:val="22"/>
              </w:rPr>
              <w:t>——靠近开口处（或窗户）室内某倍频带的声压级或A声级，dB；</w:t>
            </w:r>
          </w:p>
          <w:p w14:paraId="0055CEAC">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snapToGrid w:val="0"/>
                <w:kern w:val="0"/>
                <w:szCs w:val="22"/>
              </w:rPr>
            </w:pPr>
            <w:r>
              <w:rPr>
                <w:rFonts w:hint="eastAsia" w:ascii="宋体" w:hAnsi="宋体" w:eastAsia="宋体" w:cs="宋体"/>
                <w:snapToGrid w:val="0"/>
                <w:kern w:val="0"/>
                <w:szCs w:val="22"/>
              </w:rPr>
              <w:t>L</w:t>
            </w:r>
            <w:r>
              <w:rPr>
                <w:rFonts w:hint="eastAsia" w:ascii="宋体" w:hAnsi="宋体" w:eastAsia="宋体" w:cs="宋体"/>
                <w:snapToGrid w:val="0"/>
                <w:kern w:val="0"/>
                <w:szCs w:val="22"/>
                <w:vertAlign w:val="subscript"/>
              </w:rPr>
              <w:t>p2</w:t>
            </w:r>
            <w:r>
              <w:rPr>
                <w:rFonts w:hint="eastAsia" w:ascii="宋体" w:hAnsi="宋体" w:eastAsia="宋体" w:cs="宋体"/>
                <w:snapToGrid w:val="0"/>
                <w:kern w:val="0"/>
                <w:szCs w:val="22"/>
              </w:rPr>
              <w:t>——靠近开口处（或窗户）室外某倍频带的声压级或A声级，dB；</w:t>
            </w:r>
          </w:p>
          <w:p w14:paraId="04B2505F">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snapToGrid w:val="0"/>
                <w:kern w:val="0"/>
                <w:szCs w:val="22"/>
              </w:rPr>
            </w:pPr>
            <w:r>
              <w:rPr>
                <w:rFonts w:hint="eastAsia" w:ascii="宋体" w:hAnsi="宋体" w:eastAsia="宋体" w:cs="宋体"/>
                <w:snapToGrid w:val="0"/>
                <w:kern w:val="0"/>
                <w:szCs w:val="22"/>
              </w:rPr>
              <w:t>TL——隔墙（或窗户）倍频带或A声级的隔声量，dB。</w:t>
            </w:r>
          </w:p>
          <w:p w14:paraId="6DEDEBEA">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napToGrid w:val="0"/>
                <w:kern w:val="0"/>
                <w:szCs w:val="22"/>
              </w:rPr>
            </w:pPr>
            <m:oMathPara>
              <m:oMath>
                <m:sSub>
                  <m:sSubPr>
                    <m:ctrlPr>
                      <w:rPr>
                        <w:rFonts w:hint="default" w:ascii="Cambria Math" w:hAnsi="Cambria Math" w:cs="Times New Roman"/>
                        <w:i/>
                        <w:snapToGrid w:val="0"/>
                        <w:color w:val="000000"/>
                        <w:kern w:val="0"/>
                        <w:sz w:val="24"/>
                        <w:szCs w:val="22"/>
                      </w:rPr>
                    </m:ctrlPr>
                  </m:sSubPr>
                  <m:e>
                    <m:r>
                      <m:rPr/>
                      <w:rPr>
                        <w:rFonts w:hint="default" w:ascii="Cambria Math" w:hAnsi="Cambria Math" w:cs="Times New Roman"/>
                        <w:snapToGrid w:val="0"/>
                        <w:color w:val="000000"/>
                        <w:kern w:val="0"/>
                        <w:sz w:val="24"/>
                        <w:szCs w:val="22"/>
                      </w:rPr>
                      <m:t>Lp</m:t>
                    </m:r>
                    <m:ctrlPr>
                      <w:rPr>
                        <w:rFonts w:hint="default" w:ascii="Cambria Math" w:hAnsi="Cambria Math" w:cs="Times New Roman"/>
                        <w:i/>
                        <w:snapToGrid w:val="0"/>
                        <w:color w:val="000000"/>
                        <w:kern w:val="0"/>
                        <w:sz w:val="24"/>
                        <w:szCs w:val="22"/>
                      </w:rPr>
                    </m:ctrlPr>
                  </m:e>
                  <m:sub>
                    <m:r>
                      <m:rPr/>
                      <w:rPr>
                        <w:rFonts w:hint="default" w:ascii="Cambria Math" w:hAnsi="Cambria Math" w:cs="Times New Roman"/>
                        <w:snapToGrid w:val="0"/>
                        <w:color w:val="000000"/>
                        <w:kern w:val="0"/>
                        <w:sz w:val="24"/>
                        <w:szCs w:val="22"/>
                      </w:rPr>
                      <m:t>1</m:t>
                    </m:r>
                    <m:ctrlPr>
                      <w:rPr>
                        <w:rFonts w:hint="default" w:ascii="Cambria Math" w:hAnsi="Cambria Math" w:cs="Times New Roman"/>
                        <w:i/>
                        <w:snapToGrid w:val="0"/>
                        <w:color w:val="000000"/>
                        <w:kern w:val="0"/>
                        <w:sz w:val="24"/>
                        <w:szCs w:val="22"/>
                      </w:rPr>
                    </m:ctrlPr>
                  </m:sub>
                </m:sSub>
                <m:r>
                  <m:rPr/>
                  <w:rPr>
                    <w:rFonts w:hint="default" w:ascii="Cambria Math" w:hAnsi="Cambria Math" w:cs="Times New Roman"/>
                    <w:snapToGrid w:val="0"/>
                    <w:color w:val="000000"/>
                    <w:kern w:val="0"/>
                    <w:sz w:val="24"/>
                    <w:szCs w:val="22"/>
                  </w:rPr>
                  <m:t>=Lw+10lg</m:t>
                </m:r>
                <m:d>
                  <m:dPr>
                    <m:ctrlPr>
                      <w:rPr>
                        <w:rFonts w:hint="default" w:ascii="Cambria Math" w:hAnsi="Cambria Math" w:cs="Times New Roman"/>
                        <w:i/>
                        <w:snapToGrid w:val="0"/>
                        <w:color w:val="000000"/>
                        <w:kern w:val="0"/>
                        <w:sz w:val="24"/>
                        <w:szCs w:val="22"/>
                      </w:rPr>
                    </m:ctrlPr>
                  </m:dPr>
                  <m:e>
                    <m:f>
                      <m:fPr>
                        <m:ctrlPr>
                          <w:rPr>
                            <w:rFonts w:hint="default" w:ascii="Cambria Math" w:hAnsi="Cambria Math" w:cs="Times New Roman"/>
                            <w:i/>
                            <w:snapToGrid w:val="0"/>
                            <w:color w:val="000000"/>
                            <w:kern w:val="0"/>
                            <w:sz w:val="24"/>
                            <w:szCs w:val="22"/>
                          </w:rPr>
                        </m:ctrlPr>
                      </m:fPr>
                      <m:num>
                        <m:r>
                          <m:rPr/>
                          <w:rPr>
                            <w:rFonts w:hint="default" w:ascii="Cambria Math" w:hAnsi="Cambria Math" w:cs="Times New Roman"/>
                            <w:snapToGrid w:val="0"/>
                            <w:color w:val="000000"/>
                            <w:kern w:val="0"/>
                            <w:sz w:val="24"/>
                            <w:szCs w:val="22"/>
                          </w:rPr>
                          <m:t>Q</m:t>
                        </m:r>
                        <m:ctrlPr>
                          <w:rPr>
                            <w:rFonts w:hint="default" w:ascii="Cambria Math" w:hAnsi="Cambria Math" w:cs="Times New Roman"/>
                            <w:i/>
                            <w:snapToGrid w:val="0"/>
                            <w:color w:val="000000"/>
                            <w:kern w:val="0"/>
                            <w:sz w:val="24"/>
                            <w:szCs w:val="22"/>
                          </w:rPr>
                        </m:ctrlPr>
                      </m:num>
                      <m:den>
                        <m:sSup>
                          <m:sSupPr>
                            <m:ctrlPr>
                              <w:rPr>
                                <w:rFonts w:hint="default" w:ascii="Cambria Math" w:hAnsi="Cambria Math" w:cs="Times New Roman"/>
                                <w:i/>
                                <w:snapToGrid w:val="0"/>
                                <w:color w:val="000000"/>
                                <w:kern w:val="0"/>
                                <w:sz w:val="24"/>
                                <w:szCs w:val="22"/>
                              </w:rPr>
                            </m:ctrlPr>
                          </m:sSupPr>
                          <m:e>
                            <m:r>
                              <m:rPr/>
                              <w:rPr>
                                <w:rFonts w:hint="default" w:ascii="Cambria Math" w:hAnsi="Cambria Math" w:cs="Times New Roman"/>
                                <w:snapToGrid w:val="0"/>
                                <w:color w:val="000000"/>
                                <w:kern w:val="0"/>
                                <w:sz w:val="24"/>
                                <w:szCs w:val="22"/>
                              </w:rPr>
                              <m:t>4πr</m:t>
                            </m:r>
                            <m:ctrlPr>
                              <w:rPr>
                                <w:rFonts w:hint="default" w:ascii="Cambria Math" w:hAnsi="Cambria Math" w:cs="Times New Roman"/>
                                <w:i/>
                                <w:snapToGrid w:val="0"/>
                                <w:color w:val="000000"/>
                                <w:kern w:val="0"/>
                                <w:sz w:val="24"/>
                                <w:szCs w:val="22"/>
                              </w:rPr>
                            </m:ctrlPr>
                          </m:e>
                          <m:sup>
                            <m:r>
                              <m:rPr/>
                              <w:rPr>
                                <w:rFonts w:hint="default" w:ascii="Cambria Math" w:hAnsi="Cambria Math" w:cs="Times New Roman"/>
                                <w:snapToGrid w:val="0"/>
                                <w:color w:val="000000"/>
                                <w:kern w:val="0"/>
                                <w:sz w:val="24"/>
                                <w:szCs w:val="22"/>
                              </w:rPr>
                              <m:t>2</m:t>
                            </m:r>
                            <m:ctrlPr>
                              <w:rPr>
                                <w:rFonts w:hint="default" w:ascii="Cambria Math" w:hAnsi="Cambria Math" w:cs="Times New Roman"/>
                                <w:i/>
                                <w:snapToGrid w:val="0"/>
                                <w:color w:val="000000"/>
                                <w:kern w:val="0"/>
                                <w:sz w:val="24"/>
                                <w:szCs w:val="22"/>
                              </w:rPr>
                            </m:ctrlPr>
                          </m:sup>
                        </m:sSup>
                        <m:ctrlPr>
                          <w:rPr>
                            <w:rFonts w:hint="default" w:ascii="Cambria Math" w:hAnsi="Cambria Math" w:cs="Times New Roman"/>
                            <w:i/>
                            <w:snapToGrid w:val="0"/>
                            <w:color w:val="000000"/>
                            <w:kern w:val="0"/>
                            <w:sz w:val="24"/>
                            <w:szCs w:val="22"/>
                          </w:rPr>
                        </m:ctrlPr>
                      </m:den>
                    </m:f>
                    <m:r>
                      <m:rPr/>
                      <w:rPr>
                        <w:rFonts w:hint="default" w:ascii="Cambria Math" w:hAnsi="Cambria Math" w:cs="Times New Roman"/>
                        <w:snapToGrid w:val="0"/>
                        <w:color w:val="000000"/>
                        <w:kern w:val="0"/>
                        <w:sz w:val="24"/>
                        <w:szCs w:val="22"/>
                      </w:rPr>
                      <m:t>+</m:t>
                    </m:r>
                    <m:f>
                      <m:fPr>
                        <m:ctrlPr>
                          <w:rPr>
                            <w:rFonts w:hint="default" w:ascii="Cambria Math" w:hAnsi="Cambria Math" w:cs="Times New Roman"/>
                            <w:i/>
                            <w:snapToGrid w:val="0"/>
                            <w:color w:val="000000"/>
                            <w:kern w:val="0"/>
                            <w:sz w:val="24"/>
                            <w:szCs w:val="22"/>
                          </w:rPr>
                        </m:ctrlPr>
                      </m:fPr>
                      <m:num>
                        <m:r>
                          <m:rPr/>
                          <w:rPr>
                            <w:rFonts w:hint="default" w:ascii="Cambria Math" w:hAnsi="Cambria Math" w:cs="Times New Roman"/>
                            <w:snapToGrid w:val="0"/>
                            <w:color w:val="000000"/>
                            <w:kern w:val="0"/>
                            <w:sz w:val="24"/>
                            <w:szCs w:val="22"/>
                          </w:rPr>
                          <m:t>4</m:t>
                        </m:r>
                        <m:ctrlPr>
                          <w:rPr>
                            <w:rFonts w:hint="default" w:ascii="Cambria Math" w:hAnsi="Cambria Math" w:cs="Times New Roman"/>
                            <w:i/>
                            <w:snapToGrid w:val="0"/>
                            <w:color w:val="000000"/>
                            <w:kern w:val="0"/>
                            <w:sz w:val="24"/>
                            <w:szCs w:val="22"/>
                          </w:rPr>
                        </m:ctrlPr>
                      </m:num>
                      <m:den>
                        <m:r>
                          <m:rPr/>
                          <w:rPr>
                            <w:rFonts w:hint="default" w:ascii="Cambria Math" w:hAnsi="Cambria Math" w:cs="Times New Roman"/>
                            <w:snapToGrid w:val="0"/>
                            <w:color w:val="000000"/>
                            <w:kern w:val="0"/>
                            <w:sz w:val="24"/>
                            <w:szCs w:val="22"/>
                          </w:rPr>
                          <m:t>R</m:t>
                        </m:r>
                        <m:ctrlPr>
                          <w:rPr>
                            <w:rFonts w:hint="default" w:ascii="Cambria Math" w:hAnsi="Cambria Math" w:cs="Times New Roman"/>
                            <w:i/>
                            <w:snapToGrid w:val="0"/>
                            <w:color w:val="000000"/>
                            <w:kern w:val="0"/>
                            <w:sz w:val="24"/>
                            <w:szCs w:val="22"/>
                          </w:rPr>
                        </m:ctrlPr>
                      </m:den>
                    </m:f>
                    <m:ctrlPr>
                      <w:rPr>
                        <w:rFonts w:hint="default" w:ascii="Cambria Math" w:hAnsi="Cambria Math" w:cs="Times New Roman"/>
                        <w:i/>
                        <w:snapToGrid w:val="0"/>
                        <w:color w:val="000000"/>
                        <w:kern w:val="0"/>
                        <w:sz w:val="24"/>
                        <w:szCs w:val="22"/>
                      </w:rPr>
                    </m:ctrlPr>
                  </m:e>
                </m:d>
              </m:oMath>
            </m:oMathPara>
          </w:p>
          <w:p w14:paraId="27758847">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snapToGrid w:val="0"/>
                <w:kern w:val="0"/>
                <w:szCs w:val="22"/>
              </w:rPr>
            </w:pPr>
            <w:r>
              <w:rPr>
                <w:rFonts w:hint="eastAsia" w:ascii="宋体" w:hAnsi="宋体" w:eastAsia="宋体" w:cs="宋体"/>
                <w:snapToGrid w:val="0"/>
                <w:kern w:val="0"/>
                <w:szCs w:val="22"/>
              </w:rPr>
              <w:t>式中：</w:t>
            </w:r>
          </w:p>
          <w:p w14:paraId="0D6BBFF9">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snapToGrid w:val="0"/>
                <w:kern w:val="0"/>
                <w:szCs w:val="22"/>
              </w:rPr>
            </w:pPr>
            <w:r>
              <w:rPr>
                <w:rFonts w:hint="eastAsia" w:ascii="宋体" w:hAnsi="宋体" w:eastAsia="宋体" w:cs="宋体"/>
                <w:snapToGrid w:val="0"/>
                <w:kern w:val="0"/>
                <w:szCs w:val="22"/>
              </w:rPr>
              <w:t>L</w:t>
            </w:r>
            <w:r>
              <w:rPr>
                <w:rFonts w:hint="eastAsia" w:ascii="宋体" w:hAnsi="宋体" w:eastAsia="宋体" w:cs="宋体"/>
                <w:snapToGrid w:val="0"/>
                <w:kern w:val="0"/>
                <w:szCs w:val="22"/>
                <w:vertAlign w:val="subscript"/>
              </w:rPr>
              <w:t>p1</w:t>
            </w:r>
            <w:r>
              <w:rPr>
                <w:rFonts w:hint="eastAsia" w:ascii="宋体" w:hAnsi="宋体" w:eastAsia="宋体" w:cs="宋体"/>
                <w:snapToGrid w:val="0"/>
                <w:kern w:val="0"/>
                <w:szCs w:val="22"/>
              </w:rPr>
              <w:t>——靠近开口处（或窗户）室内某倍频带的声压级或A声级，dB；</w:t>
            </w:r>
          </w:p>
          <w:p w14:paraId="60518E8C">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snapToGrid w:val="0"/>
                <w:kern w:val="0"/>
                <w:szCs w:val="22"/>
              </w:rPr>
            </w:pPr>
            <w:r>
              <w:rPr>
                <w:rFonts w:hint="eastAsia" w:ascii="宋体" w:hAnsi="宋体" w:eastAsia="宋体" w:cs="宋体"/>
                <w:snapToGrid w:val="0"/>
                <w:kern w:val="0"/>
                <w:szCs w:val="22"/>
              </w:rPr>
              <w:t>L</w:t>
            </w:r>
            <w:r>
              <w:rPr>
                <w:rFonts w:hint="eastAsia" w:ascii="宋体" w:hAnsi="宋体" w:eastAsia="宋体" w:cs="宋体"/>
                <w:snapToGrid w:val="0"/>
                <w:kern w:val="0"/>
                <w:szCs w:val="22"/>
                <w:vertAlign w:val="subscript"/>
              </w:rPr>
              <w:t>w</w:t>
            </w:r>
            <w:r>
              <w:rPr>
                <w:rFonts w:hint="eastAsia" w:ascii="宋体" w:hAnsi="宋体" w:eastAsia="宋体" w:cs="宋体"/>
                <w:snapToGrid w:val="0"/>
                <w:kern w:val="0"/>
                <w:szCs w:val="22"/>
              </w:rPr>
              <w:t>——点声源声功率级（A计权或倍频带），dB；</w:t>
            </w:r>
          </w:p>
          <w:p w14:paraId="0A959FEF">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snapToGrid w:val="0"/>
                <w:kern w:val="0"/>
                <w:szCs w:val="22"/>
              </w:rPr>
            </w:pPr>
            <w:r>
              <w:rPr>
                <w:rFonts w:hint="eastAsia" w:ascii="宋体" w:hAnsi="宋体" w:eastAsia="宋体" w:cs="宋体"/>
                <w:snapToGrid w:val="0"/>
                <w:kern w:val="0"/>
                <w:szCs w:val="22"/>
              </w:rPr>
              <w:t>Q——指向性因数；通常对无指向性声源，当声源放在房间中心时，Q=1；当放在一面墙的中心时，Q=2；当放在两面墙夹角处时，Q=4；当放在三面墙夹角处时,Q=8；本项目Q=1；</w:t>
            </w:r>
          </w:p>
          <w:p w14:paraId="03382DCE">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snapToGrid w:val="0"/>
                <w:kern w:val="0"/>
                <w:szCs w:val="22"/>
              </w:rPr>
            </w:pPr>
            <w:r>
              <w:rPr>
                <w:rFonts w:hint="eastAsia" w:ascii="宋体" w:hAnsi="宋体" w:eastAsia="宋体" w:cs="宋体"/>
                <w:snapToGrid w:val="0"/>
                <w:kern w:val="0"/>
                <w:szCs w:val="22"/>
              </w:rPr>
              <w:t>R——房间常数；</w:t>
            </w:r>
            <m:oMath>
              <m:r>
                <m:rPr/>
                <w:rPr>
                  <w:rFonts w:hint="default" w:ascii="Cambria Math" w:hAnsi="Cambria Math" w:cs="Times New Roman"/>
                  <w:snapToGrid w:val="0"/>
                  <w:color w:val="000000"/>
                  <w:kern w:val="0"/>
                  <w:sz w:val="24"/>
                  <w:szCs w:val="22"/>
                </w:rPr>
                <m:t>R</m:t>
              </m:r>
              <m:r>
                <m:rPr/>
                <w:rPr>
                  <w:rFonts w:hint="eastAsia" w:ascii="Cambria Math" w:hAnsi="Cambria Math" w:cs="Times New Roman"/>
                  <w:snapToGrid w:val="0"/>
                  <w:color w:val="000000"/>
                  <w:kern w:val="0"/>
                  <w:sz w:val="24"/>
                  <w:szCs w:val="22"/>
                </w:rPr>
                <m:t>=</m:t>
              </m:r>
              <m:sSub>
                <m:sSubPr>
                  <m:ctrlPr>
                    <w:rPr>
                      <w:rFonts w:hint="default" w:ascii="Cambria Math" w:hAnsi="Cambria Math" w:cs="Times New Roman"/>
                      <w:i/>
                      <w:snapToGrid w:val="0"/>
                      <w:color w:val="000000"/>
                      <w:kern w:val="0"/>
                      <w:sz w:val="24"/>
                      <w:szCs w:val="22"/>
                    </w:rPr>
                  </m:ctrlPr>
                </m:sSubPr>
                <m:e>
                  <m:r>
                    <m:rPr/>
                    <w:rPr>
                      <w:rFonts w:hint="default" w:ascii="Cambria Math" w:hAnsi="Cambria Math" w:cs="Times New Roman"/>
                      <w:snapToGrid w:val="0"/>
                      <w:color w:val="000000"/>
                      <w:kern w:val="0"/>
                      <w:sz w:val="24"/>
                      <w:szCs w:val="22"/>
                    </w:rPr>
                    <m:t>S</m:t>
                  </m:r>
                  <m:ctrlPr>
                    <w:rPr>
                      <w:rFonts w:hint="default" w:ascii="Cambria Math" w:hAnsi="Cambria Math" w:cs="Times New Roman"/>
                      <w:i/>
                      <w:snapToGrid w:val="0"/>
                      <w:color w:val="000000"/>
                      <w:kern w:val="0"/>
                      <w:sz w:val="24"/>
                      <w:szCs w:val="22"/>
                    </w:rPr>
                  </m:ctrlPr>
                </m:e>
                <m:sub>
                  <m:r>
                    <m:rPr/>
                    <w:rPr>
                      <w:rFonts w:hint="default" w:ascii="Cambria Math" w:hAnsi="Cambria Math" w:cs="Times New Roman"/>
                      <w:snapToGrid w:val="0"/>
                      <w:color w:val="000000"/>
                      <w:kern w:val="0"/>
                      <w:sz w:val="24"/>
                      <w:szCs w:val="22"/>
                    </w:rPr>
                    <m:t>α</m:t>
                  </m:r>
                  <m:ctrlPr>
                    <w:rPr>
                      <w:rFonts w:hint="default" w:ascii="Cambria Math" w:hAnsi="Cambria Math" w:cs="Times New Roman"/>
                      <w:i/>
                      <w:snapToGrid w:val="0"/>
                      <w:color w:val="000000"/>
                      <w:kern w:val="0"/>
                      <w:sz w:val="24"/>
                      <w:szCs w:val="22"/>
                    </w:rPr>
                  </m:ctrlPr>
                </m:sub>
              </m:sSub>
              <m:r>
                <m:rPr/>
                <w:rPr>
                  <w:rFonts w:hint="default" w:ascii="Cambria Math" w:hAnsi="Cambria Math" w:cs="Times New Roman"/>
                  <w:snapToGrid w:val="0"/>
                  <w:color w:val="000000"/>
                  <w:kern w:val="0"/>
                  <w:sz w:val="24"/>
                  <w:szCs w:val="22"/>
                </w:rPr>
                <m:t>/</m:t>
              </m:r>
              <m:d>
                <m:dPr>
                  <m:ctrlPr>
                    <w:rPr>
                      <w:rFonts w:hint="default" w:ascii="Cambria Math" w:hAnsi="Cambria Math" w:cs="Times New Roman"/>
                      <w:i/>
                      <w:snapToGrid w:val="0"/>
                      <w:color w:val="000000"/>
                      <w:kern w:val="0"/>
                      <w:sz w:val="24"/>
                      <w:szCs w:val="22"/>
                    </w:rPr>
                  </m:ctrlPr>
                </m:dPr>
                <m:e>
                  <m:r>
                    <m:rPr/>
                    <w:rPr>
                      <w:rFonts w:hint="default" w:ascii="Cambria Math" w:hAnsi="Cambria Math" w:cs="Times New Roman"/>
                      <w:snapToGrid w:val="0"/>
                      <w:color w:val="000000"/>
                      <w:kern w:val="0"/>
                      <w:sz w:val="24"/>
                      <w:szCs w:val="22"/>
                    </w:rPr>
                    <m:t>1−α</m:t>
                  </m:r>
                  <m:ctrlPr>
                    <w:rPr>
                      <w:rFonts w:hint="default" w:ascii="Cambria Math" w:hAnsi="Cambria Math" w:cs="Times New Roman"/>
                      <w:i/>
                      <w:snapToGrid w:val="0"/>
                      <w:color w:val="000000"/>
                      <w:kern w:val="0"/>
                      <w:sz w:val="24"/>
                      <w:szCs w:val="22"/>
                    </w:rPr>
                  </m:ctrlPr>
                </m:e>
              </m:d>
            </m:oMath>
            <w:r>
              <w:rPr>
                <w:rFonts w:hint="eastAsia" w:ascii="宋体" w:hAnsi="宋体" w:eastAsia="宋体" w:cs="宋体"/>
                <w:snapToGrid w:val="0"/>
                <w:kern w:val="0"/>
                <w:szCs w:val="22"/>
              </w:rPr>
              <w:t>，S为房间内表面面积，m</w:t>
            </w:r>
            <w:r>
              <w:rPr>
                <w:rFonts w:hint="eastAsia" w:ascii="宋体" w:hAnsi="宋体" w:eastAsia="宋体" w:cs="宋体"/>
                <w:snapToGrid w:val="0"/>
                <w:kern w:val="0"/>
                <w:szCs w:val="22"/>
                <w:vertAlign w:val="superscript"/>
              </w:rPr>
              <w:t>2</w:t>
            </w:r>
            <w:r>
              <w:rPr>
                <w:rFonts w:hint="eastAsia" w:ascii="宋体" w:hAnsi="宋体" w:eastAsia="宋体" w:cs="宋体"/>
                <w:snapToGrid w:val="0"/>
                <w:kern w:val="0"/>
                <w:szCs w:val="22"/>
              </w:rPr>
              <w:t>；α为平均吸声系数；</w:t>
            </w:r>
          </w:p>
          <w:p w14:paraId="5FBA4270">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snapToGrid w:val="0"/>
                <w:kern w:val="0"/>
                <w:szCs w:val="22"/>
              </w:rPr>
            </w:pPr>
            <w:r>
              <w:rPr>
                <w:rFonts w:hint="eastAsia" w:ascii="宋体" w:hAnsi="宋体" w:eastAsia="宋体" w:cs="宋体"/>
                <w:snapToGrid w:val="0"/>
                <w:kern w:val="0"/>
                <w:szCs w:val="22"/>
              </w:rPr>
              <w:t>r——声源到靠近围护结构某点处的距离，m。</w:t>
            </w:r>
          </w:p>
          <w:p w14:paraId="78056507">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snapToGrid w:val="0"/>
                <w:kern w:val="0"/>
                <w:szCs w:val="22"/>
              </w:rPr>
            </w:pPr>
            <w:r>
              <w:rPr>
                <w:rFonts w:hint="eastAsia" w:ascii="宋体" w:hAnsi="宋体" w:eastAsia="宋体" w:cs="宋体"/>
                <w:snapToGrid w:val="0"/>
                <w:kern w:val="0"/>
                <w:szCs w:val="22"/>
              </w:rPr>
              <w:t>所有室内声源在围护结构处产生的i倍频带叠加声压级：</w:t>
            </w:r>
          </w:p>
          <w:p w14:paraId="2B5E2860">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napToGrid w:val="0"/>
                <w:kern w:val="0"/>
                <w:szCs w:val="22"/>
              </w:rPr>
            </w:pPr>
            <m:oMathPara>
              <m:oMath>
                <m:sSub>
                  <m:sSubPr>
                    <m:ctrlPr>
                      <w:rPr>
                        <w:rFonts w:hint="default" w:ascii="Cambria Math" w:hAnsi="Cambria Math" w:cs="Times New Roman"/>
                        <w:i/>
                        <w:snapToGrid w:val="0"/>
                        <w:color w:val="000000"/>
                        <w:kern w:val="0"/>
                        <w:sz w:val="24"/>
                        <w:szCs w:val="22"/>
                      </w:rPr>
                    </m:ctrlPr>
                  </m:sSubPr>
                  <m:e>
                    <m:r>
                      <m:rPr/>
                      <w:rPr>
                        <w:rFonts w:hint="default" w:ascii="Cambria Math" w:hAnsi="Cambria Math" w:cs="Times New Roman"/>
                        <w:snapToGrid w:val="0"/>
                        <w:color w:val="000000"/>
                        <w:kern w:val="0"/>
                        <w:sz w:val="24"/>
                        <w:szCs w:val="22"/>
                      </w:rPr>
                      <m:t>L</m:t>
                    </m:r>
                    <m:ctrlPr>
                      <w:rPr>
                        <w:rFonts w:hint="default" w:ascii="Cambria Math" w:hAnsi="Cambria Math" w:cs="Times New Roman"/>
                        <w:i/>
                        <w:snapToGrid w:val="0"/>
                        <w:color w:val="000000"/>
                        <w:kern w:val="0"/>
                        <w:sz w:val="24"/>
                        <w:szCs w:val="22"/>
                      </w:rPr>
                    </m:ctrlPr>
                  </m:e>
                  <m:sub>
                    <m:r>
                      <m:rPr/>
                      <w:rPr>
                        <w:rFonts w:hint="eastAsia" w:ascii="Cambria Math" w:hAnsi="Cambria Math" w:cs="Times New Roman"/>
                        <w:snapToGrid w:val="0"/>
                        <w:color w:val="000000"/>
                        <w:kern w:val="0"/>
                        <w:sz w:val="24"/>
                        <w:szCs w:val="22"/>
                      </w:rPr>
                      <m:t>p</m:t>
                    </m:r>
                    <m:r>
                      <m:rPr/>
                      <w:rPr>
                        <w:rFonts w:hint="default" w:ascii="Cambria Math" w:hAnsi="Cambria Math" w:cs="Times New Roman"/>
                        <w:snapToGrid w:val="0"/>
                        <w:color w:val="000000"/>
                        <w:kern w:val="0"/>
                        <w:sz w:val="24"/>
                        <w:szCs w:val="22"/>
                      </w:rPr>
                      <m:t>1i</m:t>
                    </m:r>
                    <m:ctrlPr>
                      <w:rPr>
                        <w:rFonts w:hint="default" w:ascii="Cambria Math" w:hAnsi="Cambria Math" w:cs="Times New Roman"/>
                        <w:i/>
                        <w:snapToGrid w:val="0"/>
                        <w:color w:val="000000"/>
                        <w:kern w:val="0"/>
                        <w:sz w:val="24"/>
                        <w:szCs w:val="22"/>
                      </w:rPr>
                    </m:ctrlPr>
                  </m:sub>
                </m:sSub>
                <m:d>
                  <m:dPr>
                    <m:ctrlPr>
                      <w:rPr>
                        <w:rFonts w:hint="default" w:ascii="Cambria Math" w:hAnsi="Cambria Math" w:cs="Times New Roman"/>
                        <w:i/>
                        <w:snapToGrid w:val="0"/>
                        <w:color w:val="000000"/>
                        <w:kern w:val="0"/>
                        <w:sz w:val="24"/>
                        <w:szCs w:val="22"/>
                      </w:rPr>
                    </m:ctrlPr>
                  </m:dPr>
                  <m:e>
                    <m:r>
                      <m:rPr/>
                      <w:rPr>
                        <w:rFonts w:hint="default" w:ascii="Cambria Math" w:hAnsi="Cambria Math" w:cs="Times New Roman"/>
                        <w:snapToGrid w:val="0"/>
                        <w:color w:val="000000"/>
                        <w:kern w:val="0"/>
                        <w:sz w:val="24"/>
                        <w:szCs w:val="22"/>
                      </w:rPr>
                      <m:t>T</m:t>
                    </m:r>
                    <m:ctrlPr>
                      <w:rPr>
                        <w:rFonts w:hint="default" w:ascii="Cambria Math" w:hAnsi="Cambria Math" w:cs="Times New Roman"/>
                        <w:i/>
                        <w:snapToGrid w:val="0"/>
                        <w:color w:val="000000"/>
                        <w:kern w:val="0"/>
                        <w:sz w:val="24"/>
                        <w:szCs w:val="22"/>
                      </w:rPr>
                    </m:ctrlPr>
                  </m:e>
                </m:d>
                <m:r>
                  <m:rPr/>
                  <w:rPr>
                    <w:rFonts w:hint="default" w:ascii="Cambria Math" w:hAnsi="Cambria Math" w:cs="Times New Roman"/>
                    <w:snapToGrid w:val="0"/>
                    <w:color w:val="000000"/>
                    <w:kern w:val="0"/>
                    <w:sz w:val="24"/>
                    <w:szCs w:val="22"/>
                  </w:rPr>
                  <m:t>=10lg</m:t>
                </m:r>
                <m:d>
                  <m:dPr>
                    <m:ctrlPr>
                      <w:rPr>
                        <w:rFonts w:hint="default" w:ascii="Cambria Math" w:hAnsi="Cambria Math" w:cs="Times New Roman"/>
                        <w:i/>
                        <w:snapToGrid w:val="0"/>
                        <w:color w:val="000000"/>
                        <w:kern w:val="0"/>
                        <w:sz w:val="24"/>
                        <w:szCs w:val="22"/>
                      </w:rPr>
                    </m:ctrlPr>
                  </m:dPr>
                  <m:e>
                    <m:nary>
                      <m:naryPr>
                        <m:chr m:val="∑"/>
                        <m:limLoc m:val="undOvr"/>
                        <m:ctrlPr>
                          <w:rPr>
                            <w:rFonts w:hint="default" w:ascii="Cambria Math" w:hAnsi="Cambria Math" w:cs="Times New Roman"/>
                            <w:i/>
                            <w:snapToGrid w:val="0"/>
                            <w:color w:val="000000"/>
                            <w:kern w:val="0"/>
                            <w:sz w:val="24"/>
                            <w:szCs w:val="22"/>
                          </w:rPr>
                        </m:ctrlPr>
                      </m:naryPr>
                      <m:sub>
                        <m:r>
                          <m:rPr/>
                          <w:rPr>
                            <w:rFonts w:hint="default" w:ascii="Cambria Math" w:hAnsi="Cambria Math" w:cs="Times New Roman"/>
                            <w:snapToGrid w:val="0"/>
                            <w:color w:val="000000"/>
                            <w:kern w:val="0"/>
                            <w:sz w:val="24"/>
                            <w:szCs w:val="22"/>
                          </w:rPr>
                          <m:t>j=1</m:t>
                        </m:r>
                        <m:ctrlPr>
                          <w:rPr>
                            <w:rFonts w:hint="default" w:ascii="Cambria Math" w:hAnsi="Cambria Math" w:cs="Times New Roman"/>
                            <w:i/>
                            <w:snapToGrid w:val="0"/>
                            <w:color w:val="000000"/>
                            <w:kern w:val="0"/>
                            <w:sz w:val="24"/>
                            <w:szCs w:val="22"/>
                          </w:rPr>
                        </m:ctrlPr>
                      </m:sub>
                      <m:sup>
                        <m:r>
                          <m:rPr/>
                          <w:rPr>
                            <w:rFonts w:hint="default" w:ascii="Cambria Math" w:hAnsi="Cambria Math" w:cs="Times New Roman"/>
                            <w:snapToGrid w:val="0"/>
                            <w:color w:val="000000"/>
                            <w:kern w:val="0"/>
                            <w:sz w:val="24"/>
                            <w:szCs w:val="22"/>
                          </w:rPr>
                          <m:t>N</m:t>
                        </m:r>
                        <m:ctrlPr>
                          <w:rPr>
                            <w:rFonts w:hint="default" w:ascii="Cambria Math" w:hAnsi="Cambria Math" w:cs="Times New Roman"/>
                            <w:i/>
                            <w:snapToGrid w:val="0"/>
                            <w:color w:val="000000"/>
                            <w:kern w:val="0"/>
                            <w:sz w:val="24"/>
                            <w:szCs w:val="22"/>
                          </w:rPr>
                        </m:ctrlPr>
                      </m:sup>
                      <m:e>
                        <m:sSup>
                          <m:sSupPr>
                            <m:ctrlPr>
                              <w:rPr>
                                <w:rFonts w:hint="default" w:ascii="Cambria Math" w:hAnsi="Cambria Math" w:cs="Times New Roman"/>
                                <w:i/>
                                <w:snapToGrid w:val="0"/>
                                <w:color w:val="000000"/>
                                <w:kern w:val="0"/>
                                <w:sz w:val="24"/>
                                <w:szCs w:val="22"/>
                              </w:rPr>
                            </m:ctrlPr>
                          </m:sSupPr>
                          <m:e>
                            <m:r>
                              <m:rPr/>
                              <w:rPr>
                                <w:rFonts w:hint="default" w:ascii="Cambria Math" w:hAnsi="Cambria Math" w:cs="Times New Roman"/>
                                <w:snapToGrid w:val="0"/>
                                <w:color w:val="000000"/>
                                <w:kern w:val="0"/>
                                <w:sz w:val="24"/>
                                <w:szCs w:val="22"/>
                              </w:rPr>
                              <m:t>10</m:t>
                            </m:r>
                            <m:ctrlPr>
                              <w:rPr>
                                <w:rFonts w:hint="default" w:ascii="Cambria Math" w:hAnsi="Cambria Math" w:cs="Times New Roman"/>
                                <w:i/>
                                <w:snapToGrid w:val="0"/>
                                <w:color w:val="000000"/>
                                <w:kern w:val="0"/>
                                <w:sz w:val="24"/>
                                <w:szCs w:val="22"/>
                              </w:rPr>
                            </m:ctrlPr>
                          </m:e>
                          <m:sup>
                            <m:r>
                              <m:rPr/>
                              <w:rPr>
                                <w:rFonts w:hint="default" w:ascii="Cambria Math" w:hAnsi="Cambria Math" w:cs="Times New Roman"/>
                                <w:snapToGrid w:val="0"/>
                                <w:color w:val="000000"/>
                                <w:kern w:val="0"/>
                                <w:sz w:val="24"/>
                                <w:szCs w:val="22"/>
                              </w:rPr>
                              <m:t>0.1</m:t>
                            </m:r>
                            <m:sSub>
                              <m:sSubPr>
                                <m:ctrlPr>
                                  <w:rPr>
                                    <w:rFonts w:hint="default" w:ascii="Cambria Math" w:hAnsi="Cambria Math" w:cs="Times New Roman"/>
                                    <w:i/>
                                    <w:snapToGrid w:val="0"/>
                                    <w:color w:val="000000"/>
                                    <w:kern w:val="0"/>
                                    <w:sz w:val="24"/>
                                    <w:szCs w:val="22"/>
                                  </w:rPr>
                                </m:ctrlPr>
                              </m:sSubPr>
                              <m:e>
                                <m:r>
                                  <m:rPr/>
                                  <w:rPr>
                                    <w:rFonts w:hint="default" w:ascii="Cambria Math" w:hAnsi="Cambria Math" w:cs="Times New Roman"/>
                                    <w:snapToGrid w:val="0"/>
                                    <w:color w:val="000000"/>
                                    <w:kern w:val="0"/>
                                    <w:sz w:val="24"/>
                                    <w:szCs w:val="22"/>
                                  </w:rPr>
                                  <m:t>L</m:t>
                                </m:r>
                                <m:ctrlPr>
                                  <w:rPr>
                                    <w:rFonts w:hint="default" w:ascii="Cambria Math" w:hAnsi="Cambria Math" w:cs="Times New Roman"/>
                                    <w:i/>
                                    <w:snapToGrid w:val="0"/>
                                    <w:color w:val="000000"/>
                                    <w:kern w:val="0"/>
                                    <w:sz w:val="24"/>
                                    <w:szCs w:val="22"/>
                                  </w:rPr>
                                </m:ctrlPr>
                              </m:e>
                              <m:sub>
                                <m:r>
                                  <m:rPr/>
                                  <w:rPr>
                                    <w:rFonts w:hint="default" w:ascii="Cambria Math" w:hAnsi="Cambria Math" w:cs="Times New Roman"/>
                                    <w:snapToGrid w:val="0"/>
                                    <w:color w:val="000000"/>
                                    <w:kern w:val="0"/>
                                    <w:sz w:val="24"/>
                                    <w:szCs w:val="22"/>
                                  </w:rPr>
                                  <m:t>p1ij</m:t>
                                </m:r>
                                <m:ctrlPr>
                                  <w:rPr>
                                    <w:rFonts w:hint="default" w:ascii="Cambria Math" w:hAnsi="Cambria Math" w:cs="Times New Roman"/>
                                    <w:i/>
                                    <w:snapToGrid w:val="0"/>
                                    <w:color w:val="000000"/>
                                    <w:kern w:val="0"/>
                                    <w:sz w:val="24"/>
                                    <w:szCs w:val="22"/>
                                  </w:rPr>
                                </m:ctrlPr>
                              </m:sub>
                            </m:sSub>
                            <m:ctrlPr>
                              <w:rPr>
                                <w:rFonts w:hint="default" w:ascii="Cambria Math" w:hAnsi="Cambria Math" w:cs="Times New Roman"/>
                                <w:i/>
                                <w:snapToGrid w:val="0"/>
                                <w:color w:val="000000"/>
                                <w:kern w:val="0"/>
                                <w:sz w:val="24"/>
                                <w:szCs w:val="22"/>
                              </w:rPr>
                            </m:ctrlPr>
                          </m:sup>
                        </m:sSup>
                        <m:ctrlPr>
                          <w:rPr>
                            <w:rFonts w:hint="default" w:ascii="Cambria Math" w:hAnsi="Cambria Math" w:cs="Times New Roman"/>
                            <w:i/>
                            <w:snapToGrid w:val="0"/>
                            <w:color w:val="000000"/>
                            <w:kern w:val="0"/>
                            <w:sz w:val="24"/>
                            <w:szCs w:val="22"/>
                          </w:rPr>
                        </m:ctrlPr>
                      </m:e>
                    </m:nary>
                    <m:ctrlPr>
                      <w:rPr>
                        <w:rFonts w:hint="default" w:ascii="Cambria Math" w:hAnsi="Cambria Math" w:cs="Times New Roman"/>
                        <w:i/>
                        <w:snapToGrid w:val="0"/>
                        <w:color w:val="000000"/>
                        <w:kern w:val="0"/>
                        <w:sz w:val="24"/>
                        <w:szCs w:val="22"/>
                      </w:rPr>
                    </m:ctrlPr>
                  </m:e>
                </m:d>
              </m:oMath>
            </m:oMathPara>
          </w:p>
          <w:p w14:paraId="29A0F4CE">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snapToGrid w:val="0"/>
                <w:kern w:val="0"/>
                <w:szCs w:val="22"/>
              </w:rPr>
            </w:pPr>
            <w:r>
              <w:rPr>
                <w:rFonts w:hint="eastAsia" w:ascii="宋体" w:hAnsi="宋体" w:eastAsia="宋体" w:cs="宋体"/>
                <w:snapToGrid w:val="0"/>
                <w:kern w:val="0"/>
                <w:szCs w:val="22"/>
              </w:rPr>
              <w:t>式中：</w:t>
            </w:r>
          </w:p>
          <w:p w14:paraId="3C3F7C19">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snapToGrid w:val="0"/>
                <w:kern w:val="0"/>
                <w:szCs w:val="22"/>
              </w:rPr>
            </w:pPr>
            <w:r>
              <w:rPr>
                <w:rFonts w:hint="eastAsia" w:ascii="宋体" w:hAnsi="宋体" w:eastAsia="宋体" w:cs="宋体"/>
                <w:snapToGrid w:val="0"/>
                <w:kern w:val="0"/>
                <w:szCs w:val="22"/>
              </w:rPr>
              <w:t>L</w:t>
            </w:r>
            <w:r>
              <w:rPr>
                <w:rFonts w:hint="eastAsia" w:ascii="宋体" w:hAnsi="宋体" w:eastAsia="宋体" w:cs="宋体"/>
                <w:snapToGrid w:val="0"/>
                <w:kern w:val="0"/>
                <w:szCs w:val="22"/>
                <w:vertAlign w:val="subscript"/>
              </w:rPr>
              <w:t>p1i</w:t>
            </w:r>
            <w:r>
              <w:rPr>
                <w:rFonts w:hint="eastAsia" w:ascii="宋体" w:hAnsi="宋体" w:eastAsia="宋体" w:cs="宋体"/>
                <w:snapToGrid w:val="0"/>
                <w:kern w:val="0"/>
                <w:szCs w:val="22"/>
              </w:rPr>
              <w:t>(T)——靠近围护结构处室内N个声源i倍频带的叠加声压级，dB；</w:t>
            </w:r>
          </w:p>
          <w:p w14:paraId="59B40D76">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snapToGrid w:val="0"/>
                <w:kern w:val="0"/>
                <w:szCs w:val="22"/>
              </w:rPr>
            </w:pPr>
            <w:r>
              <w:rPr>
                <w:rFonts w:hint="eastAsia" w:ascii="宋体" w:hAnsi="宋体" w:eastAsia="宋体" w:cs="宋体"/>
                <w:snapToGrid w:val="0"/>
                <w:kern w:val="0"/>
                <w:szCs w:val="22"/>
              </w:rPr>
              <w:t>L</w:t>
            </w:r>
            <w:r>
              <w:rPr>
                <w:rFonts w:hint="eastAsia" w:ascii="宋体" w:hAnsi="宋体" w:eastAsia="宋体" w:cs="宋体"/>
                <w:snapToGrid w:val="0"/>
                <w:kern w:val="0"/>
                <w:szCs w:val="22"/>
                <w:vertAlign w:val="subscript"/>
              </w:rPr>
              <w:t>p1ij</w:t>
            </w:r>
            <w:r>
              <w:rPr>
                <w:rFonts w:hint="eastAsia" w:ascii="宋体" w:hAnsi="宋体" w:eastAsia="宋体" w:cs="宋体"/>
                <w:snapToGrid w:val="0"/>
                <w:kern w:val="0"/>
                <w:szCs w:val="22"/>
              </w:rPr>
              <w:t>——室内j声源i倍频带的声压级，dB；</w:t>
            </w:r>
          </w:p>
          <w:p w14:paraId="779F209A">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snapToGrid w:val="0"/>
                <w:kern w:val="0"/>
                <w:szCs w:val="22"/>
              </w:rPr>
            </w:pPr>
            <w:r>
              <w:rPr>
                <w:rFonts w:hint="eastAsia" w:ascii="宋体" w:hAnsi="宋体" w:eastAsia="宋体" w:cs="宋体"/>
                <w:snapToGrid w:val="0"/>
                <w:kern w:val="0"/>
                <w:szCs w:val="22"/>
              </w:rPr>
              <w:t>N——室内声源总数。</w:t>
            </w:r>
          </w:p>
          <w:p w14:paraId="220FB78C">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snapToGrid w:val="0"/>
                <w:kern w:val="0"/>
                <w:szCs w:val="22"/>
              </w:rPr>
            </w:pPr>
            <w:r>
              <w:rPr>
                <w:rFonts w:hint="eastAsia" w:ascii="宋体" w:hAnsi="宋体" w:eastAsia="宋体" w:cs="宋体"/>
                <w:snapToGrid w:val="0"/>
                <w:kern w:val="0"/>
                <w:szCs w:val="22"/>
              </w:rPr>
              <w:t>在室内近似为扩散声场时，靠近室外围护结构处的声压级：</w:t>
            </w:r>
          </w:p>
          <w:p w14:paraId="50F2A493">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napToGrid w:val="0"/>
                <w:kern w:val="0"/>
                <w:szCs w:val="22"/>
              </w:rPr>
            </w:pPr>
            <m:oMathPara>
              <m:oMath>
                <m:sSub>
                  <m:sSubPr>
                    <m:ctrlPr>
                      <w:rPr>
                        <w:rFonts w:hint="default" w:ascii="Cambria Math" w:hAnsi="Cambria Math" w:cs="Times New Roman"/>
                        <w:i/>
                        <w:snapToGrid w:val="0"/>
                        <w:color w:val="000000"/>
                        <w:kern w:val="0"/>
                        <w:sz w:val="24"/>
                        <w:szCs w:val="22"/>
                      </w:rPr>
                    </m:ctrlPr>
                  </m:sSubPr>
                  <m:e>
                    <m:r>
                      <m:rPr/>
                      <w:rPr>
                        <w:rFonts w:hint="default" w:ascii="Cambria Math" w:hAnsi="Cambria Math" w:cs="Times New Roman"/>
                        <w:snapToGrid w:val="0"/>
                        <w:color w:val="000000"/>
                        <w:kern w:val="0"/>
                        <w:sz w:val="24"/>
                        <w:szCs w:val="22"/>
                      </w:rPr>
                      <m:t>L</m:t>
                    </m:r>
                    <m:ctrlPr>
                      <w:rPr>
                        <w:rFonts w:hint="default" w:ascii="Cambria Math" w:hAnsi="Cambria Math" w:cs="Times New Roman"/>
                        <w:i/>
                        <w:snapToGrid w:val="0"/>
                        <w:color w:val="000000"/>
                        <w:kern w:val="0"/>
                        <w:sz w:val="24"/>
                        <w:szCs w:val="22"/>
                      </w:rPr>
                    </m:ctrlPr>
                  </m:e>
                  <m:sub>
                    <m:r>
                      <m:rPr/>
                      <w:rPr>
                        <w:rFonts w:hint="default" w:ascii="Cambria Math" w:hAnsi="Cambria Math" w:cs="Times New Roman"/>
                        <w:snapToGrid w:val="0"/>
                        <w:color w:val="000000"/>
                        <w:kern w:val="0"/>
                        <w:sz w:val="24"/>
                        <w:szCs w:val="22"/>
                      </w:rPr>
                      <m:t>p2i</m:t>
                    </m:r>
                    <m:ctrlPr>
                      <w:rPr>
                        <w:rFonts w:hint="default" w:ascii="Cambria Math" w:hAnsi="Cambria Math" w:cs="Times New Roman"/>
                        <w:i/>
                        <w:snapToGrid w:val="0"/>
                        <w:color w:val="000000"/>
                        <w:kern w:val="0"/>
                        <w:sz w:val="24"/>
                        <w:szCs w:val="22"/>
                      </w:rPr>
                    </m:ctrlPr>
                  </m:sub>
                </m:sSub>
                <m:d>
                  <m:dPr>
                    <m:ctrlPr>
                      <w:rPr>
                        <w:rFonts w:hint="default" w:ascii="Cambria Math" w:hAnsi="Cambria Math" w:cs="Times New Roman"/>
                        <w:i/>
                        <w:snapToGrid w:val="0"/>
                        <w:color w:val="000000"/>
                        <w:kern w:val="0"/>
                        <w:sz w:val="24"/>
                        <w:szCs w:val="22"/>
                      </w:rPr>
                    </m:ctrlPr>
                  </m:dPr>
                  <m:e>
                    <m:r>
                      <m:rPr/>
                      <w:rPr>
                        <w:rFonts w:hint="default" w:ascii="Cambria Math" w:hAnsi="Cambria Math" w:cs="Times New Roman"/>
                        <w:snapToGrid w:val="0"/>
                        <w:color w:val="000000"/>
                        <w:kern w:val="0"/>
                        <w:sz w:val="24"/>
                        <w:szCs w:val="22"/>
                      </w:rPr>
                      <m:t>T</m:t>
                    </m:r>
                    <m:ctrlPr>
                      <w:rPr>
                        <w:rFonts w:hint="default" w:ascii="Cambria Math" w:hAnsi="Cambria Math" w:cs="Times New Roman"/>
                        <w:i/>
                        <w:snapToGrid w:val="0"/>
                        <w:color w:val="000000"/>
                        <w:kern w:val="0"/>
                        <w:sz w:val="24"/>
                        <w:szCs w:val="22"/>
                      </w:rPr>
                    </m:ctrlPr>
                  </m:e>
                </m:d>
                <m:r>
                  <m:rPr/>
                  <w:rPr>
                    <w:rFonts w:hint="default" w:ascii="Cambria Math" w:hAnsi="Cambria Math" w:cs="Times New Roman"/>
                    <w:snapToGrid w:val="0"/>
                    <w:color w:val="000000"/>
                    <w:kern w:val="0"/>
                    <w:sz w:val="24"/>
                    <w:szCs w:val="22"/>
                  </w:rPr>
                  <m:t>=</m:t>
                </m:r>
                <m:sSub>
                  <m:sSubPr>
                    <m:ctrlPr>
                      <w:rPr>
                        <w:rFonts w:hint="default" w:ascii="Cambria Math" w:hAnsi="Cambria Math" w:cs="Times New Roman"/>
                        <w:i/>
                        <w:snapToGrid w:val="0"/>
                        <w:color w:val="000000"/>
                        <w:kern w:val="0"/>
                        <w:sz w:val="24"/>
                        <w:szCs w:val="22"/>
                      </w:rPr>
                    </m:ctrlPr>
                  </m:sSubPr>
                  <m:e>
                    <m:r>
                      <m:rPr/>
                      <w:rPr>
                        <w:rFonts w:hint="default" w:ascii="Cambria Math" w:hAnsi="Cambria Math" w:cs="Times New Roman"/>
                        <w:snapToGrid w:val="0"/>
                        <w:color w:val="000000"/>
                        <w:kern w:val="0"/>
                        <w:sz w:val="24"/>
                        <w:szCs w:val="22"/>
                      </w:rPr>
                      <m:t>L</m:t>
                    </m:r>
                    <m:ctrlPr>
                      <w:rPr>
                        <w:rFonts w:hint="default" w:ascii="Cambria Math" w:hAnsi="Cambria Math" w:cs="Times New Roman"/>
                        <w:i/>
                        <w:snapToGrid w:val="0"/>
                        <w:color w:val="000000"/>
                        <w:kern w:val="0"/>
                        <w:sz w:val="24"/>
                        <w:szCs w:val="22"/>
                      </w:rPr>
                    </m:ctrlPr>
                  </m:e>
                  <m:sub>
                    <m:r>
                      <m:rPr/>
                      <w:rPr>
                        <w:rFonts w:hint="default" w:ascii="Cambria Math" w:hAnsi="Cambria Math" w:cs="Times New Roman"/>
                        <w:snapToGrid w:val="0"/>
                        <w:color w:val="000000"/>
                        <w:kern w:val="0"/>
                        <w:sz w:val="24"/>
                        <w:szCs w:val="22"/>
                      </w:rPr>
                      <m:t>p1i</m:t>
                    </m:r>
                    <m:ctrlPr>
                      <w:rPr>
                        <w:rFonts w:hint="default" w:ascii="Cambria Math" w:hAnsi="Cambria Math" w:cs="Times New Roman"/>
                        <w:i/>
                        <w:snapToGrid w:val="0"/>
                        <w:color w:val="000000"/>
                        <w:kern w:val="0"/>
                        <w:sz w:val="24"/>
                        <w:szCs w:val="22"/>
                      </w:rPr>
                    </m:ctrlPr>
                  </m:sub>
                </m:sSub>
                <m:d>
                  <m:dPr>
                    <m:ctrlPr>
                      <w:rPr>
                        <w:rFonts w:hint="default" w:ascii="Cambria Math" w:hAnsi="Cambria Math" w:cs="Times New Roman"/>
                        <w:i/>
                        <w:snapToGrid w:val="0"/>
                        <w:color w:val="000000"/>
                        <w:kern w:val="0"/>
                        <w:sz w:val="24"/>
                        <w:szCs w:val="22"/>
                      </w:rPr>
                    </m:ctrlPr>
                  </m:dPr>
                  <m:e>
                    <m:r>
                      <m:rPr/>
                      <w:rPr>
                        <w:rFonts w:hint="default" w:ascii="Cambria Math" w:hAnsi="Cambria Math" w:cs="Times New Roman"/>
                        <w:snapToGrid w:val="0"/>
                        <w:color w:val="000000"/>
                        <w:kern w:val="0"/>
                        <w:sz w:val="24"/>
                        <w:szCs w:val="22"/>
                      </w:rPr>
                      <m:t>T</m:t>
                    </m:r>
                    <m:ctrlPr>
                      <w:rPr>
                        <w:rFonts w:hint="default" w:ascii="Cambria Math" w:hAnsi="Cambria Math" w:cs="Times New Roman"/>
                        <w:i/>
                        <w:snapToGrid w:val="0"/>
                        <w:color w:val="000000"/>
                        <w:kern w:val="0"/>
                        <w:sz w:val="24"/>
                        <w:szCs w:val="22"/>
                      </w:rPr>
                    </m:ctrlPr>
                  </m:e>
                </m:d>
                <m:r>
                  <m:rPr/>
                  <w:rPr>
                    <w:rFonts w:hint="default" w:ascii="Cambria Math" w:hAnsi="Cambria Math" w:cs="Times New Roman"/>
                    <w:snapToGrid w:val="0"/>
                    <w:color w:val="000000"/>
                    <w:kern w:val="0"/>
                    <w:sz w:val="24"/>
                    <w:szCs w:val="22"/>
                  </w:rPr>
                  <m:t>−</m:t>
                </m:r>
                <m:d>
                  <m:dPr>
                    <m:ctrlPr>
                      <w:rPr>
                        <w:rFonts w:hint="default" w:ascii="Cambria Math" w:hAnsi="Cambria Math" w:cs="Times New Roman"/>
                        <w:i/>
                        <w:snapToGrid w:val="0"/>
                        <w:color w:val="000000"/>
                        <w:kern w:val="0"/>
                        <w:sz w:val="24"/>
                        <w:szCs w:val="22"/>
                      </w:rPr>
                    </m:ctrlPr>
                  </m:dPr>
                  <m:e>
                    <m:sSub>
                      <m:sSubPr>
                        <m:ctrlPr>
                          <w:rPr>
                            <w:rFonts w:hint="default" w:ascii="Cambria Math" w:hAnsi="Cambria Math" w:cs="Times New Roman"/>
                            <w:i/>
                            <w:snapToGrid w:val="0"/>
                            <w:color w:val="000000"/>
                            <w:kern w:val="0"/>
                            <w:sz w:val="24"/>
                            <w:szCs w:val="22"/>
                          </w:rPr>
                        </m:ctrlPr>
                      </m:sSubPr>
                      <m:e>
                        <m:r>
                          <m:rPr/>
                          <w:rPr>
                            <w:rFonts w:hint="default" w:ascii="Cambria Math" w:hAnsi="Cambria Math" w:cs="Times New Roman"/>
                            <w:snapToGrid w:val="0"/>
                            <w:color w:val="000000"/>
                            <w:kern w:val="0"/>
                            <w:sz w:val="24"/>
                            <w:szCs w:val="22"/>
                          </w:rPr>
                          <m:t>TL</m:t>
                        </m:r>
                        <m:ctrlPr>
                          <w:rPr>
                            <w:rFonts w:hint="default" w:ascii="Cambria Math" w:hAnsi="Cambria Math" w:cs="Times New Roman"/>
                            <w:i/>
                            <w:snapToGrid w:val="0"/>
                            <w:color w:val="000000"/>
                            <w:kern w:val="0"/>
                            <w:sz w:val="24"/>
                            <w:szCs w:val="22"/>
                          </w:rPr>
                        </m:ctrlPr>
                      </m:e>
                      <m:sub>
                        <m:r>
                          <m:rPr/>
                          <w:rPr>
                            <w:rFonts w:hint="default" w:ascii="Cambria Math" w:hAnsi="Cambria Math" w:cs="Times New Roman"/>
                            <w:snapToGrid w:val="0"/>
                            <w:color w:val="000000"/>
                            <w:kern w:val="0"/>
                            <w:sz w:val="24"/>
                            <w:szCs w:val="22"/>
                          </w:rPr>
                          <m:t>i</m:t>
                        </m:r>
                        <m:ctrlPr>
                          <w:rPr>
                            <w:rFonts w:hint="default" w:ascii="Cambria Math" w:hAnsi="Cambria Math" w:cs="Times New Roman"/>
                            <w:i/>
                            <w:snapToGrid w:val="0"/>
                            <w:color w:val="000000"/>
                            <w:kern w:val="0"/>
                            <w:sz w:val="24"/>
                            <w:szCs w:val="22"/>
                          </w:rPr>
                        </m:ctrlPr>
                      </m:sub>
                    </m:sSub>
                    <m:r>
                      <m:rPr/>
                      <w:rPr>
                        <w:rFonts w:hint="default" w:ascii="Cambria Math" w:hAnsi="Cambria Math" w:cs="Times New Roman"/>
                        <w:snapToGrid w:val="0"/>
                        <w:color w:val="000000"/>
                        <w:kern w:val="0"/>
                        <w:sz w:val="24"/>
                        <w:szCs w:val="22"/>
                      </w:rPr>
                      <m:t>+6</m:t>
                    </m:r>
                    <m:ctrlPr>
                      <w:rPr>
                        <w:rFonts w:hint="default" w:ascii="Cambria Math" w:hAnsi="Cambria Math" w:cs="Times New Roman"/>
                        <w:i/>
                        <w:snapToGrid w:val="0"/>
                        <w:color w:val="000000"/>
                        <w:kern w:val="0"/>
                        <w:sz w:val="24"/>
                        <w:szCs w:val="22"/>
                      </w:rPr>
                    </m:ctrlPr>
                  </m:e>
                </m:d>
              </m:oMath>
            </m:oMathPara>
          </w:p>
          <w:p w14:paraId="30867205">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snapToGrid w:val="0"/>
                <w:kern w:val="0"/>
                <w:szCs w:val="22"/>
              </w:rPr>
            </w:pPr>
            <w:r>
              <w:rPr>
                <w:rFonts w:hint="eastAsia" w:ascii="宋体" w:hAnsi="宋体" w:eastAsia="宋体" w:cs="宋体"/>
                <w:snapToGrid w:val="0"/>
                <w:kern w:val="0"/>
                <w:szCs w:val="22"/>
              </w:rPr>
              <w:t xml:space="preserve">式中： </w:t>
            </w:r>
          </w:p>
          <w:p w14:paraId="5AB5A02F">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snapToGrid w:val="0"/>
                <w:kern w:val="0"/>
                <w:szCs w:val="22"/>
              </w:rPr>
            </w:pPr>
            <w:r>
              <w:rPr>
                <w:rFonts w:hint="eastAsia" w:ascii="宋体" w:hAnsi="宋体" w:eastAsia="宋体" w:cs="宋体"/>
                <w:snapToGrid w:val="0"/>
                <w:kern w:val="0"/>
                <w:szCs w:val="22"/>
              </w:rPr>
              <w:t>L</w:t>
            </w:r>
            <w:r>
              <w:rPr>
                <w:rFonts w:hint="eastAsia" w:ascii="宋体" w:hAnsi="宋体" w:eastAsia="宋体" w:cs="宋体"/>
                <w:snapToGrid w:val="0"/>
                <w:kern w:val="0"/>
                <w:szCs w:val="22"/>
                <w:vertAlign w:val="subscript"/>
              </w:rPr>
              <w:t>p2i</w:t>
            </w:r>
            <w:r>
              <w:rPr>
                <w:rFonts w:hint="eastAsia" w:ascii="宋体" w:hAnsi="宋体" w:eastAsia="宋体" w:cs="宋体"/>
                <w:snapToGrid w:val="0"/>
                <w:kern w:val="0"/>
                <w:szCs w:val="22"/>
              </w:rPr>
              <w:t>(T)——靠近围护结构处室外N个声源i倍频带的叠加声压级，dB；</w:t>
            </w:r>
          </w:p>
          <w:p w14:paraId="0FA650CF">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snapToGrid w:val="0"/>
                <w:kern w:val="0"/>
                <w:szCs w:val="22"/>
              </w:rPr>
            </w:pPr>
            <w:r>
              <w:rPr>
                <w:rFonts w:hint="eastAsia" w:ascii="宋体" w:hAnsi="宋体" w:eastAsia="宋体" w:cs="宋体"/>
                <w:snapToGrid w:val="0"/>
                <w:kern w:val="0"/>
                <w:szCs w:val="22"/>
              </w:rPr>
              <w:t>L</w:t>
            </w:r>
            <w:r>
              <w:rPr>
                <w:rFonts w:hint="eastAsia" w:ascii="宋体" w:hAnsi="宋体" w:eastAsia="宋体" w:cs="宋体"/>
                <w:snapToGrid w:val="0"/>
                <w:kern w:val="0"/>
                <w:szCs w:val="22"/>
                <w:vertAlign w:val="subscript"/>
              </w:rPr>
              <w:t>p1i</w:t>
            </w:r>
            <w:r>
              <w:rPr>
                <w:rFonts w:hint="eastAsia" w:ascii="宋体" w:hAnsi="宋体" w:eastAsia="宋体" w:cs="宋体"/>
                <w:snapToGrid w:val="0"/>
                <w:kern w:val="0"/>
                <w:szCs w:val="22"/>
              </w:rPr>
              <w:t>(T)——靠近围护结构处室内N个声源i倍频带的叠加声压级，dB；</w:t>
            </w:r>
          </w:p>
          <w:p w14:paraId="7E9B1F5B">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snapToGrid w:val="0"/>
                <w:kern w:val="0"/>
                <w:szCs w:val="22"/>
              </w:rPr>
            </w:pPr>
            <w:r>
              <w:rPr>
                <w:rFonts w:hint="eastAsia" w:ascii="宋体" w:hAnsi="宋体" w:eastAsia="宋体" w:cs="宋体"/>
                <w:snapToGrid w:val="0"/>
                <w:kern w:val="0"/>
                <w:szCs w:val="22"/>
              </w:rPr>
              <w:t>TL</w:t>
            </w:r>
            <w:r>
              <w:rPr>
                <w:rFonts w:hint="eastAsia" w:ascii="宋体" w:hAnsi="宋体" w:eastAsia="宋体" w:cs="宋体"/>
                <w:snapToGrid w:val="0"/>
                <w:kern w:val="0"/>
                <w:szCs w:val="22"/>
                <w:vertAlign w:val="subscript"/>
              </w:rPr>
              <w:t>i</w:t>
            </w:r>
            <w:r>
              <w:rPr>
                <w:rFonts w:hint="eastAsia" w:ascii="宋体" w:hAnsi="宋体" w:eastAsia="宋体" w:cs="宋体"/>
                <w:snapToGrid w:val="0"/>
                <w:kern w:val="0"/>
                <w:szCs w:val="22"/>
              </w:rPr>
              <w:t>——围护结构i倍频带的隔声量，dB。</w:t>
            </w:r>
          </w:p>
          <w:p w14:paraId="14E92482">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snapToGrid w:val="0"/>
                <w:kern w:val="0"/>
                <w:szCs w:val="22"/>
              </w:rPr>
            </w:pPr>
            <w:r>
              <w:rPr>
                <w:rFonts w:hint="eastAsia" w:ascii="宋体" w:hAnsi="宋体" w:eastAsia="宋体" w:cs="宋体"/>
                <w:snapToGrid w:val="0"/>
                <w:kern w:val="0"/>
                <w:szCs w:val="22"/>
              </w:rPr>
              <w:t>中心位置位于透声面积(S)处的等效声源的倍频带声功率级：</w:t>
            </w:r>
          </w:p>
          <w:p w14:paraId="3D60E93E">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napToGrid w:val="0"/>
                <w:kern w:val="0"/>
                <w:szCs w:val="22"/>
              </w:rPr>
            </w:pPr>
            <m:oMathPara>
              <m:oMath>
                <m:sSub>
                  <m:sSubPr>
                    <m:ctrlPr>
                      <w:rPr>
                        <w:rFonts w:hint="default" w:ascii="Cambria Math" w:hAnsi="Cambria Math" w:cs="Times New Roman"/>
                        <w:i/>
                        <w:snapToGrid w:val="0"/>
                        <w:color w:val="000000"/>
                        <w:kern w:val="0"/>
                        <w:sz w:val="24"/>
                        <w:szCs w:val="22"/>
                      </w:rPr>
                    </m:ctrlPr>
                  </m:sSubPr>
                  <m:e>
                    <m:r>
                      <m:rPr/>
                      <w:rPr>
                        <w:rFonts w:hint="default" w:ascii="Cambria Math" w:hAnsi="Cambria Math" w:cs="Times New Roman"/>
                        <w:snapToGrid w:val="0"/>
                        <w:color w:val="000000"/>
                        <w:kern w:val="0"/>
                        <w:sz w:val="24"/>
                        <w:szCs w:val="22"/>
                      </w:rPr>
                      <m:t>L</m:t>
                    </m:r>
                    <m:ctrlPr>
                      <w:rPr>
                        <w:rFonts w:hint="default" w:ascii="Cambria Math" w:hAnsi="Cambria Math" w:cs="Times New Roman"/>
                        <w:i/>
                        <w:snapToGrid w:val="0"/>
                        <w:color w:val="000000"/>
                        <w:kern w:val="0"/>
                        <w:sz w:val="24"/>
                        <w:szCs w:val="22"/>
                      </w:rPr>
                    </m:ctrlPr>
                  </m:e>
                  <m:sub>
                    <m:r>
                      <m:rPr/>
                      <w:rPr>
                        <w:rFonts w:hint="default" w:ascii="Cambria Math" w:hAnsi="Cambria Math" w:cs="Times New Roman"/>
                        <w:snapToGrid w:val="0"/>
                        <w:color w:val="000000"/>
                        <w:kern w:val="0"/>
                        <w:sz w:val="24"/>
                        <w:szCs w:val="22"/>
                      </w:rPr>
                      <m:t>W</m:t>
                    </m:r>
                    <m:ctrlPr>
                      <w:rPr>
                        <w:rFonts w:hint="default" w:ascii="Cambria Math" w:hAnsi="Cambria Math" w:cs="Times New Roman"/>
                        <w:i/>
                        <w:snapToGrid w:val="0"/>
                        <w:color w:val="000000"/>
                        <w:kern w:val="0"/>
                        <w:sz w:val="24"/>
                        <w:szCs w:val="22"/>
                      </w:rPr>
                    </m:ctrlPr>
                  </m:sub>
                </m:sSub>
                <m:r>
                  <m:rPr/>
                  <w:rPr>
                    <w:rFonts w:hint="default" w:ascii="Cambria Math" w:hAnsi="Cambria Math" w:cs="Times New Roman"/>
                    <w:snapToGrid w:val="0"/>
                    <w:color w:val="000000"/>
                    <w:kern w:val="0"/>
                    <w:sz w:val="24"/>
                    <w:szCs w:val="22"/>
                  </w:rPr>
                  <m:t>=</m:t>
                </m:r>
                <m:sSub>
                  <m:sSubPr>
                    <m:ctrlPr>
                      <w:rPr>
                        <w:rFonts w:hint="default" w:ascii="Cambria Math" w:hAnsi="Cambria Math" w:cs="Times New Roman"/>
                        <w:i/>
                        <w:snapToGrid w:val="0"/>
                        <w:color w:val="000000"/>
                        <w:kern w:val="0"/>
                        <w:sz w:val="24"/>
                        <w:szCs w:val="22"/>
                      </w:rPr>
                    </m:ctrlPr>
                  </m:sSubPr>
                  <m:e>
                    <m:r>
                      <m:rPr/>
                      <w:rPr>
                        <w:rFonts w:hint="default" w:ascii="Cambria Math" w:hAnsi="Cambria Math" w:cs="Times New Roman"/>
                        <w:snapToGrid w:val="0"/>
                        <w:color w:val="000000"/>
                        <w:kern w:val="0"/>
                        <w:sz w:val="24"/>
                        <w:szCs w:val="22"/>
                      </w:rPr>
                      <m:t>L</m:t>
                    </m:r>
                    <m:ctrlPr>
                      <w:rPr>
                        <w:rFonts w:hint="default" w:ascii="Cambria Math" w:hAnsi="Cambria Math" w:cs="Times New Roman"/>
                        <w:i/>
                        <w:snapToGrid w:val="0"/>
                        <w:color w:val="000000"/>
                        <w:kern w:val="0"/>
                        <w:sz w:val="24"/>
                        <w:szCs w:val="22"/>
                      </w:rPr>
                    </m:ctrlPr>
                  </m:e>
                  <m:sub>
                    <m:r>
                      <m:rPr/>
                      <w:rPr>
                        <w:rFonts w:hint="default" w:ascii="Cambria Math" w:hAnsi="Cambria Math" w:cs="Times New Roman"/>
                        <w:snapToGrid w:val="0"/>
                        <w:color w:val="000000"/>
                        <w:kern w:val="0"/>
                        <w:sz w:val="24"/>
                        <w:szCs w:val="22"/>
                      </w:rPr>
                      <m:t>p2</m:t>
                    </m:r>
                    <m:ctrlPr>
                      <w:rPr>
                        <w:rFonts w:hint="default" w:ascii="Cambria Math" w:hAnsi="Cambria Math" w:cs="Times New Roman"/>
                        <w:i/>
                        <w:snapToGrid w:val="0"/>
                        <w:color w:val="000000"/>
                        <w:kern w:val="0"/>
                        <w:sz w:val="24"/>
                        <w:szCs w:val="22"/>
                      </w:rPr>
                    </m:ctrlPr>
                  </m:sub>
                </m:sSub>
                <m:d>
                  <m:dPr>
                    <m:ctrlPr>
                      <w:rPr>
                        <w:rFonts w:hint="default" w:ascii="Cambria Math" w:hAnsi="Cambria Math" w:cs="Times New Roman"/>
                        <w:i/>
                        <w:snapToGrid w:val="0"/>
                        <w:color w:val="000000"/>
                        <w:kern w:val="0"/>
                        <w:sz w:val="24"/>
                        <w:szCs w:val="22"/>
                      </w:rPr>
                    </m:ctrlPr>
                  </m:dPr>
                  <m:e>
                    <m:r>
                      <m:rPr/>
                      <w:rPr>
                        <w:rFonts w:hint="default" w:ascii="Cambria Math" w:hAnsi="Cambria Math" w:cs="Times New Roman"/>
                        <w:snapToGrid w:val="0"/>
                        <w:color w:val="000000"/>
                        <w:kern w:val="0"/>
                        <w:sz w:val="24"/>
                        <w:szCs w:val="22"/>
                      </w:rPr>
                      <m:t>T</m:t>
                    </m:r>
                    <m:ctrlPr>
                      <w:rPr>
                        <w:rFonts w:hint="default" w:ascii="Cambria Math" w:hAnsi="Cambria Math" w:cs="Times New Roman"/>
                        <w:i/>
                        <w:snapToGrid w:val="0"/>
                        <w:color w:val="000000"/>
                        <w:kern w:val="0"/>
                        <w:sz w:val="24"/>
                        <w:szCs w:val="22"/>
                      </w:rPr>
                    </m:ctrlPr>
                  </m:e>
                </m:d>
                <m:r>
                  <m:rPr/>
                  <w:rPr>
                    <w:rFonts w:hint="default" w:ascii="Cambria Math" w:hAnsi="Cambria Math" w:cs="Times New Roman"/>
                    <w:snapToGrid w:val="0"/>
                    <w:color w:val="000000"/>
                    <w:kern w:val="0"/>
                    <w:sz w:val="24"/>
                    <w:szCs w:val="22"/>
                  </w:rPr>
                  <m:t>+10lgS</m:t>
                </m:r>
              </m:oMath>
            </m:oMathPara>
          </w:p>
          <w:p w14:paraId="7EE1F6E5">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snapToGrid w:val="0"/>
                <w:kern w:val="0"/>
                <w:szCs w:val="22"/>
              </w:rPr>
            </w:pPr>
            <w:r>
              <w:rPr>
                <w:rFonts w:hint="eastAsia" w:ascii="宋体" w:hAnsi="宋体" w:eastAsia="宋体" w:cs="宋体"/>
                <w:snapToGrid w:val="0"/>
                <w:kern w:val="0"/>
                <w:szCs w:val="22"/>
              </w:rPr>
              <w:t>式中：</w:t>
            </w:r>
          </w:p>
          <w:p w14:paraId="3CB86A74">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snapToGrid w:val="0"/>
                <w:kern w:val="0"/>
                <w:szCs w:val="22"/>
              </w:rPr>
            </w:pPr>
            <w:r>
              <w:rPr>
                <w:rFonts w:hint="eastAsia" w:ascii="宋体" w:hAnsi="宋体" w:eastAsia="宋体" w:cs="宋体"/>
                <w:snapToGrid w:val="0"/>
                <w:kern w:val="0"/>
                <w:szCs w:val="22"/>
              </w:rPr>
              <w:t>L</w:t>
            </w:r>
            <w:r>
              <w:rPr>
                <w:rFonts w:hint="eastAsia" w:ascii="宋体" w:hAnsi="宋体" w:eastAsia="宋体" w:cs="宋体"/>
                <w:snapToGrid w:val="0"/>
                <w:kern w:val="0"/>
                <w:szCs w:val="22"/>
                <w:vertAlign w:val="subscript"/>
              </w:rPr>
              <w:t>w</w:t>
            </w:r>
            <w:r>
              <w:rPr>
                <w:rFonts w:hint="eastAsia" w:ascii="宋体" w:hAnsi="宋体" w:eastAsia="宋体" w:cs="宋体"/>
                <w:snapToGrid w:val="0"/>
                <w:kern w:val="0"/>
                <w:szCs w:val="22"/>
              </w:rPr>
              <w:t xml:space="preserve">——中心位置位于透声面积(S)处的等效声源的倍频带声功率级，dB； </w:t>
            </w:r>
          </w:p>
          <w:p w14:paraId="7706E488">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snapToGrid w:val="0"/>
                <w:kern w:val="0"/>
                <w:szCs w:val="22"/>
              </w:rPr>
            </w:pPr>
            <w:r>
              <w:rPr>
                <w:rFonts w:hint="eastAsia" w:ascii="宋体" w:hAnsi="宋体" w:eastAsia="宋体" w:cs="宋体"/>
                <w:snapToGrid w:val="0"/>
                <w:kern w:val="0"/>
                <w:szCs w:val="22"/>
              </w:rPr>
              <w:t>L</w:t>
            </w:r>
            <w:r>
              <w:rPr>
                <w:rFonts w:hint="eastAsia" w:ascii="宋体" w:hAnsi="宋体" w:eastAsia="宋体" w:cs="宋体"/>
                <w:snapToGrid w:val="0"/>
                <w:kern w:val="0"/>
                <w:szCs w:val="22"/>
                <w:vertAlign w:val="subscript"/>
              </w:rPr>
              <w:t>p2</w:t>
            </w:r>
            <w:r>
              <w:rPr>
                <w:rFonts w:hint="eastAsia" w:ascii="宋体" w:hAnsi="宋体" w:eastAsia="宋体" w:cs="宋体"/>
                <w:snapToGrid w:val="0"/>
                <w:kern w:val="0"/>
                <w:szCs w:val="22"/>
              </w:rPr>
              <w:t xml:space="preserve">(T)——靠近围护结构处室外声源的声压级，dB； </w:t>
            </w:r>
          </w:p>
          <w:p w14:paraId="177B6BD6">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snapToGrid w:val="0"/>
                <w:kern w:val="0"/>
                <w:szCs w:val="22"/>
              </w:rPr>
            </w:pPr>
            <w:r>
              <w:rPr>
                <w:rFonts w:hint="eastAsia" w:ascii="宋体" w:hAnsi="宋体" w:eastAsia="宋体" w:cs="宋体"/>
                <w:snapToGrid w:val="0"/>
                <w:kern w:val="0"/>
                <w:szCs w:val="22"/>
              </w:rPr>
              <w:t>S——透声面积，m</w:t>
            </w:r>
            <w:r>
              <w:rPr>
                <w:rFonts w:hint="eastAsia" w:ascii="宋体" w:hAnsi="宋体" w:eastAsia="宋体" w:cs="宋体"/>
                <w:snapToGrid w:val="0"/>
                <w:kern w:val="0"/>
                <w:szCs w:val="22"/>
                <w:vertAlign w:val="superscript"/>
              </w:rPr>
              <w:t>2</w:t>
            </w:r>
            <w:r>
              <w:rPr>
                <w:rFonts w:hint="eastAsia" w:ascii="宋体" w:hAnsi="宋体" w:eastAsia="宋体" w:cs="宋体"/>
                <w:snapToGrid w:val="0"/>
                <w:kern w:val="0"/>
                <w:szCs w:val="22"/>
              </w:rPr>
              <w:t xml:space="preserve">。 </w:t>
            </w:r>
          </w:p>
          <w:p w14:paraId="66B2A13B">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snapToGrid w:val="0"/>
                <w:kern w:val="0"/>
                <w:szCs w:val="22"/>
              </w:rPr>
            </w:pPr>
            <w:r>
              <w:rPr>
                <w:rFonts w:hint="eastAsia" w:ascii="宋体" w:hAnsi="宋体" w:eastAsia="宋体" w:cs="宋体"/>
                <w:snapToGrid w:val="0"/>
                <w:kern w:val="0"/>
                <w:szCs w:val="22"/>
              </w:rPr>
              <w:t xml:space="preserve">然后按室外声源预测方法计算预测点处的A声级。 </w:t>
            </w:r>
          </w:p>
          <w:p w14:paraId="3CADB5C5">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snapToGrid w:val="0"/>
                <w:kern w:val="0"/>
                <w:szCs w:val="22"/>
              </w:rPr>
            </w:pPr>
            <w:r>
              <w:rPr>
                <w:rFonts w:hint="eastAsia" w:ascii="宋体" w:hAnsi="宋体" w:eastAsia="宋体" w:cs="宋体"/>
                <w:snapToGrid w:val="0"/>
                <w:kern w:val="0"/>
                <w:szCs w:val="22"/>
              </w:rPr>
              <w:t>②室外点声源</w:t>
            </w:r>
          </w:p>
          <w:p w14:paraId="63686D7E">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snapToGrid w:val="0"/>
                <w:kern w:val="0"/>
                <w:szCs w:val="22"/>
              </w:rPr>
            </w:pPr>
            <w:r>
              <w:rPr>
                <w:rFonts w:hint="eastAsia" w:ascii="宋体" w:hAnsi="宋体" w:eastAsia="宋体" w:cs="宋体"/>
                <w:snapToGrid w:val="0"/>
                <w:kern w:val="0"/>
                <w:szCs w:val="22"/>
              </w:rPr>
              <w:t>某个点声源在预测点的声压级：</w:t>
            </w:r>
          </w:p>
          <w:p w14:paraId="4EA20150">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napToGrid w:val="0"/>
                <w:kern w:val="0"/>
                <w:szCs w:val="22"/>
              </w:rPr>
            </w:pPr>
            <m:oMathPara>
              <m:oMath>
                <m:sSub>
                  <m:sSubPr>
                    <m:ctrlPr>
                      <w:rPr>
                        <w:rFonts w:hint="default" w:ascii="Cambria Math" w:hAnsi="Cambria Math" w:cs="Times New Roman"/>
                        <w:i/>
                        <w:snapToGrid w:val="0"/>
                        <w:color w:val="000000"/>
                        <w:kern w:val="0"/>
                        <w:sz w:val="24"/>
                        <w:szCs w:val="22"/>
                      </w:rPr>
                    </m:ctrlPr>
                  </m:sSubPr>
                  <m:e>
                    <m:r>
                      <m:rPr/>
                      <w:rPr>
                        <w:rFonts w:hint="default" w:ascii="Cambria Math" w:hAnsi="Cambria Math" w:cs="Times New Roman"/>
                        <w:snapToGrid w:val="0"/>
                        <w:color w:val="000000"/>
                        <w:kern w:val="0"/>
                        <w:sz w:val="24"/>
                        <w:szCs w:val="22"/>
                      </w:rPr>
                      <m:t>L</m:t>
                    </m:r>
                    <m:ctrlPr>
                      <w:rPr>
                        <w:rFonts w:hint="default" w:ascii="Cambria Math" w:hAnsi="Cambria Math" w:cs="Times New Roman"/>
                        <w:i/>
                        <w:snapToGrid w:val="0"/>
                        <w:color w:val="000000"/>
                        <w:kern w:val="0"/>
                        <w:sz w:val="24"/>
                        <w:szCs w:val="22"/>
                      </w:rPr>
                    </m:ctrlPr>
                  </m:e>
                  <m:sub>
                    <m:r>
                      <m:rPr/>
                      <w:rPr>
                        <w:rFonts w:hint="default" w:ascii="Cambria Math" w:hAnsi="Cambria Math" w:cs="Times New Roman"/>
                        <w:snapToGrid w:val="0"/>
                        <w:color w:val="000000"/>
                        <w:kern w:val="0"/>
                        <w:sz w:val="24"/>
                        <w:szCs w:val="22"/>
                      </w:rPr>
                      <m:t>p</m:t>
                    </m:r>
                    <m:ctrlPr>
                      <w:rPr>
                        <w:rFonts w:hint="default" w:ascii="Cambria Math" w:hAnsi="Cambria Math" w:cs="Times New Roman"/>
                        <w:i/>
                        <w:snapToGrid w:val="0"/>
                        <w:color w:val="000000"/>
                        <w:kern w:val="0"/>
                        <w:sz w:val="24"/>
                        <w:szCs w:val="22"/>
                      </w:rPr>
                    </m:ctrlPr>
                  </m:sub>
                </m:sSub>
                <m:d>
                  <m:dPr>
                    <m:ctrlPr>
                      <w:rPr>
                        <w:rFonts w:hint="default" w:ascii="Cambria Math" w:hAnsi="Cambria Math" w:cs="Times New Roman"/>
                        <w:i/>
                        <w:snapToGrid w:val="0"/>
                        <w:color w:val="000000"/>
                        <w:kern w:val="0"/>
                        <w:sz w:val="24"/>
                        <w:szCs w:val="22"/>
                      </w:rPr>
                    </m:ctrlPr>
                  </m:dPr>
                  <m:e>
                    <m:r>
                      <m:rPr/>
                      <w:rPr>
                        <w:rFonts w:hint="default" w:ascii="Cambria Math" w:hAnsi="Cambria Math" w:cs="Times New Roman"/>
                        <w:snapToGrid w:val="0"/>
                        <w:color w:val="000000"/>
                        <w:kern w:val="0"/>
                        <w:sz w:val="24"/>
                        <w:szCs w:val="22"/>
                      </w:rPr>
                      <m:t>r</m:t>
                    </m:r>
                    <m:ctrlPr>
                      <w:rPr>
                        <w:rFonts w:hint="default" w:ascii="Cambria Math" w:hAnsi="Cambria Math" w:cs="Times New Roman"/>
                        <w:i/>
                        <w:snapToGrid w:val="0"/>
                        <w:color w:val="000000"/>
                        <w:kern w:val="0"/>
                        <w:sz w:val="24"/>
                        <w:szCs w:val="22"/>
                      </w:rPr>
                    </m:ctrlPr>
                  </m:e>
                </m:d>
                <m:r>
                  <m:rPr/>
                  <w:rPr>
                    <w:rFonts w:hint="default" w:ascii="Cambria Math" w:hAnsi="Cambria Math" w:cs="Times New Roman"/>
                    <w:snapToGrid w:val="0"/>
                    <w:color w:val="000000"/>
                    <w:kern w:val="0"/>
                    <w:sz w:val="24"/>
                    <w:szCs w:val="22"/>
                  </w:rPr>
                  <m:t>=</m:t>
                </m:r>
                <m:sSub>
                  <m:sSubPr>
                    <m:ctrlPr>
                      <w:rPr>
                        <w:rFonts w:hint="default" w:ascii="Cambria Math" w:hAnsi="Cambria Math" w:cs="Times New Roman"/>
                        <w:i/>
                        <w:snapToGrid w:val="0"/>
                        <w:color w:val="000000"/>
                        <w:kern w:val="0"/>
                        <w:sz w:val="24"/>
                        <w:szCs w:val="22"/>
                      </w:rPr>
                    </m:ctrlPr>
                  </m:sSubPr>
                  <m:e>
                    <m:r>
                      <m:rPr/>
                      <w:rPr>
                        <w:rFonts w:hint="default" w:ascii="Cambria Math" w:hAnsi="Cambria Math" w:cs="Times New Roman"/>
                        <w:snapToGrid w:val="0"/>
                        <w:color w:val="000000"/>
                        <w:kern w:val="0"/>
                        <w:sz w:val="24"/>
                        <w:szCs w:val="22"/>
                      </w:rPr>
                      <m:t>L</m:t>
                    </m:r>
                    <m:ctrlPr>
                      <w:rPr>
                        <w:rFonts w:hint="default" w:ascii="Cambria Math" w:hAnsi="Cambria Math" w:cs="Times New Roman"/>
                        <w:i/>
                        <w:snapToGrid w:val="0"/>
                        <w:color w:val="000000"/>
                        <w:kern w:val="0"/>
                        <w:sz w:val="24"/>
                        <w:szCs w:val="22"/>
                      </w:rPr>
                    </m:ctrlPr>
                  </m:e>
                  <m:sub>
                    <m:r>
                      <m:rPr/>
                      <w:rPr>
                        <w:rFonts w:hint="default" w:ascii="Cambria Math" w:hAnsi="Cambria Math" w:cs="Times New Roman"/>
                        <w:snapToGrid w:val="0"/>
                        <w:color w:val="000000"/>
                        <w:kern w:val="0"/>
                        <w:sz w:val="24"/>
                        <w:szCs w:val="22"/>
                      </w:rPr>
                      <m:t>p</m:t>
                    </m:r>
                    <m:ctrlPr>
                      <w:rPr>
                        <w:rFonts w:hint="default" w:ascii="Cambria Math" w:hAnsi="Cambria Math" w:cs="Times New Roman"/>
                        <w:i/>
                        <w:snapToGrid w:val="0"/>
                        <w:color w:val="000000"/>
                        <w:kern w:val="0"/>
                        <w:sz w:val="24"/>
                        <w:szCs w:val="22"/>
                      </w:rPr>
                    </m:ctrlPr>
                  </m:sub>
                </m:sSub>
                <m:d>
                  <m:dPr>
                    <m:ctrlPr>
                      <w:rPr>
                        <w:rFonts w:hint="default" w:ascii="Cambria Math" w:hAnsi="Cambria Math" w:cs="Times New Roman"/>
                        <w:i/>
                        <w:snapToGrid w:val="0"/>
                        <w:color w:val="000000"/>
                        <w:kern w:val="0"/>
                        <w:sz w:val="24"/>
                        <w:szCs w:val="22"/>
                      </w:rPr>
                    </m:ctrlPr>
                  </m:dPr>
                  <m:e>
                    <m:sSub>
                      <m:sSubPr>
                        <m:ctrlPr>
                          <w:rPr>
                            <w:rFonts w:hint="default" w:ascii="Cambria Math" w:hAnsi="Cambria Math" w:cs="Times New Roman"/>
                            <w:i/>
                            <w:snapToGrid w:val="0"/>
                            <w:color w:val="000000"/>
                            <w:kern w:val="0"/>
                            <w:sz w:val="24"/>
                            <w:szCs w:val="22"/>
                          </w:rPr>
                        </m:ctrlPr>
                      </m:sSubPr>
                      <m:e>
                        <m:r>
                          <m:rPr/>
                          <w:rPr>
                            <w:rFonts w:hint="default" w:ascii="Cambria Math" w:hAnsi="Cambria Math" w:cs="Times New Roman"/>
                            <w:snapToGrid w:val="0"/>
                            <w:color w:val="000000"/>
                            <w:kern w:val="0"/>
                            <w:sz w:val="24"/>
                            <w:szCs w:val="22"/>
                          </w:rPr>
                          <m:t>r</m:t>
                        </m:r>
                        <m:ctrlPr>
                          <w:rPr>
                            <w:rFonts w:hint="default" w:ascii="Cambria Math" w:hAnsi="Cambria Math" w:cs="Times New Roman"/>
                            <w:i/>
                            <w:snapToGrid w:val="0"/>
                            <w:color w:val="000000"/>
                            <w:kern w:val="0"/>
                            <w:sz w:val="24"/>
                            <w:szCs w:val="22"/>
                          </w:rPr>
                        </m:ctrlPr>
                      </m:e>
                      <m:sub>
                        <m:r>
                          <m:rPr/>
                          <w:rPr>
                            <w:rFonts w:hint="default" w:ascii="Cambria Math" w:hAnsi="Cambria Math" w:cs="Times New Roman"/>
                            <w:snapToGrid w:val="0"/>
                            <w:color w:val="000000"/>
                            <w:kern w:val="0"/>
                            <w:sz w:val="24"/>
                            <w:szCs w:val="22"/>
                          </w:rPr>
                          <m:t>0</m:t>
                        </m:r>
                        <m:ctrlPr>
                          <w:rPr>
                            <w:rFonts w:hint="default" w:ascii="Cambria Math" w:hAnsi="Cambria Math" w:cs="Times New Roman"/>
                            <w:i/>
                            <w:snapToGrid w:val="0"/>
                            <w:color w:val="000000"/>
                            <w:kern w:val="0"/>
                            <w:sz w:val="24"/>
                            <w:szCs w:val="22"/>
                          </w:rPr>
                        </m:ctrlPr>
                      </m:sub>
                    </m:sSub>
                    <m:ctrlPr>
                      <w:rPr>
                        <w:rFonts w:hint="default" w:ascii="Cambria Math" w:hAnsi="Cambria Math" w:cs="Times New Roman"/>
                        <w:i/>
                        <w:snapToGrid w:val="0"/>
                        <w:color w:val="000000"/>
                        <w:kern w:val="0"/>
                        <w:sz w:val="24"/>
                        <w:szCs w:val="22"/>
                      </w:rPr>
                    </m:ctrlPr>
                  </m:e>
                </m:d>
                <m:r>
                  <m:rPr/>
                  <w:rPr>
                    <w:rFonts w:hint="default" w:ascii="Cambria Math" w:hAnsi="Cambria Math" w:cs="Times New Roman"/>
                    <w:snapToGrid w:val="0"/>
                    <w:color w:val="000000"/>
                    <w:kern w:val="0"/>
                    <w:sz w:val="24"/>
                    <w:szCs w:val="22"/>
                  </w:rPr>
                  <m:t>+</m:t>
                </m:r>
                <m:sSub>
                  <m:sSubPr>
                    <m:ctrlPr>
                      <w:rPr>
                        <w:rFonts w:hint="default" w:ascii="Cambria Math" w:hAnsi="Cambria Math" w:cs="Times New Roman"/>
                        <w:i/>
                        <w:snapToGrid w:val="0"/>
                        <w:color w:val="000000"/>
                        <w:kern w:val="0"/>
                        <w:sz w:val="24"/>
                        <w:szCs w:val="22"/>
                      </w:rPr>
                    </m:ctrlPr>
                  </m:sSubPr>
                  <m:e>
                    <m:r>
                      <m:rPr/>
                      <w:rPr>
                        <w:rFonts w:hint="default" w:ascii="Cambria Math" w:hAnsi="Cambria Math" w:cs="Times New Roman"/>
                        <w:snapToGrid w:val="0"/>
                        <w:color w:val="000000"/>
                        <w:kern w:val="0"/>
                        <w:sz w:val="24"/>
                        <w:szCs w:val="22"/>
                      </w:rPr>
                      <m:t>D</m:t>
                    </m:r>
                    <m:ctrlPr>
                      <w:rPr>
                        <w:rFonts w:hint="default" w:ascii="Cambria Math" w:hAnsi="Cambria Math" w:cs="Times New Roman"/>
                        <w:i/>
                        <w:snapToGrid w:val="0"/>
                        <w:color w:val="000000"/>
                        <w:kern w:val="0"/>
                        <w:sz w:val="24"/>
                        <w:szCs w:val="22"/>
                      </w:rPr>
                    </m:ctrlPr>
                  </m:e>
                  <m:sub>
                    <m:r>
                      <m:rPr/>
                      <w:rPr>
                        <w:rFonts w:hint="default" w:ascii="Cambria Math" w:hAnsi="Cambria Math" w:cs="Times New Roman"/>
                        <w:snapToGrid w:val="0"/>
                        <w:color w:val="000000"/>
                        <w:kern w:val="0"/>
                        <w:sz w:val="24"/>
                        <w:szCs w:val="22"/>
                      </w:rPr>
                      <m:t>C</m:t>
                    </m:r>
                    <m:ctrlPr>
                      <w:rPr>
                        <w:rFonts w:hint="default" w:ascii="Cambria Math" w:hAnsi="Cambria Math" w:cs="Times New Roman"/>
                        <w:i/>
                        <w:snapToGrid w:val="0"/>
                        <w:color w:val="000000"/>
                        <w:kern w:val="0"/>
                        <w:sz w:val="24"/>
                        <w:szCs w:val="22"/>
                      </w:rPr>
                    </m:ctrlPr>
                  </m:sub>
                </m:sSub>
                <m:r>
                  <m:rPr/>
                  <w:rPr>
                    <w:rFonts w:hint="default" w:ascii="Cambria Math" w:hAnsi="Cambria Math" w:cs="Times New Roman"/>
                    <w:snapToGrid w:val="0"/>
                    <w:color w:val="000000"/>
                    <w:kern w:val="0"/>
                    <w:sz w:val="24"/>
                    <w:szCs w:val="22"/>
                  </w:rPr>
                  <m:t>−</m:t>
                </m:r>
                <m:d>
                  <m:dPr>
                    <m:ctrlPr>
                      <w:rPr>
                        <w:rFonts w:hint="default" w:ascii="Cambria Math" w:hAnsi="Cambria Math" w:cs="Times New Roman"/>
                        <w:i/>
                        <w:snapToGrid w:val="0"/>
                        <w:color w:val="000000"/>
                        <w:kern w:val="0"/>
                        <w:sz w:val="24"/>
                        <w:szCs w:val="22"/>
                      </w:rPr>
                    </m:ctrlPr>
                  </m:dPr>
                  <m:e>
                    <m:sSub>
                      <m:sSubPr>
                        <m:ctrlPr>
                          <w:rPr>
                            <w:rFonts w:hint="default" w:ascii="Cambria Math" w:hAnsi="Cambria Math" w:cs="Times New Roman"/>
                            <w:i/>
                            <w:snapToGrid w:val="0"/>
                            <w:color w:val="000000"/>
                            <w:kern w:val="0"/>
                            <w:sz w:val="24"/>
                            <w:szCs w:val="22"/>
                          </w:rPr>
                        </m:ctrlPr>
                      </m:sSubPr>
                      <m:e>
                        <m:r>
                          <m:rPr/>
                          <w:rPr>
                            <w:rFonts w:hint="default" w:ascii="Cambria Math" w:hAnsi="Cambria Math" w:cs="Times New Roman"/>
                            <w:snapToGrid w:val="0"/>
                            <w:color w:val="000000"/>
                            <w:kern w:val="0"/>
                            <w:sz w:val="24"/>
                            <w:szCs w:val="22"/>
                          </w:rPr>
                          <m:t>A</m:t>
                        </m:r>
                        <m:ctrlPr>
                          <w:rPr>
                            <w:rFonts w:hint="default" w:ascii="Cambria Math" w:hAnsi="Cambria Math" w:cs="Times New Roman"/>
                            <w:i/>
                            <w:snapToGrid w:val="0"/>
                            <w:color w:val="000000"/>
                            <w:kern w:val="0"/>
                            <w:sz w:val="24"/>
                            <w:szCs w:val="22"/>
                          </w:rPr>
                        </m:ctrlPr>
                      </m:e>
                      <m:sub>
                        <m:r>
                          <m:rPr/>
                          <w:rPr>
                            <w:rFonts w:hint="default" w:ascii="Cambria Math" w:hAnsi="Cambria Math" w:cs="Times New Roman"/>
                            <w:snapToGrid w:val="0"/>
                            <w:color w:val="000000"/>
                            <w:kern w:val="0"/>
                            <w:sz w:val="24"/>
                            <w:szCs w:val="22"/>
                          </w:rPr>
                          <m:t>div</m:t>
                        </m:r>
                        <m:ctrlPr>
                          <w:rPr>
                            <w:rFonts w:hint="default" w:ascii="Cambria Math" w:hAnsi="Cambria Math" w:cs="Times New Roman"/>
                            <w:i/>
                            <w:snapToGrid w:val="0"/>
                            <w:color w:val="000000"/>
                            <w:kern w:val="0"/>
                            <w:sz w:val="24"/>
                            <w:szCs w:val="22"/>
                          </w:rPr>
                        </m:ctrlPr>
                      </m:sub>
                    </m:sSub>
                    <m:r>
                      <m:rPr/>
                      <w:rPr>
                        <w:rFonts w:hint="default" w:ascii="Cambria Math" w:hAnsi="Cambria Math" w:cs="Times New Roman"/>
                        <w:snapToGrid w:val="0"/>
                        <w:color w:val="000000"/>
                        <w:kern w:val="0"/>
                        <w:sz w:val="24"/>
                        <w:szCs w:val="22"/>
                      </w:rPr>
                      <m:t>+</m:t>
                    </m:r>
                    <m:sSub>
                      <m:sSubPr>
                        <m:ctrlPr>
                          <w:rPr>
                            <w:rFonts w:hint="default" w:ascii="Cambria Math" w:hAnsi="Cambria Math" w:cs="Times New Roman"/>
                            <w:i/>
                            <w:snapToGrid w:val="0"/>
                            <w:color w:val="000000"/>
                            <w:kern w:val="0"/>
                            <w:sz w:val="24"/>
                            <w:szCs w:val="22"/>
                          </w:rPr>
                        </m:ctrlPr>
                      </m:sSubPr>
                      <m:e>
                        <m:r>
                          <m:rPr/>
                          <w:rPr>
                            <w:rFonts w:hint="default" w:ascii="Cambria Math" w:hAnsi="Cambria Math" w:cs="Times New Roman"/>
                            <w:snapToGrid w:val="0"/>
                            <w:color w:val="000000"/>
                            <w:kern w:val="0"/>
                            <w:sz w:val="24"/>
                            <w:szCs w:val="22"/>
                          </w:rPr>
                          <m:t>A</m:t>
                        </m:r>
                        <m:ctrlPr>
                          <w:rPr>
                            <w:rFonts w:hint="default" w:ascii="Cambria Math" w:hAnsi="Cambria Math" w:cs="Times New Roman"/>
                            <w:i/>
                            <w:snapToGrid w:val="0"/>
                            <w:color w:val="000000"/>
                            <w:kern w:val="0"/>
                            <w:sz w:val="24"/>
                            <w:szCs w:val="22"/>
                          </w:rPr>
                        </m:ctrlPr>
                      </m:e>
                      <m:sub>
                        <m:r>
                          <m:rPr/>
                          <w:rPr>
                            <w:rFonts w:hint="default" w:ascii="Cambria Math" w:hAnsi="Cambria Math" w:cs="Times New Roman"/>
                            <w:snapToGrid w:val="0"/>
                            <w:color w:val="000000"/>
                            <w:kern w:val="0"/>
                            <w:sz w:val="24"/>
                            <w:szCs w:val="22"/>
                          </w:rPr>
                          <m:t>atm</m:t>
                        </m:r>
                        <m:ctrlPr>
                          <w:rPr>
                            <w:rFonts w:hint="default" w:ascii="Cambria Math" w:hAnsi="Cambria Math" w:cs="Times New Roman"/>
                            <w:i/>
                            <w:snapToGrid w:val="0"/>
                            <w:color w:val="000000"/>
                            <w:kern w:val="0"/>
                            <w:sz w:val="24"/>
                            <w:szCs w:val="22"/>
                          </w:rPr>
                        </m:ctrlPr>
                      </m:sub>
                    </m:sSub>
                    <m:r>
                      <m:rPr/>
                      <w:rPr>
                        <w:rFonts w:hint="default" w:ascii="Cambria Math" w:hAnsi="Cambria Math" w:cs="Times New Roman"/>
                        <w:snapToGrid w:val="0"/>
                        <w:color w:val="000000"/>
                        <w:kern w:val="0"/>
                        <w:sz w:val="24"/>
                        <w:szCs w:val="22"/>
                      </w:rPr>
                      <m:t>+</m:t>
                    </m:r>
                    <m:sSub>
                      <m:sSubPr>
                        <m:ctrlPr>
                          <w:rPr>
                            <w:rFonts w:hint="default" w:ascii="Cambria Math" w:hAnsi="Cambria Math" w:cs="Times New Roman"/>
                            <w:i/>
                            <w:snapToGrid w:val="0"/>
                            <w:color w:val="000000"/>
                            <w:kern w:val="0"/>
                            <w:sz w:val="24"/>
                            <w:szCs w:val="22"/>
                          </w:rPr>
                        </m:ctrlPr>
                      </m:sSubPr>
                      <m:e>
                        <m:r>
                          <m:rPr/>
                          <w:rPr>
                            <w:rFonts w:hint="default" w:ascii="Cambria Math" w:hAnsi="Cambria Math" w:cs="Times New Roman"/>
                            <w:snapToGrid w:val="0"/>
                            <w:color w:val="000000"/>
                            <w:kern w:val="0"/>
                            <w:sz w:val="24"/>
                            <w:szCs w:val="22"/>
                          </w:rPr>
                          <m:t>A</m:t>
                        </m:r>
                        <m:ctrlPr>
                          <w:rPr>
                            <w:rFonts w:hint="default" w:ascii="Cambria Math" w:hAnsi="Cambria Math" w:cs="Times New Roman"/>
                            <w:i/>
                            <w:snapToGrid w:val="0"/>
                            <w:color w:val="000000"/>
                            <w:kern w:val="0"/>
                            <w:sz w:val="24"/>
                            <w:szCs w:val="22"/>
                          </w:rPr>
                        </m:ctrlPr>
                      </m:e>
                      <m:sub>
                        <m:r>
                          <m:rPr/>
                          <w:rPr>
                            <w:rFonts w:hint="default" w:ascii="Cambria Math" w:hAnsi="Cambria Math" w:cs="Times New Roman"/>
                            <w:snapToGrid w:val="0"/>
                            <w:color w:val="000000"/>
                            <w:kern w:val="0"/>
                            <w:sz w:val="24"/>
                            <w:szCs w:val="22"/>
                          </w:rPr>
                          <m:t>gr</m:t>
                        </m:r>
                        <m:ctrlPr>
                          <w:rPr>
                            <w:rFonts w:hint="default" w:ascii="Cambria Math" w:hAnsi="Cambria Math" w:cs="Times New Roman"/>
                            <w:i/>
                            <w:snapToGrid w:val="0"/>
                            <w:color w:val="000000"/>
                            <w:kern w:val="0"/>
                            <w:sz w:val="24"/>
                            <w:szCs w:val="22"/>
                          </w:rPr>
                        </m:ctrlPr>
                      </m:sub>
                    </m:sSub>
                    <m:r>
                      <m:rPr/>
                      <w:rPr>
                        <w:rFonts w:hint="default" w:ascii="Cambria Math" w:hAnsi="Cambria Math" w:cs="Times New Roman"/>
                        <w:snapToGrid w:val="0"/>
                        <w:color w:val="000000"/>
                        <w:kern w:val="0"/>
                        <w:sz w:val="24"/>
                        <w:szCs w:val="22"/>
                      </w:rPr>
                      <m:t>+</m:t>
                    </m:r>
                    <m:sSub>
                      <m:sSubPr>
                        <m:ctrlPr>
                          <w:rPr>
                            <w:rFonts w:hint="default" w:ascii="Cambria Math" w:hAnsi="Cambria Math" w:cs="Times New Roman"/>
                            <w:i/>
                            <w:snapToGrid w:val="0"/>
                            <w:color w:val="000000"/>
                            <w:kern w:val="0"/>
                            <w:sz w:val="24"/>
                            <w:szCs w:val="22"/>
                          </w:rPr>
                        </m:ctrlPr>
                      </m:sSubPr>
                      <m:e>
                        <m:r>
                          <m:rPr/>
                          <w:rPr>
                            <w:rFonts w:hint="default" w:ascii="Cambria Math" w:hAnsi="Cambria Math" w:cs="Times New Roman"/>
                            <w:snapToGrid w:val="0"/>
                            <w:color w:val="000000"/>
                            <w:kern w:val="0"/>
                            <w:sz w:val="24"/>
                            <w:szCs w:val="22"/>
                          </w:rPr>
                          <m:t>A</m:t>
                        </m:r>
                        <m:ctrlPr>
                          <w:rPr>
                            <w:rFonts w:hint="default" w:ascii="Cambria Math" w:hAnsi="Cambria Math" w:cs="Times New Roman"/>
                            <w:i/>
                            <w:snapToGrid w:val="0"/>
                            <w:color w:val="000000"/>
                            <w:kern w:val="0"/>
                            <w:sz w:val="24"/>
                            <w:szCs w:val="22"/>
                          </w:rPr>
                        </m:ctrlPr>
                      </m:e>
                      <m:sub>
                        <m:r>
                          <m:rPr/>
                          <w:rPr>
                            <w:rFonts w:hint="default" w:ascii="Cambria Math" w:hAnsi="Cambria Math" w:cs="Times New Roman"/>
                            <w:snapToGrid w:val="0"/>
                            <w:color w:val="000000"/>
                            <w:kern w:val="0"/>
                            <w:sz w:val="24"/>
                            <w:szCs w:val="22"/>
                          </w:rPr>
                          <m:t>bar</m:t>
                        </m:r>
                        <m:ctrlPr>
                          <w:rPr>
                            <w:rFonts w:hint="default" w:ascii="Cambria Math" w:hAnsi="Cambria Math" w:cs="Times New Roman"/>
                            <w:i/>
                            <w:snapToGrid w:val="0"/>
                            <w:color w:val="000000"/>
                            <w:kern w:val="0"/>
                            <w:sz w:val="24"/>
                            <w:szCs w:val="22"/>
                          </w:rPr>
                        </m:ctrlPr>
                      </m:sub>
                    </m:sSub>
                    <m:r>
                      <m:rPr/>
                      <w:rPr>
                        <w:rFonts w:hint="default" w:ascii="Cambria Math" w:hAnsi="Cambria Math" w:cs="Times New Roman"/>
                        <w:snapToGrid w:val="0"/>
                        <w:color w:val="000000"/>
                        <w:kern w:val="0"/>
                        <w:sz w:val="24"/>
                        <w:szCs w:val="22"/>
                      </w:rPr>
                      <m:t>+</m:t>
                    </m:r>
                    <m:sSub>
                      <m:sSubPr>
                        <m:ctrlPr>
                          <w:rPr>
                            <w:rFonts w:hint="default" w:ascii="Cambria Math" w:hAnsi="Cambria Math" w:cs="Times New Roman"/>
                            <w:i/>
                            <w:snapToGrid w:val="0"/>
                            <w:color w:val="000000"/>
                            <w:kern w:val="0"/>
                            <w:sz w:val="24"/>
                            <w:szCs w:val="22"/>
                          </w:rPr>
                        </m:ctrlPr>
                      </m:sSubPr>
                      <m:e>
                        <m:r>
                          <m:rPr/>
                          <w:rPr>
                            <w:rFonts w:hint="default" w:ascii="Cambria Math" w:hAnsi="Cambria Math" w:cs="Times New Roman"/>
                            <w:snapToGrid w:val="0"/>
                            <w:color w:val="000000"/>
                            <w:kern w:val="0"/>
                            <w:sz w:val="24"/>
                            <w:szCs w:val="22"/>
                          </w:rPr>
                          <m:t>A</m:t>
                        </m:r>
                        <m:ctrlPr>
                          <w:rPr>
                            <w:rFonts w:hint="default" w:ascii="Cambria Math" w:hAnsi="Cambria Math" w:cs="Times New Roman"/>
                            <w:i/>
                            <w:snapToGrid w:val="0"/>
                            <w:color w:val="000000"/>
                            <w:kern w:val="0"/>
                            <w:sz w:val="24"/>
                            <w:szCs w:val="22"/>
                          </w:rPr>
                        </m:ctrlPr>
                      </m:e>
                      <m:sub>
                        <m:r>
                          <m:rPr/>
                          <w:rPr>
                            <w:rFonts w:hint="default" w:ascii="Cambria Math" w:hAnsi="Cambria Math" w:cs="Times New Roman"/>
                            <w:snapToGrid w:val="0"/>
                            <w:color w:val="000000"/>
                            <w:kern w:val="0"/>
                            <w:sz w:val="24"/>
                            <w:szCs w:val="22"/>
                          </w:rPr>
                          <m:t>misc</m:t>
                        </m:r>
                        <m:ctrlPr>
                          <w:rPr>
                            <w:rFonts w:hint="default" w:ascii="Cambria Math" w:hAnsi="Cambria Math" w:cs="Times New Roman"/>
                            <w:i/>
                            <w:snapToGrid w:val="0"/>
                            <w:color w:val="000000"/>
                            <w:kern w:val="0"/>
                            <w:sz w:val="24"/>
                            <w:szCs w:val="22"/>
                          </w:rPr>
                        </m:ctrlPr>
                      </m:sub>
                    </m:sSub>
                    <m:ctrlPr>
                      <w:rPr>
                        <w:rFonts w:hint="default" w:ascii="Cambria Math" w:hAnsi="Cambria Math" w:cs="Times New Roman"/>
                        <w:i/>
                        <w:snapToGrid w:val="0"/>
                        <w:color w:val="000000"/>
                        <w:kern w:val="0"/>
                        <w:sz w:val="24"/>
                        <w:szCs w:val="22"/>
                      </w:rPr>
                    </m:ctrlPr>
                  </m:e>
                </m:d>
              </m:oMath>
            </m:oMathPara>
          </w:p>
          <w:p w14:paraId="431A1221">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snapToGrid w:val="0"/>
                <w:kern w:val="0"/>
                <w:szCs w:val="22"/>
              </w:rPr>
            </w:pPr>
            <w:r>
              <w:rPr>
                <w:rFonts w:hint="eastAsia" w:ascii="宋体" w:hAnsi="宋体" w:eastAsia="宋体" w:cs="宋体"/>
                <w:snapToGrid w:val="0"/>
                <w:kern w:val="0"/>
                <w:szCs w:val="22"/>
              </w:rPr>
              <w:t>式中：</w:t>
            </w:r>
          </w:p>
          <w:p w14:paraId="32CC3921">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snapToGrid w:val="0"/>
                <w:kern w:val="0"/>
                <w:szCs w:val="22"/>
              </w:rPr>
            </w:pPr>
            <w:r>
              <w:rPr>
                <w:rFonts w:hint="eastAsia" w:ascii="宋体" w:hAnsi="宋体" w:eastAsia="宋体" w:cs="宋体"/>
                <w:snapToGrid w:val="0"/>
                <w:kern w:val="0"/>
                <w:szCs w:val="22"/>
              </w:rPr>
              <w:t>L</w:t>
            </w:r>
            <w:r>
              <w:rPr>
                <w:rFonts w:hint="eastAsia" w:ascii="宋体" w:hAnsi="宋体" w:eastAsia="宋体" w:cs="宋体"/>
                <w:snapToGrid w:val="0"/>
                <w:kern w:val="0"/>
                <w:szCs w:val="22"/>
                <w:vertAlign w:val="subscript"/>
              </w:rPr>
              <w:t>p</w:t>
            </w:r>
            <w:r>
              <w:rPr>
                <w:rFonts w:hint="eastAsia" w:ascii="宋体" w:hAnsi="宋体" w:eastAsia="宋体" w:cs="宋体"/>
                <w:snapToGrid w:val="0"/>
                <w:kern w:val="0"/>
                <w:szCs w:val="22"/>
              </w:rPr>
              <w:t xml:space="preserve">(r)——预测点处声压级，dB； </w:t>
            </w:r>
          </w:p>
          <w:p w14:paraId="23DD3C4E">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snapToGrid w:val="0"/>
                <w:kern w:val="0"/>
                <w:szCs w:val="22"/>
              </w:rPr>
            </w:pPr>
            <w:r>
              <w:rPr>
                <w:rFonts w:hint="eastAsia" w:ascii="宋体" w:hAnsi="宋体" w:eastAsia="宋体" w:cs="宋体"/>
                <w:snapToGrid w:val="0"/>
                <w:kern w:val="0"/>
                <w:szCs w:val="22"/>
              </w:rPr>
              <w:t>L</w:t>
            </w:r>
            <w:r>
              <w:rPr>
                <w:rFonts w:hint="eastAsia" w:ascii="宋体" w:hAnsi="宋体" w:eastAsia="宋体" w:cs="宋体"/>
                <w:snapToGrid w:val="0"/>
                <w:kern w:val="0"/>
                <w:szCs w:val="22"/>
                <w:vertAlign w:val="subscript"/>
              </w:rPr>
              <w:t>p</w:t>
            </w:r>
            <w:r>
              <w:rPr>
                <w:rFonts w:hint="eastAsia" w:ascii="宋体" w:hAnsi="宋体" w:eastAsia="宋体" w:cs="宋体"/>
                <w:snapToGrid w:val="0"/>
                <w:kern w:val="0"/>
                <w:szCs w:val="22"/>
              </w:rPr>
              <w:t>(r</w:t>
            </w:r>
            <w:r>
              <w:rPr>
                <w:rFonts w:hint="eastAsia" w:ascii="宋体" w:hAnsi="宋体" w:eastAsia="宋体" w:cs="宋体"/>
                <w:snapToGrid w:val="0"/>
                <w:kern w:val="0"/>
                <w:szCs w:val="22"/>
                <w:vertAlign w:val="subscript"/>
              </w:rPr>
              <w:t>0</w:t>
            </w:r>
            <w:r>
              <w:rPr>
                <w:rFonts w:hint="eastAsia" w:ascii="宋体" w:hAnsi="宋体" w:eastAsia="宋体" w:cs="宋体"/>
                <w:snapToGrid w:val="0"/>
                <w:kern w:val="0"/>
                <w:szCs w:val="22"/>
              </w:rPr>
              <w:t>)——参考位置r</w:t>
            </w:r>
            <w:r>
              <w:rPr>
                <w:rFonts w:hint="eastAsia" w:ascii="宋体" w:hAnsi="宋体" w:eastAsia="宋体" w:cs="宋体"/>
                <w:snapToGrid w:val="0"/>
                <w:kern w:val="0"/>
                <w:szCs w:val="22"/>
                <w:vertAlign w:val="subscript"/>
              </w:rPr>
              <w:t>0</w:t>
            </w:r>
            <w:r>
              <w:rPr>
                <w:rFonts w:hint="eastAsia" w:ascii="宋体" w:hAnsi="宋体" w:eastAsia="宋体" w:cs="宋体"/>
                <w:snapToGrid w:val="0"/>
                <w:kern w:val="0"/>
                <w:szCs w:val="22"/>
              </w:rPr>
              <w:t xml:space="preserve">处的声压级，dB； </w:t>
            </w:r>
          </w:p>
          <w:p w14:paraId="684863FD">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snapToGrid w:val="0"/>
                <w:kern w:val="0"/>
                <w:szCs w:val="22"/>
              </w:rPr>
            </w:pPr>
            <w:r>
              <w:rPr>
                <w:rFonts w:hint="eastAsia" w:ascii="宋体" w:hAnsi="宋体" w:eastAsia="宋体" w:cs="宋体"/>
                <w:snapToGrid w:val="0"/>
                <w:kern w:val="0"/>
                <w:szCs w:val="22"/>
              </w:rPr>
              <w:t>D</w:t>
            </w:r>
            <w:r>
              <w:rPr>
                <w:rFonts w:hint="eastAsia" w:ascii="宋体" w:hAnsi="宋体" w:eastAsia="宋体" w:cs="宋体"/>
                <w:snapToGrid w:val="0"/>
                <w:kern w:val="0"/>
                <w:szCs w:val="22"/>
                <w:vertAlign w:val="subscript"/>
              </w:rPr>
              <w:t>C</w:t>
            </w:r>
            <w:r>
              <w:rPr>
                <w:rFonts w:hint="eastAsia" w:ascii="宋体" w:hAnsi="宋体" w:eastAsia="宋体" w:cs="宋体"/>
                <w:snapToGrid w:val="0"/>
                <w:kern w:val="0"/>
                <w:szCs w:val="22"/>
              </w:rPr>
              <w:t>——指向性校正，它描述点声源的等效连续声压级与产生声功率级L</w:t>
            </w:r>
            <w:r>
              <w:rPr>
                <w:rFonts w:hint="eastAsia" w:ascii="宋体" w:hAnsi="宋体" w:eastAsia="宋体" w:cs="宋体"/>
                <w:snapToGrid w:val="0"/>
                <w:kern w:val="0"/>
                <w:szCs w:val="22"/>
                <w:vertAlign w:val="subscript"/>
              </w:rPr>
              <w:t>w</w:t>
            </w:r>
            <w:r>
              <w:rPr>
                <w:rFonts w:hint="eastAsia" w:ascii="宋体" w:hAnsi="宋体" w:eastAsia="宋体" w:cs="宋体"/>
                <w:snapToGrid w:val="0"/>
                <w:kern w:val="0"/>
                <w:szCs w:val="22"/>
              </w:rPr>
              <w:t xml:space="preserve">的全向点声源在规定方向的声级的偏差程度，dB； </w:t>
            </w:r>
          </w:p>
          <w:p w14:paraId="10169046">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snapToGrid w:val="0"/>
                <w:kern w:val="0"/>
                <w:szCs w:val="22"/>
              </w:rPr>
            </w:pPr>
            <w:r>
              <w:rPr>
                <w:rFonts w:hint="eastAsia" w:ascii="宋体" w:hAnsi="宋体" w:eastAsia="宋体" w:cs="宋体"/>
                <w:snapToGrid w:val="0"/>
                <w:kern w:val="0"/>
                <w:szCs w:val="22"/>
              </w:rPr>
              <w:t>A</w:t>
            </w:r>
            <w:r>
              <w:rPr>
                <w:rFonts w:hint="eastAsia" w:ascii="宋体" w:hAnsi="宋体" w:eastAsia="宋体" w:cs="宋体"/>
                <w:snapToGrid w:val="0"/>
                <w:kern w:val="0"/>
                <w:szCs w:val="22"/>
                <w:vertAlign w:val="subscript"/>
              </w:rPr>
              <w:t>div</w:t>
            </w:r>
            <w:r>
              <w:rPr>
                <w:rFonts w:hint="eastAsia" w:ascii="宋体" w:hAnsi="宋体" w:eastAsia="宋体" w:cs="宋体"/>
                <w:snapToGrid w:val="0"/>
                <w:kern w:val="0"/>
                <w:szCs w:val="22"/>
              </w:rPr>
              <w:t xml:space="preserve">——几何发散引起的衰减，dB； </w:t>
            </w:r>
          </w:p>
          <w:p w14:paraId="002F9677">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snapToGrid w:val="0"/>
                <w:kern w:val="0"/>
                <w:szCs w:val="22"/>
              </w:rPr>
            </w:pPr>
            <w:r>
              <w:rPr>
                <w:rFonts w:hint="eastAsia" w:ascii="宋体" w:hAnsi="宋体" w:eastAsia="宋体" w:cs="宋体"/>
                <w:snapToGrid w:val="0"/>
                <w:kern w:val="0"/>
                <w:szCs w:val="22"/>
              </w:rPr>
              <w:t>A</w:t>
            </w:r>
            <w:r>
              <w:rPr>
                <w:rFonts w:hint="eastAsia" w:ascii="宋体" w:hAnsi="宋体" w:eastAsia="宋体" w:cs="宋体"/>
                <w:snapToGrid w:val="0"/>
                <w:kern w:val="0"/>
                <w:szCs w:val="22"/>
                <w:vertAlign w:val="subscript"/>
              </w:rPr>
              <w:t>atm</w:t>
            </w:r>
            <w:r>
              <w:rPr>
                <w:rFonts w:hint="eastAsia" w:ascii="宋体" w:hAnsi="宋体" w:eastAsia="宋体" w:cs="宋体"/>
                <w:snapToGrid w:val="0"/>
                <w:kern w:val="0"/>
                <w:szCs w:val="22"/>
              </w:rPr>
              <w:t xml:space="preserve">——大气吸收引起的衰减，dB； </w:t>
            </w:r>
          </w:p>
          <w:p w14:paraId="6CD1F77E">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snapToGrid w:val="0"/>
                <w:kern w:val="0"/>
                <w:szCs w:val="22"/>
              </w:rPr>
            </w:pPr>
            <w:r>
              <w:rPr>
                <w:rFonts w:hint="eastAsia" w:ascii="宋体" w:hAnsi="宋体" w:eastAsia="宋体" w:cs="宋体"/>
                <w:snapToGrid w:val="0"/>
                <w:kern w:val="0"/>
                <w:szCs w:val="22"/>
              </w:rPr>
              <w:t>A</w:t>
            </w:r>
            <w:r>
              <w:rPr>
                <w:rFonts w:hint="eastAsia" w:ascii="宋体" w:hAnsi="宋体" w:eastAsia="宋体" w:cs="宋体"/>
                <w:snapToGrid w:val="0"/>
                <w:kern w:val="0"/>
                <w:szCs w:val="22"/>
                <w:vertAlign w:val="subscript"/>
              </w:rPr>
              <w:t>gr</w:t>
            </w:r>
            <w:r>
              <w:rPr>
                <w:rFonts w:hint="eastAsia" w:ascii="宋体" w:hAnsi="宋体" w:eastAsia="宋体" w:cs="宋体"/>
                <w:snapToGrid w:val="0"/>
                <w:kern w:val="0"/>
                <w:szCs w:val="22"/>
              </w:rPr>
              <w:t xml:space="preserve">——地面效应引起的衰减，dB； </w:t>
            </w:r>
          </w:p>
          <w:p w14:paraId="369E5F50">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snapToGrid w:val="0"/>
                <w:kern w:val="0"/>
                <w:szCs w:val="22"/>
              </w:rPr>
            </w:pPr>
            <w:r>
              <w:rPr>
                <w:rFonts w:hint="eastAsia" w:ascii="宋体" w:hAnsi="宋体" w:eastAsia="宋体" w:cs="宋体"/>
                <w:snapToGrid w:val="0"/>
                <w:kern w:val="0"/>
                <w:szCs w:val="22"/>
              </w:rPr>
              <w:t>A</w:t>
            </w:r>
            <w:r>
              <w:rPr>
                <w:rFonts w:hint="eastAsia" w:ascii="宋体" w:hAnsi="宋体" w:eastAsia="宋体" w:cs="宋体"/>
                <w:snapToGrid w:val="0"/>
                <w:kern w:val="0"/>
                <w:szCs w:val="22"/>
                <w:vertAlign w:val="subscript"/>
              </w:rPr>
              <w:t>bar</w:t>
            </w:r>
            <w:r>
              <w:rPr>
                <w:rFonts w:hint="eastAsia" w:ascii="宋体" w:hAnsi="宋体" w:eastAsia="宋体" w:cs="宋体"/>
                <w:snapToGrid w:val="0"/>
                <w:kern w:val="0"/>
                <w:szCs w:val="22"/>
              </w:rPr>
              <w:t xml:space="preserve">——障碍物屏蔽引起的衰减，dB； </w:t>
            </w:r>
          </w:p>
          <w:p w14:paraId="73854C71">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snapToGrid w:val="0"/>
                <w:kern w:val="0"/>
                <w:szCs w:val="22"/>
              </w:rPr>
            </w:pPr>
            <w:r>
              <w:rPr>
                <w:rFonts w:hint="eastAsia" w:ascii="宋体" w:hAnsi="宋体" w:eastAsia="宋体" w:cs="宋体"/>
                <w:snapToGrid w:val="0"/>
                <w:kern w:val="0"/>
                <w:szCs w:val="22"/>
              </w:rPr>
              <w:t>A</w:t>
            </w:r>
            <w:r>
              <w:rPr>
                <w:rFonts w:hint="eastAsia" w:ascii="宋体" w:hAnsi="宋体" w:eastAsia="宋体" w:cs="宋体"/>
                <w:snapToGrid w:val="0"/>
                <w:kern w:val="0"/>
                <w:szCs w:val="22"/>
                <w:vertAlign w:val="subscript"/>
              </w:rPr>
              <w:t>misc</w:t>
            </w:r>
            <w:r>
              <w:rPr>
                <w:rFonts w:hint="eastAsia" w:ascii="宋体" w:hAnsi="宋体" w:eastAsia="宋体" w:cs="宋体"/>
                <w:snapToGrid w:val="0"/>
                <w:kern w:val="0"/>
                <w:szCs w:val="22"/>
              </w:rPr>
              <w:t xml:space="preserve">——其他多方面效应引起的衰减，dB。 </w:t>
            </w:r>
          </w:p>
          <w:p w14:paraId="4F9EBAEF">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snapToGrid w:val="0"/>
                <w:kern w:val="0"/>
                <w:szCs w:val="22"/>
              </w:rPr>
            </w:pPr>
            <w:r>
              <w:rPr>
                <w:rFonts w:hint="eastAsia" w:ascii="宋体" w:hAnsi="宋体" w:eastAsia="宋体" w:cs="宋体"/>
                <w:snapToGrid w:val="0"/>
                <w:kern w:val="0"/>
                <w:szCs w:val="22"/>
              </w:rPr>
              <w:t>③噪声贡献值(L</w:t>
            </w:r>
            <w:r>
              <w:rPr>
                <w:rFonts w:hint="eastAsia" w:ascii="宋体" w:hAnsi="宋体" w:eastAsia="宋体" w:cs="宋体"/>
                <w:snapToGrid w:val="0"/>
                <w:kern w:val="0"/>
                <w:szCs w:val="22"/>
                <w:vertAlign w:val="subscript"/>
              </w:rPr>
              <w:t>eqg</w:t>
            </w:r>
            <w:r>
              <w:rPr>
                <w:rFonts w:hint="eastAsia" w:ascii="宋体" w:hAnsi="宋体" w:eastAsia="宋体" w:cs="宋体"/>
                <w:snapToGrid w:val="0"/>
                <w:kern w:val="0"/>
                <w:szCs w:val="22"/>
              </w:rPr>
              <w:t>)计算公式：</w:t>
            </w:r>
          </w:p>
          <w:p w14:paraId="50E14258">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napToGrid w:val="0"/>
                <w:kern w:val="0"/>
                <w:szCs w:val="22"/>
              </w:rPr>
            </w:pPr>
            <m:oMathPara>
              <m:oMath>
                <m:sSub>
                  <m:sSubPr>
                    <m:ctrlPr>
                      <w:rPr>
                        <w:rFonts w:hint="default" w:ascii="Cambria Math" w:hAnsi="Cambria Math" w:cs="Times New Roman"/>
                        <w:i/>
                        <w:snapToGrid w:val="0"/>
                        <w:color w:val="000000"/>
                        <w:kern w:val="0"/>
                        <w:sz w:val="24"/>
                        <w:szCs w:val="22"/>
                      </w:rPr>
                    </m:ctrlPr>
                  </m:sSubPr>
                  <m:e>
                    <m:r>
                      <m:rPr/>
                      <w:rPr>
                        <w:rFonts w:hint="default" w:ascii="Cambria Math" w:hAnsi="Cambria Math" w:cs="Times New Roman"/>
                        <w:snapToGrid w:val="0"/>
                        <w:color w:val="000000"/>
                        <w:kern w:val="0"/>
                        <w:sz w:val="24"/>
                        <w:szCs w:val="22"/>
                      </w:rPr>
                      <m:t>L</m:t>
                    </m:r>
                    <m:ctrlPr>
                      <w:rPr>
                        <w:rFonts w:hint="default" w:ascii="Cambria Math" w:hAnsi="Cambria Math" w:cs="Times New Roman"/>
                        <w:i/>
                        <w:snapToGrid w:val="0"/>
                        <w:color w:val="000000"/>
                        <w:kern w:val="0"/>
                        <w:sz w:val="24"/>
                        <w:szCs w:val="22"/>
                      </w:rPr>
                    </m:ctrlPr>
                  </m:e>
                  <m:sub>
                    <m:r>
                      <m:rPr/>
                      <w:rPr>
                        <w:rFonts w:hint="default" w:ascii="Cambria Math" w:hAnsi="Cambria Math" w:cs="Times New Roman"/>
                        <w:snapToGrid w:val="0"/>
                        <w:color w:val="000000"/>
                        <w:kern w:val="0"/>
                        <w:sz w:val="24"/>
                        <w:szCs w:val="22"/>
                      </w:rPr>
                      <m:t>eqg</m:t>
                    </m:r>
                    <m:ctrlPr>
                      <w:rPr>
                        <w:rFonts w:hint="default" w:ascii="Cambria Math" w:hAnsi="Cambria Math" w:cs="Times New Roman"/>
                        <w:i/>
                        <w:snapToGrid w:val="0"/>
                        <w:color w:val="000000"/>
                        <w:kern w:val="0"/>
                        <w:sz w:val="24"/>
                        <w:szCs w:val="22"/>
                      </w:rPr>
                    </m:ctrlPr>
                  </m:sub>
                </m:sSub>
                <m:r>
                  <m:rPr/>
                  <w:rPr>
                    <w:rFonts w:hint="default" w:ascii="Cambria Math" w:hAnsi="Cambria Math" w:cs="Times New Roman"/>
                    <w:snapToGrid w:val="0"/>
                    <w:color w:val="000000"/>
                    <w:kern w:val="0"/>
                    <w:sz w:val="24"/>
                    <w:szCs w:val="22"/>
                  </w:rPr>
                  <m:t>=10lg</m:t>
                </m:r>
                <m:d>
                  <m:dPr>
                    <m:ctrlPr>
                      <w:rPr>
                        <w:rFonts w:hint="default" w:ascii="Cambria Math" w:hAnsi="Cambria Math" w:cs="Times New Roman"/>
                        <w:i/>
                        <w:snapToGrid w:val="0"/>
                        <w:color w:val="000000"/>
                        <w:kern w:val="0"/>
                        <w:sz w:val="24"/>
                        <w:szCs w:val="22"/>
                      </w:rPr>
                    </m:ctrlPr>
                  </m:dPr>
                  <m:e>
                    <m:f>
                      <m:fPr>
                        <m:ctrlPr>
                          <w:rPr>
                            <w:rFonts w:hint="default" w:ascii="Cambria Math" w:hAnsi="Cambria Math" w:cs="Times New Roman"/>
                            <w:i/>
                            <w:snapToGrid w:val="0"/>
                            <w:color w:val="000000"/>
                            <w:kern w:val="0"/>
                            <w:sz w:val="24"/>
                            <w:szCs w:val="22"/>
                          </w:rPr>
                        </m:ctrlPr>
                      </m:fPr>
                      <m:num>
                        <m:r>
                          <m:rPr/>
                          <w:rPr>
                            <w:rFonts w:hint="default" w:ascii="Cambria Math" w:hAnsi="Cambria Math" w:cs="Times New Roman"/>
                            <w:snapToGrid w:val="0"/>
                            <w:color w:val="000000"/>
                            <w:kern w:val="0"/>
                            <w:sz w:val="24"/>
                            <w:szCs w:val="22"/>
                          </w:rPr>
                          <m:t>1</m:t>
                        </m:r>
                        <m:ctrlPr>
                          <w:rPr>
                            <w:rFonts w:hint="default" w:ascii="Cambria Math" w:hAnsi="Cambria Math" w:cs="Times New Roman"/>
                            <w:i/>
                            <w:snapToGrid w:val="0"/>
                            <w:color w:val="000000"/>
                            <w:kern w:val="0"/>
                            <w:sz w:val="24"/>
                            <w:szCs w:val="22"/>
                          </w:rPr>
                        </m:ctrlPr>
                      </m:num>
                      <m:den>
                        <m:r>
                          <m:rPr/>
                          <w:rPr>
                            <w:rFonts w:hint="default" w:ascii="Cambria Math" w:hAnsi="Cambria Math" w:cs="Times New Roman"/>
                            <w:snapToGrid w:val="0"/>
                            <w:color w:val="000000"/>
                            <w:kern w:val="0"/>
                            <w:sz w:val="24"/>
                            <w:szCs w:val="22"/>
                          </w:rPr>
                          <m:t>T</m:t>
                        </m:r>
                        <m:ctrlPr>
                          <w:rPr>
                            <w:rFonts w:hint="default" w:ascii="Cambria Math" w:hAnsi="Cambria Math" w:cs="Times New Roman"/>
                            <w:i/>
                            <w:snapToGrid w:val="0"/>
                            <w:color w:val="000000"/>
                            <w:kern w:val="0"/>
                            <w:sz w:val="24"/>
                            <w:szCs w:val="22"/>
                          </w:rPr>
                        </m:ctrlPr>
                      </m:den>
                    </m:f>
                    <m:nary>
                      <m:naryPr>
                        <m:chr m:val="∑"/>
                        <m:limLoc m:val="undOvr"/>
                        <m:supHide m:val="1"/>
                        <m:ctrlPr>
                          <w:rPr>
                            <w:rFonts w:hint="default" w:ascii="Cambria Math" w:hAnsi="Cambria Math" w:cs="Times New Roman"/>
                            <w:i/>
                            <w:snapToGrid w:val="0"/>
                            <w:color w:val="000000"/>
                            <w:kern w:val="0"/>
                            <w:sz w:val="24"/>
                            <w:szCs w:val="22"/>
                          </w:rPr>
                        </m:ctrlPr>
                      </m:naryPr>
                      <m:sub>
                        <m:r>
                          <m:rPr/>
                          <w:rPr>
                            <w:rFonts w:hint="default" w:ascii="Cambria Math" w:hAnsi="Cambria Math" w:cs="Times New Roman"/>
                            <w:snapToGrid w:val="0"/>
                            <w:color w:val="000000"/>
                            <w:kern w:val="0"/>
                            <w:sz w:val="24"/>
                            <w:szCs w:val="22"/>
                          </w:rPr>
                          <m:t>i</m:t>
                        </m:r>
                        <m:ctrlPr>
                          <w:rPr>
                            <w:rFonts w:hint="default" w:ascii="Cambria Math" w:hAnsi="Cambria Math" w:cs="Times New Roman"/>
                            <w:i/>
                            <w:snapToGrid w:val="0"/>
                            <w:color w:val="000000"/>
                            <w:kern w:val="0"/>
                            <w:sz w:val="24"/>
                            <w:szCs w:val="22"/>
                          </w:rPr>
                        </m:ctrlPr>
                      </m:sub>
                      <m:sup>
                        <m:ctrlPr>
                          <w:rPr>
                            <w:rFonts w:hint="default" w:ascii="Cambria Math" w:hAnsi="Cambria Math" w:cs="Times New Roman"/>
                            <w:i/>
                            <w:snapToGrid w:val="0"/>
                            <w:color w:val="000000"/>
                            <w:kern w:val="0"/>
                            <w:sz w:val="24"/>
                            <w:szCs w:val="22"/>
                          </w:rPr>
                        </m:ctrlPr>
                      </m:sup>
                      <m:e>
                        <m:sSub>
                          <m:sSubPr>
                            <m:ctrlPr>
                              <w:rPr>
                                <w:rFonts w:hint="default" w:ascii="Cambria Math" w:hAnsi="Cambria Math" w:cs="Times New Roman"/>
                                <w:i/>
                                <w:snapToGrid w:val="0"/>
                                <w:color w:val="000000"/>
                                <w:kern w:val="0"/>
                                <w:sz w:val="24"/>
                                <w:szCs w:val="22"/>
                              </w:rPr>
                            </m:ctrlPr>
                          </m:sSubPr>
                          <m:e>
                            <m:r>
                              <m:rPr/>
                              <w:rPr>
                                <w:rFonts w:hint="default" w:ascii="Cambria Math" w:hAnsi="Cambria Math" w:cs="Times New Roman"/>
                                <w:snapToGrid w:val="0"/>
                                <w:color w:val="000000"/>
                                <w:kern w:val="0"/>
                                <w:sz w:val="24"/>
                                <w:szCs w:val="22"/>
                              </w:rPr>
                              <m:t>t</m:t>
                            </m:r>
                            <m:ctrlPr>
                              <w:rPr>
                                <w:rFonts w:hint="default" w:ascii="Cambria Math" w:hAnsi="Cambria Math" w:cs="Times New Roman"/>
                                <w:i/>
                                <w:snapToGrid w:val="0"/>
                                <w:color w:val="000000"/>
                                <w:kern w:val="0"/>
                                <w:sz w:val="24"/>
                                <w:szCs w:val="22"/>
                              </w:rPr>
                            </m:ctrlPr>
                          </m:e>
                          <m:sub>
                            <m:r>
                              <m:rPr/>
                              <w:rPr>
                                <w:rFonts w:hint="default" w:ascii="Cambria Math" w:hAnsi="Cambria Math" w:cs="Times New Roman"/>
                                <w:snapToGrid w:val="0"/>
                                <w:color w:val="000000"/>
                                <w:kern w:val="0"/>
                                <w:sz w:val="24"/>
                                <w:szCs w:val="22"/>
                              </w:rPr>
                              <m:t>i</m:t>
                            </m:r>
                            <m:ctrlPr>
                              <w:rPr>
                                <w:rFonts w:hint="default" w:ascii="Cambria Math" w:hAnsi="Cambria Math" w:cs="Times New Roman"/>
                                <w:i/>
                                <w:snapToGrid w:val="0"/>
                                <w:color w:val="000000"/>
                                <w:kern w:val="0"/>
                                <w:sz w:val="24"/>
                                <w:szCs w:val="22"/>
                              </w:rPr>
                            </m:ctrlPr>
                          </m:sub>
                        </m:sSub>
                        <m:sSup>
                          <m:sSupPr>
                            <m:ctrlPr>
                              <w:rPr>
                                <w:rFonts w:hint="default" w:ascii="Cambria Math" w:hAnsi="Cambria Math" w:cs="Times New Roman"/>
                                <w:i/>
                                <w:snapToGrid w:val="0"/>
                                <w:color w:val="000000"/>
                                <w:kern w:val="0"/>
                                <w:sz w:val="24"/>
                                <w:szCs w:val="22"/>
                              </w:rPr>
                            </m:ctrlPr>
                          </m:sSupPr>
                          <m:e>
                            <m:r>
                              <m:rPr/>
                              <w:rPr>
                                <w:rFonts w:hint="default" w:ascii="Cambria Math" w:hAnsi="Cambria Math" w:cs="Times New Roman"/>
                                <w:snapToGrid w:val="0"/>
                                <w:color w:val="000000"/>
                                <w:kern w:val="0"/>
                                <w:sz w:val="24"/>
                                <w:szCs w:val="22"/>
                              </w:rPr>
                              <m:t>10</m:t>
                            </m:r>
                            <m:ctrlPr>
                              <w:rPr>
                                <w:rFonts w:hint="default" w:ascii="Cambria Math" w:hAnsi="Cambria Math" w:cs="Times New Roman"/>
                                <w:i/>
                                <w:snapToGrid w:val="0"/>
                                <w:color w:val="000000"/>
                                <w:kern w:val="0"/>
                                <w:sz w:val="24"/>
                                <w:szCs w:val="22"/>
                              </w:rPr>
                            </m:ctrlPr>
                          </m:e>
                          <m:sup>
                            <m:r>
                              <m:rPr/>
                              <w:rPr>
                                <w:rFonts w:hint="default" w:ascii="Cambria Math" w:hAnsi="Cambria Math" w:cs="Times New Roman"/>
                                <w:snapToGrid w:val="0"/>
                                <w:color w:val="000000"/>
                                <w:kern w:val="0"/>
                                <w:sz w:val="24"/>
                                <w:szCs w:val="22"/>
                              </w:rPr>
                              <m:t>0.1</m:t>
                            </m:r>
                            <m:sSub>
                              <m:sSubPr>
                                <m:ctrlPr>
                                  <w:rPr>
                                    <w:rFonts w:hint="default" w:ascii="Cambria Math" w:hAnsi="Cambria Math" w:cs="Times New Roman"/>
                                    <w:i/>
                                    <w:snapToGrid w:val="0"/>
                                    <w:color w:val="000000"/>
                                    <w:kern w:val="0"/>
                                    <w:sz w:val="24"/>
                                    <w:szCs w:val="22"/>
                                  </w:rPr>
                                </m:ctrlPr>
                              </m:sSubPr>
                              <m:e>
                                <m:r>
                                  <m:rPr/>
                                  <w:rPr>
                                    <w:rFonts w:hint="default" w:ascii="Cambria Math" w:hAnsi="Cambria Math" w:cs="Times New Roman"/>
                                    <w:snapToGrid w:val="0"/>
                                    <w:color w:val="000000"/>
                                    <w:kern w:val="0"/>
                                    <w:sz w:val="24"/>
                                    <w:szCs w:val="22"/>
                                  </w:rPr>
                                  <m:t>L</m:t>
                                </m:r>
                                <m:ctrlPr>
                                  <w:rPr>
                                    <w:rFonts w:hint="default" w:ascii="Cambria Math" w:hAnsi="Cambria Math" w:cs="Times New Roman"/>
                                    <w:i/>
                                    <w:snapToGrid w:val="0"/>
                                    <w:color w:val="000000"/>
                                    <w:kern w:val="0"/>
                                    <w:sz w:val="24"/>
                                    <w:szCs w:val="22"/>
                                  </w:rPr>
                                </m:ctrlPr>
                              </m:e>
                              <m:sub>
                                <m:r>
                                  <m:rPr/>
                                  <w:rPr>
                                    <w:rFonts w:hint="default" w:ascii="Cambria Math" w:hAnsi="Cambria Math" w:cs="Times New Roman"/>
                                    <w:snapToGrid w:val="0"/>
                                    <w:color w:val="000000"/>
                                    <w:kern w:val="0"/>
                                    <w:sz w:val="24"/>
                                    <w:szCs w:val="22"/>
                                  </w:rPr>
                                  <m:t>Ai</m:t>
                                </m:r>
                                <m:ctrlPr>
                                  <w:rPr>
                                    <w:rFonts w:hint="default" w:ascii="Cambria Math" w:hAnsi="Cambria Math" w:cs="Times New Roman"/>
                                    <w:i/>
                                    <w:snapToGrid w:val="0"/>
                                    <w:color w:val="000000"/>
                                    <w:kern w:val="0"/>
                                    <w:sz w:val="24"/>
                                    <w:szCs w:val="22"/>
                                  </w:rPr>
                                </m:ctrlPr>
                              </m:sub>
                            </m:sSub>
                            <m:ctrlPr>
                              <w:rPr>
                                <w:rFonts w:hint="default" w:ascii="Cambria Math" w:hAnsi="Cambria Math" w:cs="Times New Roman"/>
                                <w:i/>
                                <w:snapToGrid w:val="0"/>
                                <w:color w:val="000000"/>
                                <w:kern w:val="0"/>
                                <w:sz w:val="24"/>
                                <w:szCs w:val="22"/>
                              </w:rPr>
                            </m:ctrlPr>
                          </m:sup>
                        </m:sSup>
                        <m:ctrlPr>
                          <w:rPr>
                            <w:rFonts w:hint="default" w:ascii="Cambria Math" w:hAnsi="Cambria Math" w:cs="Times New Roman"/>
                            <w:i/>
                            <w:snapToGrid w:val="0"/>
                            <w:color w:val="000000"/>
                            <w:kern w:val="0"/>
                            <w:sz w:val="24"/>
                            <w:szCs w:val="22"/>
                          </w:rPr>
                        </m:ctrlPr>
                      </m:e>
                    </m:nary>
                    <m:ctrlPr>
                      <w:rPr>
                        <w:rFonts w:hint="default" w:ascii="Cambria Math" w:hAnsi="Cambria Math" w:cs="Times New Roman"/>
                        <w:i/>
                        <w:snapToGrid w:val="0"/>
                        <w:color w:val="000000"/>
                        <w:kern w:val="0"/>
                        <w:sz w:val="24"/>
                        <w:szCs w:val="22"/>
                      </w:rPr>
                    </m:ctrlPr>
                  </m:e>
                </m:d>
              </m:oMath>
            </m:oMathPara>
          </w:p>
          <w:p w14:paraId="7F8E7633">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snapToGrid w:val="0"/>
                <w:kern w:val="0"/>
                <w:szCs w:val="22"/>
              </w:rPr>
            </w:pPr>
            <w:r>
              <w:rPr>
                <w:rFonts w:hint="eastAsia" w:ascii="宋体" w:hAnsi="宋体" w:eastAsia="宋体" w:cs="宋体"/>
                <w:snapToGrid w:val="0"/>
                <w:kern w:val="0"/>
                <w:szCs w:val="22"/>
              </w:rPr>
              <w:t>式中：</w:t>
            </w:r>
          </w:p>
          <w:p w14:paraId="7C3A7BC4">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snapToGrid w:val="0"/>
                <w:kern w:val="0"/>
                <w:szCs w:val="22"/>
              </w:rPr>
            </w:pPr>
            <w:r>
              <w:rPr>
                <w:rFonts w:hint="eastAsia" w:ascii="宋体" w:hAnsi="宋体" w:eastAsia="宋体" w:cs="宋体"/>
                <w:snapToGrid w:val="0"/>
                <w:kern w:val="0"/>
                <w:szCs w:val="22"/>
              </w:rPr>
              <w:t>L</w:t>
            </w:r>
            <w:r>
              <w:rPr>
                <w:rFonts w:hint="eastAsia" w:ascii="宋体" w:hAnsi="宋体" w:eastAsia="宋体" w:cs="宋体"/>
                <w:snapToGrid w:val="0"/>
                <w:kern w:val="0"/>
                <w:szCs w:val="22"/>
                <w:vertAlign w:val="subscript"/>
              </w:rPr>
              <w:t>eqg</w:t>
            </w:r>
            <w:r>
              <w:rPr>
                <w:rFonts w:hint="eastAsia" w:ascii="宋体" w:hAnsi="宋体" w:eastAsia="宋体" w:cs="宋体"/>
                <w:snapToGrid w:val="0"/>
                <w:kern w:val="0"/>
                <w:szCs w:val="22"/>
              </w:rPr>
              <w:t>——噪声贡献值，dB；</w:t>
            </w:r>
          </w:p>
          <w:p w14:paraId="3E08C216">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snapToGrid w:val="0"/>
                <w:kern w:val="0"/>
                <w:szCs w:val="22"/>
              </w:rPr>
            </w:pPr>
            <w:r>
              <w:rPr>
                <w:rFonts w:hint="eastAsia" w:ascii="宋体" w:hAnsi="宋体" w:eastAsia="宋体" w:cs="宋体"/>
                <w:snapToGrid w:val="0"/>
                <w:kern w:val="0"/>
                <w:szCs w:val="22"/>
              </w:rPr>
              <w:t>T——预测计算的时间段，s；</w:t>
            </w:r>
          </w:p>
          <w:p w14:paraId="4B453D26">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snapToGrid w:val="0"/>
                <w:kern w:val="0"/>
                <w:szCs w:val="22"/>
              </w:rPr>
            </w:pPr>
            <w:r>
              <w:rPr>
                <w:rFonts w:hint="eastAsia" w:ascii="宋体" w:hAnsi="宋体" w:eastAsia="宋体" w:cs="宋体"/>
                <w:snapToGrid w:val="0"/>
                <w:kern w:val="0"/>
                <w:szCs w:val="22"/>
              </w:rPr>
              <w:t>t</w:t>
            </w:r>
            <w:r>
              <w:rPr>
                <w:rFonts w:hint="eastAsia" w:ascii="宋体" w:hAnsi="宋体" w:eastAsia="宋体" w:cs="宋体"/>
                <w:snapToGrid w:val="0"/>
                <w:kern w:val="0"/>
                <w:szCs w:val="22"/>
                <w:vertAlign w:val="subscript"/>
              </w:rPr>
              <w:t>i</w:t>
            </w:r>
            <w:r>
              <w:rPr>
                <w:rFonts w:hint="eastAsia" w:ascii="宋体" w:hAnsi="宋体" w:eastAsia="宋体" w:cs="宋体"/>
                <w:snapToGrid w:val="0"/>
                <w:kern w:val="0"/>
                <w:szCs w:val="22"/>
              </w:rPr>
              <w:t>——i声源在T时段内的运行时间，s；</w:t>
            </w:r>
          </w:p>
          <w:p w14:paraId="2CF68DEF">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snapToGrid w:val="0"/>
                <w:kern w:val="0"/>
                <w:szCs w:val="22"/>
              </w:rPr>
            </w:pPr>
            <w:r>
              <w:rPr>
                <w:rFonts w:hint="eastAsia" w:ascii="宋体" w:hAnsi="宋体" w:eastAsia="宋体" w:cs="宋体"/>
                <w:snapToGrid w:val="0"/>
                <w:kern w:val="0"/>
                <w:szCs w:val="22"/>
              </w:rPr>
              <w:t>L</w:t>
            </w:r>
            <w:r>
              <w:rPr>
                <w:rFonts w:hint="eastAsia" w:ascii="宋体" w:hAnsi="宋体" w:eastAsia="宋体" w:cs="宋体"/>
                <w:snapToGrid w:val="0"/>
                <w:kern w:val="0"/>
                <w:szCs w:val="22"/>
                <w:vertAlign w:val="subscript"/>
              </w:rPr>
              <w:t>Ai</w:t>
            </w:r>
            <w:r>
              <w:rPr>
                <w:rFonts w:hint="eastAsia" w:ascii="宋体" w:hAnsi="宋体" w:eastAsia="宋体" w:cs="宋体"/>
                <w:snapToGrid w:val="0"/>
                <w:kern w:val="0"/>
                <w:szCs w:val="22"/>
              </w:rPr>
              <w:t>——i声源在预测点产生的等效连续A声级，dB；</w:t>
            </w:r>
          </w:p>
          <w:p w14:paraId="24ABB42E">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snapToGrid w:val="0"/>
                <w:kern w:val="0"/>
                <w:szCs w:val="22"/>
              </w:rPr>
            </w:pPr>
            <w:r>
              <w:rPr>
                <w:rFonts w:hint="eastAsia" w:ascii="宋体" w:hAnsi="宋体" w:eastAsia="宋体" w:cs="宋体"/>
                <w:snapToGrid w:val="0"/>
                <w:kern w:val="0"/>
                <w:szCs w:val="22"/>
              </w:rPr>
              <w:t>预测点的噪声预测值(L</w:t>
            </w:r>
            <w:r>
              <w:rPr>
                <w:rFonts w:hint="eastAsia" w:ascii="宋体" w:hAnsi="宋体" w:eastAsia="宋体" w:cs="宋体"/>
                <w:snapToGrid w:val="0"/>
                <w:kern w:val="0"/>
                <w:szCs w:val="22"/>
                <w:vertAlign w:val="subscript"/>
              </w:rPr>
              <w:t>eq</w:t>
            </w:r>
            <w:r>
              <w:rPr>
                <w:rFonts w:hint="eastAsia" w:ascii="宋体" w:hAnsi="宋体" w:eastAsia="宋体" w:cs="宋体"/>
                <w:snapToGrid w:val="0"/>
                <w:kern w:val="0"/>
                <w:szCs w:val="22"/>
              </w:rPr>
              <w:t>)计算公式：</w:t>
            </w:r>
          </w:p>
          <w:p w14:paraId="2DBF4F83">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napToGrid w:val="0"/>
                <w:kern w:val="0"/>
                <w:szCs w:val="22"/>
              </w:rPr>
            </w:pPr>
            <m:oMathPara>
              <m:oMath>
                <m:sSub>
                  <m:sSubPr>
                    <m:ctrlPr>
                      <w:rPr>
                        <w:rFonts w:hint="default" w:ascii="Cambria Math" w:hAnsi="Cambria Math" w:cs="Times New Roman"/>
                        <w:i/>
                        <w:snapToGrid w:val="0"/>
                        <w:color w:val="000000"/>
                        <w:kern w:val="0"/>
                        <w:sz w:val="24"/>
                        <w:szCs w:val="22"/>
                      </w:rPr>
                    </m:ctrlPr>
                  </m:sSubPr>
                  <m:e>
                    <m:r>
                      <m:rPr/>
                      <w:rPr>
                        <w:rFonts w:hint="default" w:ascii="Cambria Math" w:hAnsi="Cambria Math" w:cs="Times New Roman"/>
                        <w:snapToGrid w:val="0"/>
                        <w:color w:val="000000"/>
                        <w:kern w:val="0"/>
                        <w:sz w:val="24"/>
                        <w:szCs w:val="22"/>
                      </w:rPr>
                      <m:t>L</m:t>
                    </m:r>
                    <m:ctrlPr>
                      <w:rPr>
                        <w:rFonts w:hint="default" w:ascii="Cambria Math" w:hAnsi="Cambria Math" w:cs="Times New Roman"/>
                        <w:i/>
                        <w:snapToGrid w:val="0"/>
                        <w:color w:val="000000"/>
                        <w:kern w:val="0"/>
                        <w:sz w:val="24"/>
                        <w:szCs w:val="22"/>
                      </w:rPr>
                    </m:ctrlPr>
                  </m:e>
                  <m:sub>
                    <m:r>
                      <m:rPr/>
                      <w:rPr>
                        <w:rFonts w:hint="eastAsia" w:ascii="Cambria Math" w:hAnsi="Cambria Math" w:cs="Times New Roman"/>
                        <w:snapToGrid w:val="0"/>
                        <w:color w:val="000000"/>
                        <w:kern w:val="0"/>
                        <w:sz w:val="24"/>
                        <w:szCs w:val="22"/>
                      </w:rPr>
                      <m:t>eq</m:t>
                    </m:r>
                    <m:ctrlPr>
                      <w:rPr>
                        <w:rFonts w:hint="default" w:ascii="Cambria Math" w:hAnsi="Cambria Math" w:cs="Times New Roman"/>
                        <w:i/>
                        <w:snapToGrid w:val="0"/>
                        <w:color w:val="000000"/>
                        <w:kern w:val="0"/>
                        <w:sz w:val="24"/>
                        <w:szCs w:val="22"/>
                      </w:rPr>
                    </m:ctrlPr>
                  </m:sub>
                </m:sSub>
                <m:r>
                  <m:rPr/>
                  <w:rPr>
                    <w:rFonts w:hint="eastAsia" w:ascii="Cambria Math" w:hAnsi="Cambria Math" w:cs="Times New Roman"/>
                    <w:snapToGrid w:val="0"/>
                    <w:color w:val="000000"/>
                    <w:kern w:val="0"/>
                    <w:sz w:val="24"/>
                    <w:szCs w:val="22"/>
                  </w:rPr>
                  <m:t>=</m:t>
                </m:r>
                <m:r>
                  <m:rPr/>
                  <w:rPr>
                    <w:rFonts w:hint="default" w:ascii="Cambria Math" w:hAnsi="Cambria Math" w:cs="Times New Roman"/>
                    <w:snapToGrid w:val="0"/>
                    <w:color w:val="000000"/>
                    <w:kern w:val="0"/>
                    <w:sz w:val="24"/>
                    <w:szCs w:val="22"/>
                  </w:rPr>
                  <m:t>10</m:t>
                </m:r>
                <m:r>
                  <m:rPr/>
                  <w:rPr>
                    <w:rFonts w:hint="eastAsia" w:ascii="Cambria Math" w:hAnsi="Cambria Math" w:cs="Times New Roman"/>
                    <w:snapToGrid w:val="0"/>
                    <w:color w:val="000000"/>
                    <w:kern w:val="0"/>
                    <w:sz w:val="24"/>
                    <w:szCs w:val="22"/>
                  </w:rPr>
                  <m:t>lg</m:t>
                </m:r>
                <m:d>
                  <m:dPr>
                    <m:ctrlPr>
                      <w:rPr>
                        <w:rFonts w:hint="default" w:ascii="Cambria Math" w:hAnsi="Cambria Math" w:cs="Times New Roman"/>
                        <w:i/>
                        <w:snapToGrid w:val="0"/>
                        <w:color w:val="000000"/>
                        <w:kern w:val="0"/>
                        <w:sz w:val="24"/>
                        <w:szCs w:val="22"/>
                      </w:rPr>
                    </m:ctrlPr>
                  </m:dPr>
                  <m:e>
                    <m:sSup>
                      <m:sSupPr>
                        <m:ctrlPr>
                          <w:rPr>
                            <w:rFonts w:hint="default" w:ascii="Cambria Math" w:hAnsi="Cambria Math" w:cs="Times New Roman"/>
                            <w:i/>
                            <w:snapToGrid w:val="0"/>
                            <w:color w:val="000000"/>
                            <w:kern w:val="0"/>
                            <w:sz w:val="24"/>
                            <w:szCs w:val="22"/>
                          </w:rPr>
                        </m:ctrlPr>
                      </m:sSupPr>
                      <m:e>
                        <m:r>
                          <m:rPr/>
                          <w:rPr>
                            <w:rFonts w:hint="default" w:ascii="Cambria Math" w:hAnsi="Cambria Math" w:cs="Times New Roman"/>
                            <w:snapToGrid w:val="0"/>
                            <w:color w:val="000000"/>
                            <w:kern w:val="0"/>
                            <w:sz w:val="24"/>
                            <w:szCs w:val="22"/>
                          </w:rPr>
                          <m:t>10</m:t>
                        </m:r>
                        <m:ctrlPr>
                          <w:rPr>
                            <w:rFonts w:hint="default" w:ascii="Cambria Math" w:hAnsi="Cambria Math" w:cs="Times New Roman"/>
                            <w:i/>
                            <w:snapToGrid w:val="0"/>
                            <w:color w:val="000000"/>
                            <w:kern w:val="0"/>
                            <w:sz w:val="24"/>
                            <w:szCs w:val="22"/>
                          </w:rPr>
                        </m:ctrlPr>
                      </m:e>
                      <m:sup>
                        <m:r>
                          <m:rPr/>
                          <w:rPr>
                            <w:rFonts w:hint="default" w:ascii="Cambria Math" w:hAnsi="Cambria Math" w:cs="Times New Roman"/>
                            <w:snapToGrid w:val="0"/>
                            <w:color w:val="000000"/>
                            <w:kern w:val="0"/>
                            <w:sz w:val="24"/>
                            <w:szCs w:val="22"/>
                          </w:rPr>
                          <m:t>0.1</m:t>
                        </m:r>
                        <m:sSub>
                          <m:sSubPr>
                            <m:ctrlPr>
                              <w:rPr>
                                <w:rFonts w:hint="default" w:ascii="Cambria Math" w:hAnsi="Cambria Math" w:cs="Times New Roman"/>
                                <w:i/>
                                <w:snapToGrid w:val="0"/>
                                <w:color w:val="000000"/>
                                <w:kern w:val="0"/>
                                <w:sz w:val="24"/>
                                <w:szCs w:val="22"/>
                              </w:rPr>
                            </m:ctrlPr>
                          </m:sSubPr>
                          <m:e>
                            <m:r>
                              <m:rPr/>
                              <w:rPr>
                                <w:rFonts w:hint="default" w:ascii="Cambria Math" w:hAnsi="Cambria Math" w:cs="Times New Roman"/>
                                <w:snapToGrid w:val="0"/>
                                <w:color w:val="000000"/>
                                <w:kern w:val="0"/>
                                <w:sz w:val="24"/>
                                <w:szCs w:val="22"/>
                              </w:rPr>
                              <m:t>L</m:t>
                            </m:r>
                            <m:ctrlPr>
                              <w:rPr>
                                <w:rFonts w:hint="default" w:ascii="Cambria Math" w:hAnsi="Cambria Math" w:cs="Times New Roman"/>
                                <w:i/>
                                <w:snapToGrid w:val="0"/>
                                <w:color w:val="000000"/>
                                <w:kern w:val="0"/>
                                <w:sz w:val="24"/>
                                <w:szCs w:val="22"/>
                              </w:rPr>
                            </m:ctrlPr>
                          </m:e>
                          <m:sub>
                            <m:r>
                              <m:rPr/>
                              <w:rPr>
                                <w:rFonts w:hint="eastAsia" w:ascii="Cambria Math" w:hAnsi="Cambria Math" w:cs="Times New Roman"/>
                                <w:snapToGrid w:val="0"/>
                                <w:color w:val="000000"/>
                                <w:kern w:val="0"/>
                                <w:sz w:val="24"/>
                                <w:szCs w:val="22"/>
                              </w:rPr>
                              <m:t>eqg</m:t>
                            </m:r>
                            <m:ctrlPr>
                              <w:rPr>
                                <w:rFonts w:hint="default" w:ascii="Cambria Math" w:hAnsi="Cambria Math" w:cs="Times New Roman"/>
                                <w:i/>
                                <w:snapToGrid w:val="0"/>
                                <w:color w:val="000000"/>
                                <w:kern w:val="0"/>
                                <w:sz w:val="24"/>
                                <w:szCs w:val="22"/>
                              </w:rPr>
                            </m:ctrlPr>
                          </m:sub>
                        </m:sSub>
                        <m:ctrlPr>
                          <w:rPr>
                            <w:rFonts w:hint="default" w:ascii="Cambria Math" w:hAnsi="Cambria Math" w:cs="Times New Roman"/>
                            <w:i/>
                            <w:snapToGrid w:val="0"/>
                            <w:color w:val="000000"/>
                            <w:kern w:val="0"/>
                            <w:sz w:val="24"/>
                            <w:szCs w:val="22"/>
                          </w:rPr>
                        </m:ctrlPr>
                      </m:sup>
                    </m:sSup>
                    <m:r>
                      <m:rPr/>
                      <w:rPr>
                        <w:rFonts w:hint="default" w:ascii="Cambria Math" w:hAnsi="Cambria Math" w:cs="Times New Roman"/>
                        <w:snapToGrid w:val="0"/>
                        <w:color w:val="000000"/>
                        <w:kern w:val="0"/>
                        <w:sz w:val="24"/>
                        <w:szCs w:val="22"/>
                      </w:rPr>
                      <m:t>+</m:t>
                    </m:r>
                    <m:sSup>
                      <m:sSupPr>
                        <m:ctrlPr>
                          <w:rPr>
                            <w:rFonts w:hint="default" w:ascii="Cambria Math" w:hAnsi="Cambria Math" w:cs="Times New Roman"/>
                            <w:i/>
                            <w:snapToGrid w:val="0"/>
                            <w:color w:val="000000"/>
                            <w:kern w:val="0"/>
                            <w:sz w:val="24"/>
                            <w:szCs w:val="22"/>
                          </w:rPr>
                        </m:ctrlPr>
                      </m:sSupPr>
                      <m:e>
                        <m:r>
                          <m:rPr/>
                          <w:rPr>
                            <w:rFonts w:hint="default" w:ascii="Cambria Math" w:hAnsi="Cambria Math" w:cs="Times New Roman"/>
                            <w:snapToGrid w:val="0"/>
                            <w:color w:val="000000"/>
                            <w:kern w:val="0"/>
                            <w:sz w:val="24"/>
                            <w:szCs w:val="22"/>
                          </w:rPr>
                          <m:t>10</m:t>
                        </m:r>
                        <m:ctrlPr>
                          <w:rPr>
                            <w:rFonts w:hint="default" w:ascii="Cambria Math" w:hAnsi="Cambria Math" w:cs="Times New Roman"/>
                            <w:i/>
                            <w:snapToGrid w:val="0"/>
                            <w:color w:val="000000"/>
                            <w:kern w:val="0"/>
                            <w:sz w:val="24"/>
                            <w:szCs w:val="22"/>
                          </w:rPr>
                        </m:ctrlPr>
                      </m:e>
                      <m:sup>
                        <m:r>
                          <m:rPr/>
                          <w:rPr>
                            <w:rFonts w:hint="default" w:ascii="Cambria Math" w:hAnsi="Cambria Math" w:cs="Times New Roman"/>
                            <w:snapToGrid w:val="0"/>
                            <w:color w:val="000000"/>
                            <w:kern w:val="0"/>
                            <w:sz w:val="24"/>
                            <w:szCs w:val="22"/>
                          </w:rPr>
                          <m:t>0.1</m:t>
                        </m:r>
                        <m:sSub>
                          <m:sSubPr>
                            <m:ctrlPr>
                              <w:rPr>
                                <w:rFonts w:hint="default" w:ascii="Cambria Math" w:hAnsi="Cambria Math" w:cs="Times New Roman"/>
                                <w:i/>
                                <w:snapToGrid w:val="0"/>
                                <w:color w:val="000000"/>
                                <w:kern w:val="0"/>
                                <w:sz w:val="24"/>
                                <w:szCs w:val="22"/>
                              </w:rPr>
                            </m:ctrlPr>
                          </m:sSubPr>
                          <m:e>
                            <m:r>
                              <m:rPr/>
                              <w:rPr>
                                <w:rFonts w:hint="default" w:ascii="Cambria Math" w:hAnsi="Cambria Math" w:cs="Times New Roman"/>
                                <w:snapToGrid w:val="0"/>
                                <w:color w:val="000000"/>
                                <w:kern w:val="0"/>
                                <w:sz w:val="24"/>
                                <w:szCs w:val="22"/>
                              </w:rPr>
                              <m:t>L</m:t>
                            </m:r>
                            <m:ctrlPr>
                              <w:rPr>
                                <w:rFonts w:hint="default" w:ascii="Cambria Math" w:hAnsi="Cambria Math" w:cs="Times New Roman"/>
                                <w:i/>
                                <w:snapToGrid w:val="0"/>
                                <w:color w:val="000000"/>
                                <w:kern w:val="0"/>
                                <w:sz w:val="24"/>
                                <w:szCs w:val="22"/>
                              </w:rPr>
                            </m:ctrlPr>
                          </m:e>
                          <m:sub>
                            <m:r>
                              <m:rPr/>
                              <w:rPr>
                                <w:rFonts w:hint="eastAsia" w:ascii="Cambria Math" w:hAnsi="Cambria Math" w:cs="Times New Roman"/>
                                <w:snapToGrid w:val="0"/>
                                <w:color w:val="000000"/>
                                <w:kern w:val="0"/>
                                <w:sz w:val="24"/>
                                <w:szCs w:val="22"/>
                              </w:rPr>
                              <m:t>eqb</m:t>
                            </m:r>
                            <m:ctrlPr>
                              <w:rPr>
                                <w:rFonts w:hint="default" w:ascii="Cambria Math" w:hAnsi="Cambria Math" w:cs="Times New Roman"/>
                                <w:i/>
                                <w:snapToGrid w:val="0"/>
                                <w:color w:val="000000"/>
                                <w:kern w:val="0"/>
                                <w:sz w:val="24"/>
                                <w:szCs w:val="22"/>
                              </w:rPr>
                            </m:ctrlPr>
                          </m:sub>
                        </m:sSub>
                        <m:ctrlPr>
                          <w:rPr>
                            <w:rFonts w:hint="default" w:ascii="Cambria Math" w:hAnsi="Cambria Math" w:cs="Times New Roman"/>
                            <w:i/>
                            <w:snapToGrid w:val="0"/>
                            <w:color w:val="000000"/>
                            <w:kern w:val="0"/>
                            <w:sz w:val="24"/>
                            <w:szCs w:val="22"/>
                          </w:rPr>
                        </m:ctrlPr>
                      </m:sup>
                    </m:sSup>
                    <m:ctrlPr>
                      <w:rPr>
                        <w:rFonts w:hint="default" w:ascii="Cambria Math" w:hAnsi="Cambria Math" w:cs="Times New Roman"/>
                        <w:i/>
                        <w:snapToGrid w:val="0"/>
                        <w:color w:val="000000"/>
                        <w:kern w:val="0"/>
                        <w:sz w:val="24"/>
                        <w:szCs w:val="22"/>
                      </w:rPr>
                    </m:ctrlPr>
                  </m:e>
                </m:d>
              </m:oMath>
            </m:oMathPara>
          </w:p>
          <w:p w14:paraId="27B1D107">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snapToGrid w:val="0"/>
                <w:kern w:val="0"/>
                <w:szCs w:val="22"/>
              </w:rPr>
            </w:pPr>
            <w:r>
              <w:rPr>
                <w:rFonts w:hint="eastAsia" w:ascii="宋体" w:hAnsi="宋体" w:eastAsia="宋体" w:cs="宋体"/>
                <w:snapToGrid w:val="0"/>
                <w:kern w:val="0"/>
                <w:szCs w:val="22"/>
              </w:rPr>
              <w:t>式中：</w:t>
            </w:r>
          </w:p>
          <w:p w14:paraId="23ADC6D5">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snapToGrid w:val="0"/>
                <w:kern w:val="0"/>
                <w:szCs w:val="22"/>
              </w:rPr>
            </w:pPr>
            <w:r>
              <w:rPr>
                <w:rFonts w:hint="eastAsia" w:ascii="宋体" w:hAnsi="宋体" w:eastAsia="宋体" w:cs="宋体"/>
                <w:snapToGrid w:val="0"/>
                <w:kern w:val="0"/>
                <w:szCs w:val="22"/>
              </w:rPr>
              <w:t>L</w:t>
            </w:r>
            <w:r>
              <w:rPr>
                <w:rFonts w:hint="eastAsia" w:ascii="宋体" w:hAnsi="宋体" w:eastAsia="宋体" w:cs="宋体"/>
                <w:snapToGrid w:val="0"/>
                <w:kern w:val="0"/>
                <w:szCs w:val="22"/>
                <w:vertAlign w:val="subscript"/>
              </w:rPr>
              <w:t>eq</w:t>
            </w:r>
            <w:r>
              <w:rPr>
                <w:rFonts w:hint="eastAsia" w:ascii="宋体" w:hAnsi="宋体" w:eastAsia="宋体" w:cs="宋体"/>
                <w:snapToGrid w:val="0"/>
                <w:kern w:val="0"/>
                <w:szCs w:val="22"/>
              </w:rPr>
              <w:t>——预测点的噪声贡献值，dB；</w:t>
            </w:r>
          </w:p>
          <w:p w14:paraId="078059A2">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snapToGrid w:val="0"/>
                <w:kern w:val="0"/>
                <w:szCs w:val="22"/>
              </w:rPr>
            </w:pPr>
            <w:r>
              <w:rPr>
                <w:rFonts w:hint="eastAsia" w:ascii="宋体" w:hAnsi="宋体" w:eastAsia="宋体" w:cs="宋体"/>
                <w:snapToGrid w:val="0"/>
                <w:kern w:val="0"/>
                <w:szCs w:val="22"/>
              </w:rPr>
              <w:t>L</w:t>
            </w:r>
            <w:r>
              <w:rPr>
                <w:rFonts w:hint="eastAsia" w:ascii="宋体" w:hAnsi="宋体" w:eastAsia="宋体" w:cs="宋体"/>
                <w:snapToGrid w:val="0"/>
                <w:kern w:val="0"/>
                <w:szCs w:val="22"/>
                <w:vertAlign w:val="subscript"/>
              </w:rPr>
              <w:t>eqg</w:t>
            </w:r>
            <w:r>
              <w:rPr>
                <w:rFonts w:hint="eastAsia" w:ascii="宋体" w:hAnsi="宋体" w:eastAsia="宋体" w:cs="宋体"/>
                <w:snapToGrid w:val="0"/>
                <w:kern w:val="0"/>
                <w:szCs w:val="22"/>
              </w:rPr>
              <w:t>——建设项目声源在预测点产生的噪声贡献值，dB；</w:t>
            </w:r>
          </w:p>
          <w:p w14:paraId="3F31E754">
            <w:pPr>
              <w:keepNext w:val="0"/>
              <w:keepLines w:val="0"/>
              <w:suppressLineNumbers w:val="0"/>
              <w:spacing w:before="0" w:beforeAutospacing="0" w:after="0" w:afterAutospacing="0"/>
              <w:ind w:left="0" w:right="0" w:firstLine="480" w:firstLineChars="200"/>
              <w:jc w:val="left"/>
              <w:rPr>
                <w:rFonts w:hint="eastAsia" w:ascii="宋体" w:hAnsi="宋体" w:eastAsia="宋体" w:cs="宋体"/>
                <w:bCs/>
              </w:rPr>
            </w:pPr>
            <w:r>
              <w:rPr>
                <w:rFonts w:hint="eastAsia" w:ascii="宋体" w:hAnsi="宋体" w:eastAsia="宋体" w:cs="宋体"/>
                <w:snapToGrid w:val="0"/>
                <w:kern w:val="0"/>
                <w:szCs w:val="22"/>
              </w:rPr>
              <w:t>L</w:t>
            </w:r>
            <w:r>
              <w:rPr>
                <w:rFonts w:hint="eastAsia" w:ascii="宋体" w:hAnsi="宋体" w:eastAsia="宋体" w:cs="宋体"/>
                <w:snapToGrid w:val="0"/>
                <w:kern w:val="0"/>
                <w:szCs w:val="22"/>
                <w:vertAlign w:val="subscript"/>
              </w:rPr>
              <w:t>eqb</w:t>
            </w:r>
            <w:r>
              <w:rPr>
                <w:rFonts w:hint="eastAsia" w:ascii="宋体" w:hAnsi="宋体" w:eastAsia="宋体" w:cs="宋体"/>
                <w:snapToGrid w:val="0"/>
                <w:kern w:val="0"/>
                <w:szCs w:val="22"/>
              </w:rPr>
              <w:t>——预测点的背景噪声值，dB。</w:t>
            </w:r>
          </w:p>
          <w:p w14:paraId="79A303B5">
            <w:pPr>
              <w:keepNext w:val="0"/>
              <w:keepLines w:val="0"/>
              <w:suppressLineNumbers w:val="0"/>
              <w:spacing w:before="0" w:beforeAutospacing="0" w:after="0" w:afterAutospacing="0"/>
              <w:ind w:left="0" w:right="0" w:firstLine="480" w:firstLineChars="200"/>
              <w:rPr>
                <w:rFonts w:hint="default" w:ascii="宋体" w:hAnsi="宋体" w:eastAsia="宋体" w:cs="宋体"/>
                <w:bCs/>
              </w:rPr>
            </w:pPr>
            <w:r>
              <w:rPr>
                <w:rFonts w:hint="eastAsia" w:ascii="宋体" w:hAnsi="宋体" w:eastAsia="宋体" w:cs="宋体"/>
                <w:bCs/>
              </w:rPr>
              <w:t>③噪声预测结果</w:t>
            </w:r>
          </w:p>
          <w:p w14:paraId="31DB0FC1">
            <w:pPr>
              <w:keepNext w:val="0"/>
              <w:keepLines w:val="0"/>
              <w:suppressLineNumbers w:val="0"/>
              <w:spacing w:before="0" w:beforeAutospacing="0" w:after="0" w:afterAutospacing="0"/>
              <w:ind w:left="0" w:right="0"/>
              <w:jc w:val="center"/>
              <w:rPr>
                <w:rFonts w:hint="eastAsia" w:ascii="宋体" w:hAnsi="宋体" w:eastAsia="宋体" w:cs="宋体"/>
                <w:b/>
              </w:rPr>
            </w:pPr>
            <w:r>
              <w:rPr>
                <w:rFonts w:hint="eastAsia" w:ascii="宋体" w:hAnsi="宋体" w:eastAsia="宋体" w:cs="宋体"/>
                <w:b/>
                <w:bCs w:val="0"/>
              </w:rPr>
              <w:t>表4-</w:t>
            </w:r>
            <w:r>
              <w:rPr>
                <w:rFonts w:hint="eastAsia" w:ascii="宋体" w:hAnsi="宋体" w:eastAsia="宋体" w:cs="宋体"/>
                <w:b/>
                <w:bCs w:val="0"/>
                <w:lang w:val="en-US" w:eastAsia="zh-CN"/>
              </w:rPr>
              <w:t>18</w:t>
            </w:r>
            <w:r>
              <w:rPr>
                <w:rFonts w:hint="eastAsia" w:ascii="宋体" w:hAnsi="宋体" w:eastAsia="宋体" w:cs="宋体"/>
                <w:b/>
                <w:bCs w:val="0"/>
              </w:rPr>
              <w:t xml:space="preserve"> 建设项目噪声预测结果一览表  单位：dB(A)</w:t>
            </w:r>
          </w:p>
          <w:tbl>
            <w:tblPr>
              <w:tblStyle w:val="3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74"/>
              <w:gridCol w:w="877"/>
              <w:gridCol w:w="843"/>
              <w:gridCol w:w="738"/>
              <w:gridCol w:w="831"/>
              <w:gridCol w:w="1182"/>
              <w:gridCol w:w="1104"/>
              <w:gridCol w:w="1087"/>
            </w:tblGrid>
            <w:tr w14:paraId="7B2155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374" w:type="dxa"/>
                  <w:vMerge w:val="restart"/>
                  <w:noWrap w:val="0"/>
                  <w:vAlign w:val="center"/>
                </w:tcPr>
                <w:p w14:paraId="2EEE26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sz w:val="21"/>
                      <w:szCs w:val="21"/>
                    </w:rPr>
                  </w:pPr>
                  <w:r>
                    <w:rPr>
                      <w:rFonts w:hint="eastAsia" w:ascii="宋体" w:hAnsi="宋体" w:eastAsia="宋体" w:cs="宋体"/>
                      <w:b/>
                      <w:sz w:val="21"/>
                      <w:szCs w:val="21"/>
                    </w:rPr>
                    <w:t>预测</w:t>
                  </w:r>
                </w:p>
                <w:p w14:paraId="70BA8D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b/>
                      <w:sz w:val="21"/>
                      <w:szCs w:val="21"/>
                    </w:rPr>
                    <w:t>方位</w:t>
                  </w:r>
                </w:p>
              </w:tc>
              <w:tc>
                <w:tcPr>
                  <w:tcW w:w="2458" w:type="dxa"/>
                  <w:gridSpan w:val="3"/>
                  <w:noWrap w:val="0"/>
                  <w:vAlign w:val="center"/>
                </w:tcPr>
                <w:p w14:paraId="1F89E6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b/>
                      <w:sz w:val="21"/>
                      <w:szCs w:val="21"/>
                    </w:rPr>
                    <w:t>最大值点空间相对位置/m</w:t>
                  </w:r>
                </w:p>
              </w:tc>
              <w:tc>
                <w:tcPr>
                  <w:tcW w:w="831" w:type="dxa"/>
                  <w:vMerge w:val="restart"/>
                  <w:noWrap w:val="0"/>
                  <w:vAlign w:val="center"/>
                </w:tcPr>
                <w:p w14:paraId="79D168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b/>
                      <w:sz w:val="21"/>
                      <w:szCs w:val="21"/>
                    </w:rPr>
                    <w:t>时段</w:t>
                  </w:r>
                </w:p>
              </w:tc>
              <w:tc>
                <w:tcPr>
                  <w:tcW w:w="1182" w:type="dxa"/>
                  <w:vMerge w:val="restart"/>
                  <w:noWrap w:val="0"/>
                  <w:vAlign w:val="center"/>
                </w:tcPr>
                <w:p w14:paraId="58A59B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b/>
                      <w:sz w:val="21"/>
                      <w:szCs w:val="21"/>
                    </w:rPr>
                    <w:t>贡献值（dB(A)）</w:t>
                  </w:r>
                </w:p>
              </w:tc>
              <w:tc>
                <w:tcPr>
                  <w:tcW w:w="1104" w:type="dxa"/>
                  <w:vMerge w:val="restart"/>
                  <w:noWrap w:val="0"/>
                  <w:vAlign w:val="center"/>
                </w:tcPr>
                <w:p w14:paraId="43E159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b/>
                      <w:sz w:val="21"/>
                      <w:szCs w:val="21"/>
                    </w:rPr>
                    <w:t>标准限值（dB(A)）</w:t>
                  </w:r>
                </w:p>
              </w:tc>
              <w:tc>
                <w:tcPr>
                  <w:tcW w:w="1087" w:type="dxa"/>
                  <w:vMerge w:val="restart"/>
                  <w:noWrap w:val="0"/>
                  <w:vAlign w:val="center"/>
                </w:tcPr>
                <w:p w14:paraId="3145E7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b/>
                      <w:sz w:val="21"/>
                      <w:szCs w:val="21"/>
                    </w:rPr>
                    <w:t>达标情况</w:t>
                  </w:r>
                </w:p>
              </w:tc>
            </w:tr>
            <w:tr w14:paraId="0CC3C8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374" w:type="dxa"/>
                  <w:vMerge w:val="continue"/>
                  <w:shd w:val="clear" w:color="auto" w:fill="FFFFFF"/>
                  <w:noWrap w:val="0"/>
                  <w:vAlign w:val="center"/>
                </w:tcPr>
                <w:p w14:paraId="72F947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p>
              </w:tc>
              <w:tc>
                <w:tcPr>
                  <w:tcW w:w="877" w:type="dxa"/>
                  <w:shd w:val="clear" w:color="auto" w:fill="FFFFFF"/>
                  <w:noWrap w:val="0"/>
                  <w:vAlign w:val="center"/>
                </w:tcPr>
                <w:p w14:paraId="66A320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X</w:t>
                  </w:r>
                </w:p>
              </w:tc>
              <w:tc>
                <w:tcPr>
                  <w:tcW w:w="843" w:type="dxa"/>
                  <w:shd w:val="clear" w:color="auto" w:fill="FFFFFF"/>
                  <w:noWrap w:val="0"/>
                  <w:vAlign w:val="center"/>
                </w:tcPr>
                <w:p w14:paraId="65E4E8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Y</w:t>
                  </w:r>
                </w:p>
              </w:tc>
              <w:tc>
                <w:tcPr>
                  <w:tcW w:w="738" w:type="dxa"/>
                  <w:shd w:val="clear" w:color="auto" w:fill="FFFFFF"/>
                  <w:noWrap w:val="0"/>
                  <w:vAlign w:val="center"/>
                </w:tcPr>
                <w:p w14:paraId="41C4A8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Z</w:t>
                  </w:r>
                </w:p>
              </w:tc>
              <w:tc>
                <w:tcPr>
                  <w:tcW w:w="831" w:type="dxa"/>
                  <w:vMerge w:val="continue"/>
                  <w:shd w:val="clear" w:color="auto" w:fill="FFFFFF"/>
                  <w:noWrap w:val="0"/>
                  <w:vAlign w:val="center"/>
                </w:tcPr>
                <w:p w14:paraId="30D0D6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p>
              </w:tc>
              <w:tc>
                <w:tcPr>
                  <w:tcW w:w="1182" w:type="dxa"/>
                  <w:vMerge w:val="continue"/>
                  <w:shd w:val="clear" w:color="auto" w:fill="FFFFFF"/>
                  <w:noWrap w:val="0"/>
                  <w:vAlign w:val="center"/>
                </w:tcPr>
                <w:p w14:paraId="3367C7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p>
              </w:tc>
              <w:tc>
                <w:tcPr>
                  <w:tcW w:w="1104" w:type="dxa"/>
                  <w:vMerge w:val="continue"/>
                  <w:shd w:val="clear" w:color="auto" w:fill="FFFFFF"/>
                  <w:noWrap w:val="0"/>
                  <w:vAlign w:val="center"/>
                </w:tcPr>
                <w:p w14:paraId="1BF73D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p>
              </w:tc>
              <w:tc>
                <w:tcPr>
                  <w:tcW w:w="1087" w:type="dxa"/>
                  <w:vMerge w:val="continue"/>
                  <w:shd w:val="clear" w:color="auto" w:fill="FFFFFF"/>
                  <w:noWrap w:val="0"/>
                  <w:vAlign w:val="center"/>
                </w:tcPr>
                <w:p w14:paraId="5EFDAE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p>
              </w:tc>
            </w:tr>
            <w:tr w14:paraId="4AAEC8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374" w:type="dxa"/>
                  <w:shd w:val="clear" w:color="auto" w:fill="FFFFFF"/>
                  <w:noWrap w:val="0"/>
                  <w:vAlign w:val="center"/>
                </w:tcPr>
                <w:p w14:paraId="16EF36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东侧</w:t>
                  </w:r>
                </w:p>
              </w:tc>
              <w:tc>
                <w:tcPr>
                  <w:tcW w:w="877" w:type="dxa"/>
                  <w:shd w:val="clear" w:color="auto" w:fill="FFFFFF"/>
                  <w:noWrap w:val="0"/>
                  <w:vAlign w:val="center"/>
                </w:tcPr>
                <w:p w14:paraId="0123EB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40.5</w:t>
                  </w:r>
                </w:p>
              </w:tc>
              <w:tc>
                <w:tcPr>
                  <w:tcW w:w="843" w:type="dxa"/>
                  <w:shd w:val="clear" w:color="auto" w:fill="FFFFFF"/>
                  <w:noWrap w:val="0"/>
                  <w:vAlign w:val="center"/>
                </w:tcPr>
                <w:p w14:paraId="6FE7F8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7.5</w:t>
                  </w:r>
                </w:p>
              </w:tc>
              <w:tc>
                <w:tcPr>
                  <w:tcW w:w="738" w:type="dxa"/>
                  <w:shd w:val="clear" w:color="auto" w:fill="FFFFFF"/>
                  <w:noWrap w:val="0"/>
                  <w:vAlign w:val="center"/>
                </w:tcPr>
                <w:p w14:paraId="4AFB6E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1.2</w:t>
                  </w:r>
                </w:p>
              </w:tc>
              <w:tc>
                <w:tcPr>
                  <w:tcW w:w="831" w:type="dxa"/>
                  <w:shd w:val="clear" w:color="auto" w:fill="FFFFFF"/>
                  <w:noWrap w:val="0"/>
                  <w:vAlign w:val="center"/>
                </w:tcPr>
                <w:p w14:paraId="29814C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昼间</w:t>
                  </w:r>
                </w:p>
              </w:tc>
              <w:tc>
                <w:tcPr>
                  <w:tcW w:w="1182" w:type="dxa"/>
                  <w:shd w:val="clear" w:color="auto" w:fill="FFFFFF"/>
                  <w:noWrap w:val="0"/>
                  <w:vAlign w:val="center"/>
                </w:tcPr>
                <w:p w14:paraId="3E6E7A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r>
                    <w:rPr>
                      <w:rFonts w:hint="eastAsia" w:ascii="宋体" w:hAnsi="宋体" w:eastAsia="宋体" w:cs="宋体"/>
                      <w:sz w:val="21"/>
                      <w:szCs w:val="21"/>
                    </w:rPr>
                    <w:t>9.5</w:t>
                  </w:r>
                </w:p>
              </w:tc>
              <w:tc>
                <w:tcPr>
                  <w:tcW w:w="1104" w:type="dxa"/>
                  <w:shd w:val="clear" w:color="auto" w:fill="FFFFFF"/>
                  <w:noWrap w:val="0"/>
                  <w:vAlign w:val="center"/>
                </w:tcPr>
                <w:p w14:paraId="251A43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60</w:t>
                  </w:r>
                </w:p>
              </w:tc>
              <w:tc>
                <w:tcPr>
                  <w:tcW w:w="1087" w:type="dxa"/>
                  <w:shd w:val="clear" w:color="auto" w:fill="FFFFFF"/>
                  <w:noWrap w:val="0"/>
                  <w:vAlign w:val="center"/>
                </w:tcPr>
                <w:p w14:paraId="6F7677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达标</w:t>
                  </w:r>
                </w:p>
              </w:tc>
            </w:tr>
            <w:tr w14:paraId="6AB52C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374" w:type="dxa"/>
                  <w:shd w:val="clear" w:color="auto" w:fill="FFFFFF"/>
                  <w:noWrap w:val="0"/>
                  <w:vAlign w:val="center"/>
                </w:tcPr>
                <w:p w14:paraId="4360DA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南侧</w:t>
                  </w:r>
                </w:p>
              </w:tc>
              <w:tc>
                <w:tcPr>
                  <w:tcW w:w="877" w:type="dxa"/>
                  <w:shd w:val="clear" w:color="auto" w:fill="FFFFFF"/>
                  <w:noWrap w:val="0"/>
                  <w:vAlign w:val="center"/>
                </w:tcPr>
                <w:p w14:paraId="019280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26.3</w:t>
                  </w:r>
                </w:p>
              </w:tc>
              <w:tc>
                <w:tcPr>
                  <w:tcW w:w="843" w:type="dxa"/>
                  <w:shd w:val="clear" w:color="auto" w:fill="FFFFFF"/>
                  <w:noWrap w:val="0"/>
                  <w:vAlign w:val="center"/>
                </w:tcPr>
                <w:p w14:paraId="13FFD0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-39.3</w:t>
                  </w:r>
                </w:p>
              </w:tc>
              <w:tc>
                <w:tcPr>
                  <w:tcW w:w="738" w:type="dxa"/>
                  <w:shd w:val="clear" w:color="auto" w:fill="FFFFFF"/>
                  <w:noWrap w:val="0"/>
                  <w:vAlign w:val="center"/>
                </w:tcPr>
                <w:p w14:paraId="2A45B3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1.2</w:t>
                  </w:r>
                </w:p>
              </w:tc>
              <w:tc>
                <w:tcPr>
                  <w:tcW w:w="831" w:type="dxa"/>
                  <w:shd w:val="clear" w:color="auto" w:fill="FFFFFF"/>
                  <w:noWrap w:val="0"/>
                  <w:vAlign w:val="center"/>
                </w:tcPr>
                <w:p w14:paraId="3DF321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昼间</w:t>
                  </w:r>
                </w:p>
              </w:tc>
              <w:tc>
                <w:tcPr>
                  <w:tcW w:w="1182" w:type="dxa"/>
                  <w:shd w:val="clear" w:color="auto" w:fill="FFFFFF"/>
                  <w:noWrap w:val="0"/>
                  <w:vAlign w:val="center"/>
                </w:tcPr>
                <w:p w14:paraId="70A83C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39.5</w:t>
                  </w:r>
                </w:p>
              </w:tc>
              <w:tc>
                <w:tcPr>
                  <w:tcW w:w="1104" w:type="dxa"/>
                  <w:shd w:val="clear" w:color="auto" w:fill="FFFFFF"/>
                  <w:noWrap w:val="0"/>
                  <w:vAlign w:val="center"/>
                </w:tcPr>
                <w:p w14:paraId="244EF0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60</w:t>
                  </w:r>
                </w:p>
              </w:tc>
              <w:tc>
                <w:tcPr>
                  <w:tcW w:w="1087" w:type="dxa"/>
                  <w:shd w:val="clear" w:color="auto" w:fill="FFFFFF"/>
                  <w:noWrap w:val="0"/>
                  <w:vAlign w:val="center"/>
                </w:tcPr>
                <w:p w14:paraId="555076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达标</w:t>
                  </w:r>
                </w:p>
              </w:tc>
            </w:tr>
            <w:tr w14:paraId="28E7FD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374" w:type="dxa"/>
                  <w:shd w:val="clear" w:color="auto" w:fill="FFFFFF"/>
                  <w:noWrap w:val="0"/>
                  <w:vAlign w:val="center"/>
                </w:tcPr>
                <w:p w14:paraId="1146AF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西侧</w:t>
                  </w:r>
                </w:p>
              </w:tc>
              <w:tc>
                <w:tcPr>
                  <w:tcW w:w="877" w:type="dxa"/>
                  <w:shd w:val="clear" w:color="auto" w:fill="FFFFFF"/>
                  <w:noWrap w:val="0"/>
                  <w:vAlign w:val="center"/>
                </w:tcPr>
                <w:p w14:paraId="578F93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-46.6</w:t>
                  </w:r>
                </w:p>
              </w:tc>
              <w:tc>
                <w:tcPr>
                  <w:tcW w:w="843" w:type="dxa"/>
                  <w:shd w:val="clear" w:color="auto" w:fill="FFFFFF"/>
                  <w:noWrap w:val="0"/>
                  <w:vAlign w:val="center"/>
                </w:tcPr>
                <w:p w14:paraId="0CFC11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0.4</w:t>
                  </w:r>
                </w:p>
              </w:tc>
              <w:tc>
                <w:tcPr>
                  <w:tcW w:w="738" w:type="dxa"/>
                  <w:shd w:val="clear" w:color="auto" w:fill="FFFFFF"/>
                  <w:noWrap w:val="0"/>
                  <w:vAlign w:val="center"/>
                </w:tcPr>
                <w:p w14:paraId="19AAC9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1.2</w:t>
                  </w:r>
                </w:p>
              </w:tc>
              <w:tc>
                <w:tcPr>
                  <w:tcW w:w="831" w:type="dxa"/>
                  <w:shd w:val="clear" w:color="auto" w:fill="FFFFFF"/>
                  <w:noWrap w:val="0"/>
                  <w:vAlign w:val="center"/>
                </w:tcPr>
                <w:p w14:paraId="0A0E9F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昼间</w:t>
                  </w:r>
                </w:p>
              </w:tc>
              <w:tc>
                <w:tcPr>
                  <w:tcW w:w="1182" w:type="dxa"/>
                  <w:shd w:val="clear" w:color="auto" w:fill="FFFFFF"/>
                  <w:noWrap w:val="0"/>
                  <w:vAlign w:val="center"/>
                </w:tcPr>
                <w:p w14:paraId="3BCF9A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33.7</w:t>
                  </w:r>
                </w:p>
              </w:tc>
              <w:tc>
                <w:tcPr>
                  <w:tcW w:w="1104" w:type="dxa"/>
                  <w:shd w:val="clear" w:color="auto" w:fill="FFFFFF"/>
                  <w:noWrap w:val="0"/>
                  <w:vAlign w:val="center"/>
                </w:tcPr>
                <w:p w14:paraId="29E2CE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60</w:t>
                  </w:r>
                </w:p>
              </w:tc>
              <w:tc>
                <w:tcPr>
                  <w:tcW w:w="1087" w:type="dxa"/>
                  <w:shd w:val="clear" w:color="auto" w:fill="FFFFFF"/>
                  <w:noWrap w:val="0"/>
                  <w:vAlign w:val="center"/>
                </w:tcPr>
                <w:p w14:paraId="6CFBDD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达标</w:t>
                  </w:r>
                </w:p>
              </w:tc>
            </w:tr>
            <w:tr w14:paraId="401DBA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374" w:type="dxa"/>
                  <w:shd w:val="clear" w:color="auto" w:fill="FFFFFF"/>
                  <w:noWrap w:val="0"/>
                  <w:vAlign w:val="center"/>
                </w:tcPr>
                <w:p w14:paraId="68B740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北侧</w:t>
                  </w:r>
                </w:p>
              </w:tc>
              <w:tc>
                <w:tcPr>
                  <w:tcW w:w="877" w:type="dxa"/>
                  <w:shd w:val="clear" w:color="auto" w:fill="FFFFFF"/>
                  <w:noWrap w:val="0"/>
                  <w:vAlign w:val="center"/>
                </w:tcPr>
                <w:p w14:paraId="62CE90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11.1</w:t>
                  </w:r>
                </w:p>
              </w:tc>
              <w:tc>
                <w:tcPr>
                  <w:tcW w:w="843" w:type="dxa"/>
                  <w:shd w:val="clear" w:color="auto" w:fill="FFFFFF"/>
                  <w:noWrap w:val="0"/>
                  <w:vAlign w:val="center"/>
                </w:tcPr>
                <w:p w14:paraId="5F1DD6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43.6</w:t>
                  </w:r>
                </w:p>
              </w:tc>
              <w:tc>
                <w:tcPr>
                  <w:tcW w:w="738" w:type="dxa"/>
                  <w:shd w:val="clear" w:color="auto" w:fill="FFFFFF"/>
                  <w:noWrap w:val="0"/>
                  <w:vAlign w:val="center"/>
                </w:tcPr>
                <w:p w14:paraId="0FD72F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1.2</w:t>
                  </w:r>
                </w:p>
              </w:tc>
              <w:tc>
                <w:tcPr>
                  <w:tcW w:w="831" w:type="dxa"/>
                  <w:shd w:val="clear" w:color="auto" w:fill="FFFFFF"/>
                  <w:noWrap w:val="0"/>
                  <w:vAlign w:val="center"/>
                </w:tcPr>
                <w:p w14:paraId="66CE85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昼间</w:t>
                  </w:r>
                </w:p>
              </w:tc>
              <w:tc>
                <w:tcPr>
                  <w:tcW w:w="1182" w:type="dxa"/>
                  <w:shd w:val="clear" w:color="auto" w:fill="FFFFFF"/>
                  <w:noWrap w:val="0"/>
                  <w:vAlign w:val="center"/>
                </w:tcPr>
                <w:p w14:paraId="3FAEA0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8.4</w:t>
                  </w:r>
                </w:p>
              </w:tc>
              <w:tc>
                <w:tcPr>
                  <w:tcW w:w="1104" w:type="dxa"/>
                  <w:shd w:val="clear" w:color="auto" w:fill="FFFFFF"/>
                  <w:noWrap w:val="0"/>
                  <w:vAlign w:val="center"/>
                </w:tcPr>
                <w:p w14:paraId="6DB2EB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60</w:t>
                  </w:r>
                </w:p>
              </w:tc>
              <w:tc>
                <w:tcPr>
                  <w:tcW w:w="1087" w:type="dxa"/>
                  <w:shd w:val="clear" w:color="auto" w:fill="FFFFFF"/>
                  <w:noWrap w:val="0"/>
                  <w:vAlign w:val="center"/>
                </w:tcPr>
                <w:p w14:paraId="52D8BE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达标</w:t>
                  </w:r>
                </w:p>
              </w:tc>
            </w:tr>
            <w:tr w14:paraId="728A8F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07" w:hRule="exact"/>
                <w:jc w:val="center"/>
              </w:trPr>
              <w:tc>
                <w:tcPr>
                  <w:tcW w:w="1374" w:type="dxa"/>
                  <w:shd w:val="clear" w:color="auto" w:fill="FFFFFF"/>
                  <w:noWrap w:val="0"/>
                  <w:vAlign w:val="center"/>
                </w:tcPr>
                <w:p w14:paraId="70664C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陈武村</w:t>
                  </w:r>
                </w:p>
                <w:p w14:paraId="74D2CF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（南侧）</w:t>
                  </w:r>
                </w:p>
              </w:tc>
              <w:tc>
                <w:tcPr>
                  <w:tcW w:w="877" w:type="dxa"/>
                  <w:shd w:val="clear" w:color="auto" w:fill="FFFFFF"/>
                  <w:noWrap w:val="0"/>
                  <w:vAlign w:val="center"/>
                </w:tcPr>
                <w:p w14:paraId="10C346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14.6</w:t>
                  </w:r>
                </w:p>
              </w:tc>
              <w:tc>
                <w:tcPr>
                  <w:tcW w:w="843" w:type="dxa"/>
                  <w:shd w:val="clear" w:color="auto" w:fill="FFFFFF"/>
                  <w:noWrap w:val="0"/>
                  <w:vAlign w:val="center"/>
                </w:tcPr>
                <w:p w14:paraId="39527C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-22</w:t>
                  </w:r>
                </w:p>
              </w:tc>
              <w:tc>
                <w:tcPr>
                  <w:tcW w:w="738" w:type="dxa"/>
                  <w:shd w:val="clear" w:color="auto" w:fill="FFFFFF"/>
                  <w:noWrap w:val="0"/>
                  <w:vAlign w:val="center"/>
                </w:tcPr>
                <w:p w14:paraId="1E7509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1.2</w:t>
                  </w:r>
                </w:p>
              </w:tc>
              <w:tc>
                <w:tcPr>
                  <w:tcW w:w="831" w:type="dxa"/>
                  <w:shd w:val="clear" w:color="auto" w:fill="FFFFFF"/>
                  <w:noWrap w:val="0"/>
                  <w:vAlign w:val="center"/>
                </w:tcPr>
                <w:p w14:paraId="6B75A1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昼间</w:t>
                  </w:r>
                </w:p>
              </w:tc>
              <w:tc>
                <w:tcPr>
                  <w:tcW w:w="1182" w:type="dxa"/>
                  <w:shd w:val="clear" w:color="auto" w:fill="FFFFFF"/>
                  <w:noWrap w:val="0"/>
                  <w:vAlign w:val="center"/>
                </w:tcPr>
                <w:p w14:paraId="387918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27.8</w:t>
                  </w:r>
                </w:p>
              </w:tc>
              <w:tc>
                <w:tcPr>
                  <w:tcW w:w="1104" w:type="dxa"/>
                  <w:shd w:val="clear" w:color="auto" w:fill="FFFFFF"/>
                  <w:noWrap w:val="0"/>
                  <w:vAlign w:val="center"/>
                </w:tcPr>
                <w:p w14:paraId="7FD84D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60</w:t>
                  </w:r>
                </w:p>
              </w:tc>
              <w:tc>
                <w:tcPr>
                  <w:tcW w:w="1087" w:type="dxa"/>
                  <w:shd w:val="clear" w:color="auto" w:fill="FFFFFF"/>
                  <w:noWrap w:val="0"/>
                  <w:vAlign w:val="center"/>
                </w:tcPr>
                <w:p w14:paraId="647D7E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达标</w:t>
                  </w:r>
                </w:p>
              </w:tc>
            </w:tr>
            <w:tr w14:paraId="4C286B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06" w:hRule="exact"/>
                <w:jc w:val="center"/>
              </w:trPr>
              <w:tc>
                <w:tcPr>
                  <w:tcW w:w="1374" w:type="dxa"/>
                  <w:shd w:val="clear" w:color="auto" w:fill="FFFFFF"/>
                  <w:noWrap w:val="0"/>
                  <w:vAlign w:val="center"/>
                </w:tcPr>
                <w:p w14:paraId="13BF92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陈武村</w:t>
                  </w:r>
                </w:p>
                <w:p w14:paraId="70E1BC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（东南侧）</w:t>
                  </w:r>
                </w:p>
              </w:tc>
              <w:tc>
                <w:tcPr>
                  <w:tcW w:w="877" w:type="dxa"/>
                  <w:shd w:val="clear" w:color="auto" w:fill="FFFFFF"/>
                  <w:noWrap w:val="0"/>
                  <w:vAlign w:val="center"/>
                </w:tcPr>
                <w:p w14:paraId="127EB0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16.5</w:t>
                  </w:r>
                </w:p>
              </w:tc>
              <w:tc>
                <w:tcPr>
                  <w:tcW w:w="843" w:type="dxa"/>
                  <w:shd w:val="clear" w:color="auto" w:fill="FFFFFF"/>
                  <w:noWrap w:val="0"/>
                  <w:vAlign w:val="center"/>
                </w:tcPr>
                <w:p w14:paraId="3D4709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-21.3</w:t>
                  </w:r>
                </w:p>
              </w:tc>
              <w:tc>
                <w:tcPr>
                  <w:tcW w:w="738" w:type="dxa"/>
                  <w:shd w:val="clear" w:color="auto" w:fill="FFFFFF"/>
                  <w:noWrap w:val="0"/>
                  <w:vAlign w:val="center"/>
                </w:tcPr>
                <w:p w14:paraId="57F710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1.2</w:t>
                  </w:r>
                </w:p>
              </w:tc>
              <w:tc>
                <w:tcPr>
                  <w:tcW w:w="831" w:type="dxa"/>
                  <w:shd w:val="clear" w:color="auto" w:fill="FFFFFF"/>
                  <w:noWrap w:val="0"/>
                  <w:vAlign w:val="center"/>
                </w:tcPr>
                <w:p w14:paraId="5FBD95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昼间</w:t>
                  </w:r>
                </w:p>
              </w:tc>
              <w:tc>
                <w:tcPr>
                  <w:tcW w:w="1182" w:type="dxa"/>
                  <w:shd w:val="clear" w:color="auto" w:fill="FFFFFF"/>
                  <w:noWrap w:val="0"/>
                  <w:vAlign w:val="center"/>
                </w:tcPr>
                <w:p w14:paraId="707C6D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31.0</w:t>
                  </w:r>
                </w:p>
              </w:tc>
              <w:tc>
                <w:tcPr>
                  <w:tcW w:w="1104" w:type="dxa"/>
                  <w:shd w:val="clear" w:color="auto" w:fill="FFFFFF"/>
                  <w:noWrap w:val="0"/>
                  <w:vAlign w:val="center"/>
                </w:tcPr>
                <w:p w14:paraId="76F65B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60</w:t>
                  </w:r>
                </w:p>
              </w:tc>
              <w:tc>
                <w:tcPr>
                  <w:tcW w:w="1087" w:type="dxa"/>
                  <w:shd w:val="clear" w:color="auto" w:fill="FFFFFF"/>
                  <w:noWrap w:val="0"/>
                  <w:vAlign w:val="center"/>
                </w:tcPr>
                <w:p w14:paraId="539BB5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达标</w:t>
                  </w:r>
                </w:p>
              </w:tc>
            </w:tr>
          </w:tbl>
          <w:p w14:paraId="2E00B559">
            <w:pPr>
              <w:keepNext w:val="0"/>
              <w:keepLines w:val="0"/>
              <w:suppressLineNumbers w:val="0"/>
              <w:spacing w:before="0" w:beforeAutospacing="0" w:after="0" w:afterAutospacing="0"/>
              <w:ind w:left="0" w:right="0" w:firstLine="480" w:firstLineChars="200"/>
              <w:jc w:val="left"/>
              <w:rPr>
                <w:rFonts w:hint="eastAsia" w:ascii="宋体" w:hAnsi="宋体" w:eastAsia="宋体" w:cs="宋体"/>
              </w:rPr>
            </w:pPr>
            <w:r>
              <w:rPr>
                <w:rFonts w:hint="eastAsia" w:ascii="宋体" w:hAnsi="宋体" w:eastAsia="宋体" w:cs="宋体"/>
              </w:rPr>
              <w:t>由表4-</w:t>
            </w:r>
            <w:r>
              <w:rPr>
                <w:rFonts w:hint="eastAsia" w:ascii="宋体" w:hAnsi="宋体" w:eastAsia="宋体" w:cs="宋体"/>
                <w:lang w:val="en-US" w:eastAsia="zh-CN"/>
              </w:rPr>
              <w:t>18</w:t>
            </w:r>
            <w:r>
              <w:rPr>
                <w:rFonts w:hint="eastAsia" w:ascii="宋体" w:hAnsi="宋体" w:eastAsia="宋体" w:cs="宋体"/>
              </w:rPr>
              <w:t>可知，项目投产后，各预测点噪声将有不同程度的增加，但由于本项目主要生产设备放在车间内，车间隔声效果较好，再经距离衰减后，厂界四周预测点昼间噪声预测值均能满足《工业企业厂界环境噪声排放标准》（GB12348-2008）</w:t>
            </w:r>
            <w:r>
              <w:rPr>
                <w:rFonts w:hint="eastAsia" w:ascii="宋体" w:hAnsi="宋体" w:eastAsia="宋体" w:cs="宋体"/>
                <w:lang w:val="en-US" w:eastAsia="zh-CN"/>
              </w:rPr>
              <w:t>2</w:t>
            </w:r>
            <w:r>
              <w:rPr>
                <w:rFonts w:hint="eastAsia" w:ascii="宋体" w:hAnsi="宋体" w:eastAsia="宋体" w:cs="宋体"/>
              </w:rPr>
              <w:t>类标准要求。本项目投产后，对区域声环境质量无明显影响。</w:t>
            </w:r>
          </w:p>
          <w:p w14:paraId="267D45CA">
            <w:pPr>
              <w:keepNext w:val="0"/>
              <w:keepLines w:val="0"/>
              <w:suppressLineNumbers w:val="0"/>
              <w:spacing w:before="0" w:beforeAutospacing="0" w:after="0" w:afterAutospacing="0"/>
              <w:ind w:left="0" w:right="0"/>
              <w:jc w:val="center"/>
              <w:rPr>
                <w:rFonts w:hint="eastAsia" w:ascii="宋体" w:hAnsi="宋体" w:eastAsia="宋体" w:cs="宋体"/>
              </w:rPr>
            </w:pPr>
            <w:r>
              <w:rPr>
                <w:rFonts w:hint="default"/>
              </w:rPr>
              <w:drawing>
                <wp:inline distT="0" distB="0" distL="114300" distR="114300">
                  <wp:extent cx="4787900" cy="3797300"/>
                  <wp:effectExtent l="0" t="0" r="12700"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4"/>
                          <a:stretch>
                            <a:fillRect/>
                          </a:stretch>
                        </pic:blipFill>
                        <pic:spPr>
                          <a:xfrm>
                            <a:off x="0" y="0"/>
                            <a:ext cx="4787900" cy="3797300"/>
                          </a:xfrm>
                          <a:prstGeom prst="rect">
                            <a:avLst/>
                          </a:prstGeom>
                          <a:noFill/>
                          <a:ln w="9525">
                            <a:noFill/>
                          </a:ln>
                        </pic:spPr>
                      </pic:pic>
                    </a:graphicData>
                  </a:graphic>
                </wp:inline>
              </w:drawing>
            </w:r>
          </w:p>
          <w:p w14:paraId="0C1ECC8E">
            <w:pPr>
              <w:keepNext w:val="0"/>
              <w:keepLines w:val="0"/>
              <w:suppressLineNumbers w:val="0"/>
              <w:spacing w:before="0" w:beforeAutospacing="0" w:after="0" w:afterAutospacing="0"/>
              <w:ind w:left="0" w:right="0"/>
              <w:jc w:val="center"/>
              <w:rPr>
                <w:rFonts w:hint="default" w:ascii="宋体" w:hAnsi="宋体" w:eastAsia="宋体" w:cs="宋体"/>
                <w:b/>
                <w:bCs/>
                <w:lang w:val="en-US" w:eastAsia="zh-CN"/>
              </w:rPr>
            </w:pPr>
            <w:r>
              <w:rPr>
                <w:rFonts w:hint="eastAsia" w:ascii="宋体" w:hAnsi="宋体" w:eastAsia="宋体" w:cs="宋体"/>
                <w:b/>
                <w:bCs/>
                <w:lang w:val="en-US" w:eastAsia="zh-CN"/>
              </w:rPr>
              <w:t>图4-3 项目昼间噪声预测图</w:t>
            </w:r>
          </w:p>
          <w:p w14:paraId="36093DAC">
            <w:pPr>
              <w:keepNext w:val="0"/>
              <w:keepLines w:val="0"/>
              <w:suppressLineNumbers w:val="0"/>
              <w:spacing w:before="0" w:beforeAutospacing="0" w:after="0" w:afterAutospacing="0"/>
              <w:ind w:left="0" w:right="0"/>
              <w:rPr>
                <w:rFonts w:hint="eastAsia" w:ascii="宋体" w:hAnsi="宋体" w:eastAsia="宋体" w:cs="宋体"/>
              </w:rPr>
            </w:pPr>
            <w:r>
              <w:rPr>
                <w:rFonts w:hint="eastAsia" w:ascii="宋体" w:hAnsi="宋体" w:eastAsia="宋体" w:cs="宋体"/>
              </w:rPr>
              <w:t>3、降噪措施</w:t>
            </w:r>
          </w:p>
          <w:p w14:paraId="5B0495AA">
            <w:pPr>
              <w:keepNext w:val="0"/>
              <w:keepLines w:val="0"/>
              <w:suppressLineNumbers w:val="0"/>
              <w:spacing w:before="0" w:beforeAutospacing="0" w:after="0" w:afterAutospacing="0"/>
              <w:ind w:left="0" w:right="0" w:firstLine="480" w:firstLineChars="200"/>
              <w:jc w:val="left"/>
              <w:rPr>
                <w:rFonts w:hint="eastAsia" w:ascii="宋体" w:hAnsi="宋体" w:eastAsia="宋体" w:cs="宋体"/>
              </w:rPr>
            </w:pPr>
            <w:r>
              <w:rPr>
                <w:rFonts w:hint="eastAsia" w:ascii="宋体" w:hAnsi="宋体" w:eastAsia="宋体" w:cs="宋体"/>
              </w:rPr>
              <w:t>本项目建成后主要采用隔音、消音、基础减震等措施，声环境保护具体对策措施如下：</w:t>
            </w:r>
          </w:p>
          <w:p w14:paraId="4986879B">
            <w:pPr>
              <w:keepNext w:val="0"/>
              <w:keepLines w:val="0"/>
              <w:suppressLineNumbers w:val="0"/>
              <w:spacing w:before="0" w:beforeAutospacing="0" w:after="0" w:afterAutospacing="0"/>
              <w:ind w:left="0" w:right="0" w:firstLine="480" w:firstLineChars="200"/>
              <w:jc w:val="left"/>
              <w:rPr>
                <w:rFonts w:hint="eastAsia" w:ascii="宋体" w:hAnsi="宋体" w:eastAsia="宋体" w:cs="宋体"/>
              </w:rPr>
            </w:pPr>
            <w:r>
              <w:rPr>
                <w:rFonts w:hint="eastAsia" w:ascii="宋体" w:hAnsi="宋体" w:eastAsia="宋体" w:cs="宋体"/>
              </w:rPr>
              <w:t>⑴采购设备时对供应商提出噪音控制要求，尽可能选用低噪音的设备。</w:t>
            </w:r>
          </w:p>
          <w:p w14:paraId="15AD4EB6">
            <w:pPr>
              <w:keepNext w:val="0"/>
              <w:keepLines w:val="0"/>
              <w:suppressLineNumbers w:val="0"/>
              <w:spacing w:before="0" w:beforeAutospacing="0" w:after="0" w:afterAutospacing="0"/>
              <w:ind w:left="0" w:right="0" w:firstLine="480" w:firstLineChars="200"/>
              <w:jc w:val="left"/>
              <w:rPr>
                <w:rFonts w:hint="eastAsia" w:ascii="宋体" w:hAnsi="宋体" w:eastAsia="宋体" w:cs="宋体"/>
              </w:rPr>
            </w:pPr>
            <w:r>
              <w:rPr>
                <w:rFonts w:hint="eastAsia" w:ascii="宋体" w:hAnsi="宋体" w:eastAsia="宋体" w:cs="宋体"/>
              </w:rPr>
              <w:t>⑵根据生产工艺和操作等特点，利用建筑物隔声屏蔽，或配备基础减振设施；对较高噪音设备加装消音器。</w:t>
            </w:r>
          </w:p>
          <w:p w14:paraId="1721BE24">
            <w:pPr>
              <w:keepNext w:val="0"/>
              <w:keepLines w:val="0"/>
              <w:suppressLineNumbers w:val="0"/>
              <w:spacing w:before="0" w:beforeAutospacing="0" w:after="0" w:afterAutospacing="0"/>
              <w:ind w:left="0" w:right="0" w:firstLine="480" w:firstLineChars="200"/>
              <w:jc w:val="left"/>
              <w:rPr>
                <w:rFonts w:hint="eastAsia" w:ascii="宋体" w:hAnsi="宋体" w:eastAsia="宋体" w:cs="宋体"/>
              </w:rPr>
            </w:pPr>
            <w:r>
              <w:rPr>
                <w:rFonts w:hint="eastAsia" w:ascii="宋体" w:hAnsi="宋体" w:eastAsia="宋体" w:cs="宋体"/>
              </w:rPr>
              <w:t>⑶合理布局，将噪声设备集中布置、集中管理，减小对外环境的影响。</w:t>
            </w:r>
          </w:p>
          <w:p w14:paraId="50BA24FC">
            <w:pPr>
              <w:keepNext w:val="0"/>
              <w:keepLines w:val="0"/>
              <w:suppressLineNumbers w:val="0"/>
              <w:spacing w:before="0" w:beforeAutospacing="0" w:after="0" w:afterAutospacing="0"/>
              <w:ind w:left="0" w:right="0" w:firstLine="480" w:firstLineChars="200"/>
              <w:jc w:val="left"/>
              <w:rPr>
                <w:rFonts w:hint="eastAsia" w:ascii="宋体" w:hAnsi="宋体" w:eastAsia="宋体" w:cs="宋体"/>
              </w:rPr>
            </w:pPr>
            <w:r>
              <w:rPr>
                <w:rFonts w:hint="eastAsia" w:ascii="宋体" w:hAnsi="宋体" w:eastAsia="宋体" w:cs="宋体"/>
              </w:rPr>
              <w:t>除上述措施外，项目噪声通过距离衰减等可得到一定程度的降低。环境影响预测表明，采取上述措施后，本项目噪声能够满足《工业企业厂界环境噪声排放标准》（GB12348-2008）</w:t>
            </w:r>
            <w:r>
              <w:rPr>
                <w:rFonts w:hint="eastAsia" w:ascii="宋体" w:hAnsi="宋体" w:eastAsia="宋体" w:cs="宋体"/>
                <w:lang w:val="en-US" w:eastAsia="zh-CN"/>
              </w:rPr>
              <w:t>2</w:t>
            </w:r>
            <w:r>
              <w:rPr>
                <w:rFonts w:hint="eastAsia" w:ascii="宋体" w:hAnsi="宋体" w:eastAsia="宋体" w:cs="宋体"/>
              </w:rPr>
              <w:t>类标准。</w:t>
            </w:r>
          </w:p>
          <w:p w14:paraId="266C84EA">
            <w:pPr>
              <w:keepNext w:val="0"/>
              <w:keepLines w:val="0"/>
              <w:suppressLineNumbers w:val="0"/>
              <w:spacing w:before="0" w:beforeAutospacing="0" w:after="0" w:afterAutospacing="0"/>
              <w:ind w:left="0" w:right="0"/>
              <w:jc w:val="left"/>
              <w:rPr>
                <w:rFonts w:hint="eastAsia" w:ascii="宋体" w:hAnsi="宋体" w:eastAsia="宋体" w:cs="宋体"/>
              </w:rPr>
            </w:pPr>
            <w:r>
              <w:rPr>
                <w:rFonts w:hint="eastAsia" w:ascii="宋体" w:hAnsi="宋体" w:eastAsia="宋体" w:cs="宋体"/>
              </w:rPr>
              <w:t>4、监测要求</w:t>
            </w:r>
          </w:p>
          <w:p w14:paraId="1F42879D">
            <w:pPr>
              <w:keepNext w:val="0"/>
              <w:keepLines w:val="0"/>
              <w:suppressLineNumbers w:val="0"/>
              <w:spacing w:before="0" w:beforeAutospacing="0" w:after="0" w:afterAutospacing="0"/>
              <w:ind w:left="0" w:right="0" w:firstLine="480" w:firstLineChars="200"/>
              <w:jc w:val="left"/>
              <w:rPr>
                <w:rFonts w:hint="default"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根据《排污许可证申请与核发技术规范 工业噪声》（HJ1301-2023）要求，企业噪声环境监测计划见表4-</w:t>
            </w:r>
            <w:r>
              <w:rPr>
                <w:rFonts w:hint="eastAsia" w:ascii="宋体" w:hAnsi="宋体" w:eastAsia="宋体" w:cs="宋体"/>
                <w:color w:val="000000" w:themeColor="text1"/>
                <w:lang w:val="en-US" w:eastAsia="zh-CN"/>
                <w14:textFill>
                  <w14:solidFill>
                    <w14:schemeClr w14:val="tx1"/>
                  </w14:solidFill>
                </w14:textFill>
              </w:rPr>
              <w:t>19</w:t>
            </w:r>
            <w:r>
              <w:rPr>
                <w:rFonts w:hint="eastAsia" w:ascii="宋体" w:hAnsi="宋体" w:eastAsia="宋体" w:cs="宋体"/>
                <w:color w:val="000000" w:themeColor="text1"/>
                <w14:textFill>
                  <w14:solidFill>
                    <w14:schemeClr w14:val="tx1"/>
                  </w14:solidFill>
                </w14:textFill>
              </w:rPr>
              <w:t>。</w:t>
            </w:r>
          </w:p>
          <w:p w14:paraId="41971227">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表4-</w:t>
            </w:r>
            <w:r>
              <w:rPr>
                <w:rFonts w:hint="eastAsia" w:ascii="宋体" w:hAnsi="宋体" w:eastAsia="宋体" w:cs="宋体"/>
                <w:b/>
                <w:bCs/>
                <w:color w:val="000000" w:themeColor="text1"/>
                <w:lang w:val="en-US" w:eastAsia="zh-CN"/>
                <w14:textFill>
                  <w14:solidFill>
                    <w14:schemeClr w14:val="tx1"/>
                  </w14:solidFill>
                </w14:textFill>
              </w:rPr>
              <w:t>19</w:t>
            </w:r>
            <w:r>
              <w:rPr>
                <w:rFonts w:hint="eastAsia" w:ascii="宋体" w:hAnsi="宋体" w:eastAsia="宋体" w:cs="宋体"/>
                <w:b/>
                <w:bCs/>
                <w:color w:val="000000" w:themeColor="text1"/>
                <w14:textFill>
                  <w14:solidFill>
                    <w14:schemeClr w14:val="tx1"/>
                  </w14:solidFill>
                </w14:textFill>
              </w:rPr>
              <w:t xml:space="preserve"> 企业工业噪声监测频次</w:t>
            </w:r>
          </w:p>
          <w:tbl>
            <w:tblPr>
              <w:tblStyle w:val="30"/>
              <w:tblW w:w="452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73"/>
              <w:gridCol w:w="2037"/>
              <w:gridCol w:w="3511"/>
            </w:tblGrid>
            <w:tr w14:paraId="2FBAD9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1" w:type="pct"/>
                  <w:noWrap w:val="0"/>
                  <w:vAlign w:val="center"/>
                </w:tcPr>
                <w:p w14:paraId="3263A1B2">
                  <w:pPr>
                    <w:keepNext w:val="0"/>
                    <w:keepLines w:val="0"/>
                    <w:widowControl/>
                    <w:suppressLineNumbers w:val="0"/>
                    <w:adjustRightInd w:val="0"/>
                    <w:snapToGrid w:val="0"/>
                    <w:spacing w:before="0" w:beforeAutospacing="0" w:after="0" w:afterAutospacing="0" w:line="240" w:lineRule="atLeast"/>
                    <w:ind w:left="0" w:right="0"/>
                    <w:jc w:val="center"/>
                    <w:rPr>
                      <w:rFonts w:hint="eastAsia" w:ascii="宋体" w:hAnsi="宋体" w:eastAsia="宋体" w:cs="宋体"/>
                      <w:b/>
                      <w:bCs/>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监测点位</w:t>
                  </w:r>
                </w:p>
              </w:tc>
              <w:tc>
                <w:tcPr>
                  <w:tcW w:w="1390" w:type="pct"/>
                  <w:noWrap w:val="0"/>
                  <w:vAlign w:val="center"/>
                </w:tcPr>
                <w:p w14:paraId="025A7A4F">
                  <w:pPr>
                    <w:keepNext w:val="0"/>
                    <w:keepLines w:val="0"/>
                    <w:widowControl/>
                    <w:suppressLineNumbers w:val="0"/>
                    <w:adjustRightInd w:val="0"/>
                    <w:snapToGrid w:val="0"/>
                    <w:spacing w:before="0" w:beforeAutospacing="0" w:after="0" w:afterAutospacing="0" w:line="240" w:lineRule="atLeast"/>
                    <w:ind w:left="0" w:right="0"/>
                    <w:jc w:val="center"/>
                    <w:rPr>
                      <w:rFonts w:hint="eastAsia" w:ascii="宋体" w:hAnsi="宋体" w:eastAsia="宋体" w:cs="宋体"/>
                      <w:b/>
                      <w:bCs/>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监测指标</w:t>
                  </w:r>
                </w:p>
              </w:tc>
              <w:tc>
                <w:tcPr>
                  <w:tcW w:w="2397" w:type="pct"/>
                  <w:noWrap w:val="0"/>
                  <w:vAlign w:val="center"/>
                </w:tcPr>
                <w:p w14:paraId="33943C9C">
                  <w:pPr>
                    <w:keepNext w:val="0"/>
                    <w:keepLines w:val="0"/>
                    <w:widowControl/>
                    <w:suppressLineNumbers w:val="0"/>
                    <w:adjustRightInd w:val="0"/>
                    <w:snapToGrid w:val="0"/>
                    <w:spacing w:before="0" w:beforeAutospacing="0" w:after="0" w:afterAutospacing="0" w:line="240" w:lineRule="atLeast"/>
                    <w:ind w:left="0" w:right="0"/>
                    <w:jc w:val="center"/>
                    <w:rPr>
                      <w:rFonts w:hint="eastAsia" w:ascii="宋体" w:hAnsi="宋体" w:eastAsia="宋体" w:cs="宋体"/>
                      <w:b/>
                      <w:bCs/>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监测频次</w:t>
                  </w:r>
                </w:p>
              </w:tc>
            </w:tr>
            <w:tr w14:paraId="0E59BB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1" w:type="pct"/>
                  <w:noWrap w:val="0"/>
                  <w:vAlign w:val="center"/>
                </w:tcPr>
                <w:p w14:paraId="5F8907EE">
                  <w:pPr>
                    <w:keepNext w:val="0"/>
                    <w:keepLines w:val="0"/>
                    <w:widowControl/>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厂界</w:t>
                  </w:r>
                </w:p>
              </w:tc>
              <w:tc>
                <w:tcPr>
                  <w:tcW w:w="1390" w:type="pct"/>
                  <w:noWrap w:val="0"/>
                  <w:vAlign w:val="center"/>
                </w:tcPr>
                <w:p w14:paraId="4F6C217C">
                  <w:pPr>
                    <w:keepNext w:val="0"/>
                    <w:keepLines w:val="0"/>
                    <w:widowControl/>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Leq、Lmax</w:t>
                  </w:r>
                </w:p>
              </w:tc>
              <w:tc>
                <w:tcPr>
                  <w:tcW w:w="2397" w:type="pct"/>
                  <w:noWrap w:val="0"/>
                  <w:vAlign w:val="center"/>
                </w:tcPr>
                <w:p w14:paraId="69893B78">
                  <w:pPr>
                    <w:keepNext w:val="0"/>
                    <w:keepLines w:val="0"/>
                    <w:widowControl/>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1次/季度（昼间）</w:t>
                  </w:r>
                </w:p>
              </w:tc>
            </w:tr>
          </w:tbl>
          <w:p w14:paraId="08878E01">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rPr>
            </w:pPr>
            <w:r>
              <w:rPr>
                <w:rFonts w:hint="eastAsia" w:ascii="宋体" w:hAnsi="宋体" w:eastAsia="宋体" w:cs="宋体"/>
              </w:rPr>
              <w:t>四、固体废物</w:t>
            </w:r>
          </w:p>
          <w:p w14:paraId="551C0433">
            <w:pPr>
              <w:keepNext w:val="0"/>
              <w:keepLines w:val="0"/>
              <w:suppressLineNumbers w:val="0"/>
              <w:adjustRightInd w:val="0"/>
              <w:snapToGrid w:val="0"/>
              <w:spacing w:before="0" w:beforeAutospacing="0" w:after="0" w:afterAutospacing="0"/>
              <w:ind w:left="0" w:right="0"/>
              <w:jc w:val="left"/>
              <w:rPr>
                <w:rFonts w:hint="default" w:ascii="宋体" w:hAnsi="宋体" w:eastAsia="宋体" w:cs="宋体"/>
              </w:rPr>
            </w:pPr>
            <w:r>
              <w:rPr>
                <w:rFonts w:hint="eastAsia" w:ascii="宋体" w:hAnsi="宋体" w:eastAsia="宋体" w:cs="宋体"/>
              </w:rPr>
              <w:t>1、固废产生情况</w:t>
            </w:r>
          </w:p>
          <w:p w14:paraId="25C6FE2C">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lang w:eastAsia="zh-CN"/>
              </w:rPr>
            </w:pPr>
            <w:r>
              <w:rPr>
                <w:rFonts w:hint="eastAsia" w:ascii="宋体" w:hAnsi="宋体" w:eastAsia="宋体" w:cs="宋体"/>
              </w:rPr>
              <w:fldChar w:fldCharType="begin"/>
            </w:r>
            <w:r>
              <w:rPr>
                <w:rFonts w:hint="eastAsia" w:ascii="宋体" w:hAnsi="宋体" w:eastAsia="宋体" w:cs="宋体"/>
              </w:rPr>
              <w:instrText xml:space="preserve"> = 1 \* GB2 \* MERGEFORMAT </w:instrText>
            </w:r>
            <w:r>
              <w:rPr>
                <w:rFonts w:hint="eastAsia" w:ascii="宋体" w:hAnsi="宋体" w:eastAsia="宋体" w:cs="宋体"/>
              </w:rPr>
              <w:fldChar w:fldCharType="separate"/>
            </w:r>
            <w:r>
              <w:rPr>
                <w:rFonts w:hint="eastAsia" w:ascii="宋体" w:hAnsi="宋体" w:eastAsia="宋体" w:cs="宋体"/>
              </w:rPr>
              <w:t>⑴</w:t>
            </w:r>
            <w:r>
              <w:rPr>
                <w:rFonts w:hint="eastAsia" w:ascii="宋体" w:hAnsi="宋体" w:eastAsia="宋体" w:cs="宋体"/>
              </w:rPr>
              <w:fldChar w:fldCharType="end"/>
            </w:r>
            <w:r>
              <w:rPr>
                <w:rFonts w:hint="eastAsia" w:ascii="宋体" w:hAnsi="宋体" w:eastAsia="宋体" w:cs="宋体"/>
                <w:lang w:eastAsia="zh-CN"/>
              </w:rPr>
              <w:t>废砂</w:t>
            </w:r>
          </w:p>
          <w:p w14:paraId="5EECC030">
            <w:pPr>
              <w:pStyle w:val="10"/>
              <w:keepNext w:val="0"/>
              <w:keepLines w:val="0"/>
              <w:suppressLineNumbers w:val="0"/>
              <w:spacing w:before="0" w:beforeAutospacing="0" w:after="0" w:afterAutospacing="0"/>
              <w:ind w:left="0" w:right="0" w:firstLine="480" w:firstLineChars="200"/>
              <w:rPr>
                <w:rFonts w:hint="eastAsia" w:ascii="Times New Roman" w:hAnsi="Times New Roman" w:cs="Times New Roman"/>
              </w:rPr>
            </w:pPr>
            <w:r>
              <w:rPr>
                <w:rFonts w:hint="eastAsia" w:ascii="宋体" w:hAnsi="宋体" w:eastAsia="宋体" w:cs="宋体"/>
                <w:lang w:eastAsia="zh-CN"/>
              </w:rPr>
              <w:t>本项目喷砂机产生废砂约</w:t>
            </w:r>
            <w:r>
              <w:rPr>
                <w:rFonts w:hint="eastAsia" w:ascii="宋体" w:hAnsi="宋体" w:eastAsia="宋体" w:cs="宋体"/>
                <w:lang w:val="en-US" w:eastAsia="zh-CN"/>
              </w:rPr>
              <w:t>0.2</w:t>
            </w:r>
            <w:r>
              <w:rPr>
                <w:rFonts w:hint="eastAsia" w:ascii="宋体" w:hAnsi="宋体" w:eastAsia="宋体" w:cs="宋体"/>
              </w:rPr>
              <w:t>t/a，属于一般固废，收集后卖给物回公司综合利用。</w:t>
            </w:r>
          </w:p>
          <w:p w14:paraId="140884A1">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 2 \* GB2 \* MERGEFORMAT </w:instrText>
            </w:r>
            <w:r>
              <w:rPr>
                <w:rFonts w:hint="eastAsia" w:ascii="宋体" w:hAnsi="宋体" w:eastAsia="宋体" w:cs="宋体"/>
              </w:rPr>
              <w:fldChar w:fldCharType="separate"/>
            </w:r>
            <w:r>
              <w:rPr>
                <w:rFonts w:hint="eastAsia" w:ascii="宋体" w:hAnsi="宋体" w:eastAsia="宋体" w:cs="宋体"/>
              </w:rPr>
              <w:t>⑵</w:t>
            </w:r>
            <w:r>
              <w:rPr>
                <w:rFonts w:hint="eastAsia" w:ascii="宋体" w:hAnsi="宋体" w:eastAsia="宋体" w:cs="宋体"/>
              </w:rPr>
              <w:fldChar w:fldCharType="end"/>
            </w:r>
            <w:r>
              <w:rPr>
                <w:rFonts w:hint="eastAsia" w:ascii="宋体" w:hAnsi="宋体" w:eastAsia="宋体" w:cs="宋体"/>
              </w:rPr>
              <w:t>除尘器收集粉尘</w:t>
            </w:r>
          </w:p>
          <w:p w14:paraId="4C1493D6">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rPr>
            </w:pPr>
            <w:bookmarkStart w:id="176" w:name="_Toc3423"/>
            <w:r>
              <w:rPr>
                <w:rFonts w:hint="eastAsia" w:ascii="宋体" w:hAnsi="宋体" w:eastAsia="宋体" w:cs="宋体"/>
                <w:lang w:eastAsia="zh-CN"/>
              </w:rPr>
              <w:t>本项目喷砂、</w:t>
            </w:r>
            <w:r>
              <w:rPr>
                <w:rFonts w:hint="eastAsia" w:ascii="宋体" w:hAnsi="宋体" w:eastAsia="宋体" w:cs="宋体"/>
                <w:lang w:val="en-US" w:eastAsia="zh-CN"/>
              </w:rPr>
              <w:t>打磨</w:t>
            </w:r>
            <w:r>
              <w:rPr>
                <w:rFonts w:hint="eastAsia" w:ascii="宋体" w:hAnsi="宋体" w:eastAsia="宋体" w:cs="宋体"/>
              </w:rPr>
              <w:t>产生的</w:t>
            </w:r>
            <w:r>
              <w:rPr>
                <w:rFonts w:hint="eastAsia" w:ascii="宋体" w:hAnsi="宋体" w:eastAsia="宋体" w:cs="宋体"/>
                <w:lang w:eastAsia="zh-CN"/>
              </w:rPr>
              <w:t>颗粒物经</w:t>
            </w:r>
            <w:r>
              <w:rPr>
                <w:rFonts w:hint="eastAsia" w:ascii="宋体" w:hAnsi="宋体" w:eastAsia="宋体" w:cs="宋体"/>
              </w:rPr>
              <w:t>布袋除尘器收集处理，收集粉尘量约为</w:t>
            </w:r>
            <w:r>
              <w:rPr>
                <w:rFonts w:hint="eastAsia" w:ascii="宋体" w:hAnsi="宋体" w:eastAsia="宋体" w:cs="宋体"/>
                <w:lang w:val="en-US" w:eastAsia="zh-CN"/>
              </w:rPr>
              <w:t>1.98</w:t>
            </w:r>
            <w:r>
              <w:rPr>
                <w:rFonts w:hint="eastAsia" w:ascii="宋体" w:hAnsi="宋体" w:eastAsia="宋体" w:cs="宋体"/>
              </w:rPr>
              <w:t>t/a，属于一般固废，收集后卖给物回公司综合利用。</w:t>
            </w:r>
            <w:bookmarkEnd w:id="176"/>
          </w:p>
          <w:p w14:paraId="7CE92D9E">
            <w:pPr>
              <w:keepNext w:val="0"/>
              <w:keepLines w:val="0"/>
              <w:suppressLineNumbers w:val="0"/>
              <w:adjustRightInd w:val="0"/>
              <w:snapToGrid w:val="0"/>
              <w:spacing w:before="0" w:beforeAutospacing="0" w:after="0" w:afterAutospacing="0"/>
              <w:ind w:left="0" w:right="0" w:firstLine="480" w:firstLineChars="200"/>
              <w:rPr>
                <w:rFonts w:hint="default" w:ascii="宋体" w:hAnsi="宋体" w:eastAsia="宋体" w:cs="宋体"/>
                <w:lang w:val="en-US" w:eastAsia="zh-CN"/>
              </w:rPr>
            </w:pPr>
            <w:r>
              <w:rPr>
                <w:rFonts w:hint="eastAsia" w:ascii="宋体" w:hAnsi="宋体" w:eastAsia="宋体" w:cs="宋体"/>
                <w:lang w:val="en-US" w:eastAsia="zh-CN"/>
              </w:rPr>
              <w:t>本项目喷塑经旋风除尘+布袋除尘处理后收集的粉尘约7.497t/a，</w:t>
            </w:r>
            <w:r>
              <w:rPr>
                <w:rFonts w:hint="eastAsia" w:ascii="宋体" w:hAnsi="宋体" w:eastAsia="宋体" w:cs="宋体"/>
              </w:rPr>
              <w:t>属于一般固废，</w:t>
            </w:r>
            <w:r>
              <w:rPr>
                <w:rFonts w:hint="eastAsia" w:ascii="宋体" w:hAnsi="宋体" w:eastAsia="宋体" w:cs="宋体"/>
                <w:lang w:val="en-US" w:eastAsia="zh-CN"/>
              </w:rPr>
              <w:t>回用于喷塑工段，可不做固废管理。</w:t>
            </w:r>
          </w:p>
          <w:p w14:paraId="2DD13327">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 3 \* GB2 \* MERGEFORMAT </w:instrText>
            </w:r>
            <w:r>
              <w:rPr>
                <w:rFonts w:hint="eastAsia" w:ascii="宋体" w:hAnsi="宋体" w:eastAsia="宋体" w:cs="宋体"/>
              </w:rPr>
              <w:fldChar w:fldCharType="separate"/>
            </w:r>
            <w:r>
              <w:rPr>
                <w:rFonts w:hint="eastAsia" w:ascii="宋体" w:hAnsi="宋体" w:eastAsia="宋体" w:cs="宋体"/>
              </w:rPr>
              <w:t>⑶</w:t>
            </w:r>
            <w:r>
              <w:rPr>
                <w:rFonts w:hint="eastAsia" w:ascii="宋体" w:hAnsi="宋体" w:eastAsia="宋体" w:cs="宋体"/>
              </w:rPr>
              <w:fldChar w:fldCharType="end"/>
            </w:r>
            <w:r>
              <w:rPr>
                <w:rFonts w:hint="eastAsia" w:ascii="宋体" w:hAnsi="宋体" w:eastAsia="宋体" w:cs="宋体"/>
              </w:rPr>
              <w:t>废布袋</w:t>
            </w:r>
          </w:p>
          <w:p w14:paraId="3B0AFC85">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rPr>
            </w:pPr>
            <w:r>
              <w:rPr>
                <w:rFonts w:hint="eastAsia" w:ascii="宋体" w:hAnsi="宋体" w:eastAsia="宋体" w:cs="宋体"/>
                <w:lang w:eastAsia="zh-CN"/>
              </w:rPr>
              <w:t>本项目脉冲式</w:t>
            </w:r>
            <w:r>
              <w:rPr>
                <w:rFonts w:hint="eastAsia" w:ascii="宋体" w:hAnsi="宋体" w:eastAsia="宋体" w:cs="宋体"/>
              </w:rPr>
              <w:t>布袋除尘器中的布袋定期更换，</w:t>
            </w:r>
            <w:r>
              <w:rPr>
                <w:rFonts w:hint="eastAsia" w:ascii="宋体" w:hAnsi="宋体" w:eastAsia="宋体" w:cs="宋体"/>
                <w:lang w:val="en-US" w:eastAsia="zh-CN"/>
              </w:rPr>
              <w:t>产生废布袋约200只，每只重约600g，</w:t>
            </w:r>
            <w:r>
              <w:rPr>
                <w:rFonts w:hint="eastAsia" w:ascii="宋体" w:hAnsi="宋体" w:eastAsia="宋体" w:cs="宋体"/>
              </w:rPr>
              <w:t>产生的废布袋约0.</w:t>
            </w:r>
            <w:r>
              <w:rPr>
                <w:rFonts w:hint="eastAsia" w:ascii="宋体" w:hAnsi="宋体" w:eastAsia="宋体" w:cs="宋体"/>
                <w:lang w:val="en-US" w:eastAsia="zh-CN"/>
              </w:rPr>
              <w:t>1</w:t>
            </w:r>
            <w:r>
              <w:rPr>
                <w:rFonts w:hint="eastAsia" w:ascii="宋体" w:hAnsi="宋体" w:eastAsia="宋体" w:cs="宋体"/>
              </w:rPr>
              <w:t>2t/a，属于一般固废，收集后卖给物回公司综合利用。</w:t>
            </w:r>
          </w:p>
          <w:p w14:paraId="34C6B27D">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 4 \* GB2 \* MERGEFORMAT </w:instrText>
            </w:r>
            <w:r>
              <w:rPr>
                <w:rFonts w:hint="eastAsia" w:ascii="宋体" w:hAnsi="宋体" w:eastAsia="宋体" w:cs="宋体"/>
              </w:rPr>
              <w:fldChar w:fldCharType="separate"/>
            </w:r>
            <w:r>
              <w:rPr>
                <w:rFonts w:hint="eastAsia" w:ascii="宋体" w:hAnsi="宋体" w:eastAsia="宋体" w:cs="宋体"/>
              </w:rPr>
              <w:t>⑷</w:t>
            </w:r>
            <w:r>
              <w:rPr>
                <w:rFonts w:hint="eastAsia" w:ascii="宋体" w:hAnsi="宋体" w:eastAsia="宋体" w:cs="宋体"/>
              </w:rPr>
              <w:fldChar w:fldCharType="end"/>
            </w:r>
            <w:r>
              <w:rPr>
                <w:rFonts w:hint="eastAsia" w:ascii="宋体" w:hAnsi="宋体" w:eastAsia="宋体" w:cs="宋体"/>
              </w:rPr>
              <w:t>废脱脂液</w:t>
            </w:r>
          </w:p>
          <w:p w14:paraId="2E20BA45">
            <w:pPr>
              <w:keepNext w:val="0"/>
              <w:keepLines w:val="0"/>
              <w:widowControl/>
              <w:suppressLineNumbers w:val="0"/>
              <w:adjustRightInd w:val="0"/>
              <w:snapToGrid w:val="0"/>
              <w:spacing w:before="0" w:beforeAutospacing="0" w:after="0" w:afterAutospacing="0"/>
              <w:ind w:left="0" w:right="0" w:firstLine="480" w:firstLineChars="200"/>
              <w:jc w:val="left"/>
              <w:outlineLvl w:val="0"/>
              <w:rPr>
                <w:rFonts w:hint="eastAsia" w:ascii="宋体" w:hAnsi="宋体" w:eastAsia="宋体" w:cs="宋体"/>
              </w:rPr>
            </w:pPr>
            <w:r>
              <w:rPr>
                <w:rFonts w:hint="eastAsia" w:ascii="宋体" w:hAnsi="宋体" w:eastAsia="宋体" w:cs="宋体"/>
              </w:rPr>
              <w:t>本项目脱脂槽液每</w:t>
            </w:r>
            <w:r>
              <w:rPr>
                <w:rFonts w:hint="eastAsia" w:ascii="宋体" w:hAnsi="宋体" w:eastAsia="宋体" w:cs="宋体"/>
                <w:lang w:val="en-US" w:eastAsia="zh-CN"/>
              </w:rPr>
              <w:t>半年</w:t>
            </w:r>
            <w:r>
              <w:rPr>
                <w:rFonts w:hint="eastAsia" w:ascii="宋体" w:hAnsi="宋体" w:eastAsia="宋体" w:cs="宋体"/>
              </w:rPr>
              <w:t>更换1次，产生废脱脂液</w:t>
            </w:r>
            <w:r>
              <w:rPr>
                <w:rFonts w:hint="eastAsia" w:ascii="宋体" w:hAnsi="宋体" w:eastAsia="宋体" w:cs="宋体"/>
                <w:lang w:val="en-US" w:eastAsia="zh-CN"/>
              </w:rPr>
              <w:t>3</w:t>
            </w:r>
            <w:r>
              <w:rPr>
                <w:rFonts w:hint="eastAsia" w:ascii="宋体" w:hAnsi="宋体" w:eastAsia="宋体" w:cs="宋体"/>
              </w:rPr>
              <w:t>t/a，根据《国家危险废物名录》（202</w:t>
            </w:r>
            <w:r>
              <w:rPr>
                <w:rFonts w:hint="eastAsia" w:ascii="宋体" w:hAnsi="宋体" w:eastAsia="宋体" w:cs="宋体"/>
                <w:lang w:val="en-US" w:eastAsia="zh-CN"/>
              </w:rPr>
              <w:t>5</w:t>
            </w:r>
            <w:r>
              <w:rPr>
                <w:rFonts w:hint="eastAsia" w:ascii="宋体" w:hAnsi="宋体" w:eastAsia="宋体" w:cs="宋体"/>
              </w:rPr>
              <w:t>年），脱脂废液属于危险废物（HW17表面处理废物，336-064-17），收集暂存委托有资质单位处理。</w:t>
            </w:r>
          </w:p>
          <w:p w14:paraId="0C82B9FA">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lang w:eastAsia="zh-CN"/>
              </w:rPr>
            </w:pPr>
            <w:r>
              <w:rPr>
                <w:rFonts w:hint="eastAsia" w:ascii="宋体" w:hAnsi="宋体" w:eastAsia="宋体" w:cs="宋体"/>
              </w:rPr>
              <w:fldChar w:fldCharType="begin"/>
            </w:r>
            <w:r>
              <w:rPr>
                <w:rFonts w:hint="eastAsia" w:ascii="宋体" w:hAnsi="宋体" w:eastAsia="宋体" w:cs="宋体"/>
              </w:rPr>
              <w:instrText xml:space="preserve"> = 5 \* GB2 \* MERGEFORMAT </w:instrText>
            </w:r>
            <w:r>
              <w:rPr>
                <w:rFonts w:hint="eastAsia" w:ascii="宋体" w:hAnsi="宋体" w:eastAsia="宋体" w:cs="宋体"/>
              </w:rPr>
              <w:fldChar w:fldCharType="separate"/>
            </w:r>
            <w:r>
              <w:rPr>
                <w:rFonts w:hint="eastAsia" w:ascii="宋体" w:hAnsi="宋体" w:eastAsia="宋体" w:cs="宋体"/>
              </w:rPr>
              <w:t>⑸</w:t>
            </w:r>
            <w:r>
              <w:rPr>
                <w:rFonts w:hint="eastAsia" w:ascii="宋体" w:hAnsi="宋体" w:eastAsia="宋体" w:cs="宋体"/>
              </w:rPr>
              <w:fldChar w:fldCharType="end"/>
            </w:r>
            <w:r>
              <w:rPr>
                <w:rFonts w:hint="eastAsia" w:ascii="宋体" w:hAnsi="宋体" w:eastAsia="宋体" w:cs="宋体"/>
                <w:lang w:eastAsia="zh-CN"/>
              </w:rPr>
              <w:t>废硅烷处理剂</w:t>
            </w:r>
          </w:p>
          <w:p w14:paraId="15284605">
            <w:pPr>
              <w:keepNext w:val="0"/>
              <w:keepLines w:val="0"/>
              <w:suppressLineNumbers w:val="0"/>
              <w:adjustRightInd w:val="0"/>
              <w:snapToGrid w:val="0"/>
              <w:spacing w:before="0" w:beforeAutospacing="0" w:after="0" w:afterAutospacing="0"/>
              <w:ind w:left="0" w:right="0" w:firstLine="480" w:firstLineChars="200"/>
              <w:jc w:val="left"/>
              <w:rPr>
                <w:rFonts w:hint="default" w:ascii="宋体" w:hAnsi="宋体" w:eastAsia="宋体" w:cs="宋体"/>
                <w:lang w:val="en-US" w:eastAsia="zh-CN"/>
              </w:rPr>
            </w:pPr>
            <w:r>
              <w:rPr>
                <w:rFonts w:hint="eastAsia" w:ascii="宋体" w:hAnsi="宋体" w:eastAsia="宋体" w:cs="宋体"/>
              </w:rPr>
              <w:t>本项目</w:t>
            </w:r>
            <w:r>
              <w:rPr>
                <w:rFonts w:hint="eastAsia" w:ascii="宋体" w:hAnsi="宋体" w:eastAsia="宋体" w:cs="宋体"/>
                <w:lang w:eastAsia="zh-CN"/>
              </w:rPr>
              <w:t>硅烷</w:t>
            </w:r>
            <w:r>
              <w:rPr>
                <w:rFonts w:hint="eastAsia" w:ascii="宋体" w:hAnsi="宋体" w:eastAsia="宋体" w:cs="宋体"/>
              </w:rPr>
              <w:t>槽液每</w:t>
            </w:r>
            <w:r>
              <w:rPr>
                <w:rFonts w:hint="eastAsia" w:ascii="宋体" w:hAnsi="宋体" w:eastAsia="宋体" w:cs="宋体"/>
                <w:lang w:val="en-US" w:eastAsia="zh-CN"/>
              </w:rPr>
              <w:t>半年</w:t>
            </w:r>
            <w:r>
              <w:rPr>
                <w:rFonts w:hint="eastAsia" w:ascii="宋体" w:hAnsi="宋体" w:eastAsia="宋体" w:cs="宋体"/>
              </w:rPr>
              <w:t>更换1次，产生</w:t>
            </w:r>
            <w:r>
              <w:rPr>
                <w:rFonts w:hint="eastAsia" w:ascii="宋体" w:hAnsi="宋体" w:eastAsia="宋体" w:cs="宋体"/>
                <w:lang w:eastAsia="zh-CN"/>
              </w:rPr>
              <w:t>废硅烷处理剂</w:t>
            </w:r>
            <w:r>
              <w:rPr>
                <w:rFonts w:hint="eastAsia" w:ascii="宋体" w:hAnsi="宋体" w:eastAsia="宋体" w:cs="宋体"/>
                <w:lang w:val="en-US" w:eastAsia="zh-CN"/>
              </w:rPr>
              <w:t>3</w:t>
            </w:r>
            <w:r>
              <w:rPr>
                <w:rFonts w:hint="eastAsia" w:ascii="宋体" w:hAnsi="宋体" w:eastAsia="宋体" w:cs="宋体"/>
              </w:rPr>
              <w:t>t/a，根据《国家危险废物名录》（202</w:t>
            </w:r>
            <w:r>
              <w:rPr>
                <w:rFonts w:hint="eastAsia" w:ascii="宋体" w:hAnsi="宋体" w:eastAsia="宋体" w:cs="宋体"/>
                <w:lang w:val="en-US" w:eastAsia="zh-CN"/>
              </w:rPr>
              <w:t>5</w:t>
            </w:r>
            <w:r>
              <w:rPr>
                <w:rFonts w:hint="eastAsia" w:ascii="宋体" w:hAnsi="宋体" w:eastAsia="宋体" w:cs="宋体"/>
              </w:rPr>
              <w:t>年），</w:t>
            </w:r>
            <w:r>
              <w:rPr>
                <w:rFonts w:hint="eastAsia" w:ascii="宋体" w:hAnsi="宋体" w:eastAsia="宋体" w:cs="宋体"/>
                <w:lang w:eastAsia="zh-CN"/>
              </w:rPr>
              <w:t>废硅烷处理剂</w:t>
            </w:r>
            <w:r>
              <w:rPr>
                <w:rFonts w:hint="eastAsia" w:ascii="宋体" w:hAnsi="宋体" w:eastAsia="宋体" w:cs="宋体"/>
              </w:rPr>
              <w:t>属于危险废物（HW17表面处理废物，336-064-17），收集暂存委托有资质单位处理。</w:t>
            </w:r>
          </w:p>
          <w:p w14:paraId="1069FFF1">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 6 \* GB2 \* MERGEFORMAT </w:instrText>
            </w:r>
            <w:r>
              <w:rPr>
                <w:rFonts w:hint="eastAsia" w:ascii="宋体" w:hAnsi="宋体" w:eastAsia="宋体" w:cs="宋体"/>
              </w:rPr>
              <w:fldChar w:fldCharType="separate"/>
            </w:r>
            <w:r>
              <w:rPr>
                <w:rFonts w:hint="eastAsia" w:ascii="宋体" w:hAnsi="宋体" w:eastAsia="宋体" w:cs="宋体"/>
              </w:rPr>
              <w:t>⑹</w:t>
            </w:r>
            <w:r>
              <w:rPr>
                <w:rFonts w:hint="eastAsia" w:ascii="宋体" w:hAnsi="宋体" w:eastAsia="宋体" w:cs="宋体"/>
              </w:rPr>
              <w:fldChar w:fldCharType="end"/>
            </w:r>
            <w:r>
              <w:rPr>
                <w:rFonts w:hint="eastAsia" w:ascii="宋体" w:hAnsi="宋体" w:eastAsia="宋体" w:cs="宋体"/>
              </w:rPr>
              <w:t>槽渣</w:t>
            </w:r>
          </w:p>
          <w:p w14:paraId="1F524894">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rPr>
            </w:pPr>
            <w:r>
              <w:rPr>
                <w:rFonts w:hint="eastAsia" w:ascii="宋体" w:hAnsi="宋体" w:eastAsia="宋体" w:cs="宋体"/>
              </w:rPr>
              <w:t>本项目脱脂槽</w:t>
            </w:r>
            <w:r>
              <w:rPr>
                <w:rFonts w:hint="eastAsia" w:ascii="宋体" w:hAnsi="宋体" w:eastAsia="宋体" w:cs="宋体"/>
                <w:lang w:eastAsia="zh-CN"/>
              </w:rPr>
              <w:t>、</w:t>
            </w:r>
            <w:r>
              <w:rPr>
                <w:rFonts w:hint="eastAsia" w:ascii="宋体" w:hAnsi="宋体" w:eastAsia="宋体" w:cs="宋体"/>
                <w:lang w:val="en-US" w:eastAsia="zh-CN"/>
              </w:rPr>
              <w:t>硅烷槽</w:t>
            </w:r>
            <w:r>
              <w:rPr>
                <w:rFonts w:hint="eastAsia" w:ascii="宋体" w:hAnsi="宋体" w:eastAsia="宋体" w:cs="宋体"/>
              </w:rPr>
              <w:t>定期清理槽底</w:t>
            </w:r>
            <w:r>
              <w:rPr>
                <w:rFonts w:hint="eastAsia" w:ascii="宋体" w:hAnsi="宋体" w:eastAsia="宋体" w:cs="宋体"/>
                <w:lang w:eastAsia="zh-CN"/>
              </w:rPr>
              <w:t>污泥</w:t>
            </w:r>
            <w:r>
              <w:rPr>
                <w:rFonts w:hint="eastAsia" w:ascii="宋体" w:hAnsi="宋体" w:eastAsia="宋体" w:cs="宋体"/>
              </w:rPr>
              <w:t>，产生槽渣约</w:t>
            </w:r>
            <w:r>
              <w:rPr>
                <w:rFonts w:hint="eastAsia" w:ascii="宋体" w:hAnsi="宋体" w:eastAsia="宋体" w:cs="宋体"/>
                <w:lang w:val="en-US" w:eastAsia="zh-CN"/>
              </w:rPr>
              <w:t>0.5</w:t>
            </w:r>
            <w:r>
              <w:rPr>
                <w:rFonts w:hint="eastAsia" w:ascii="宋体" w:hAnsi="宋体" w:eastAsia="宋体" w:cs="宋体"/>
              </w:rPr>
              <w:t>t/a（含水率10%）。根据《国家危险废物名录》（202</w:t>
            </w:r>
            <w:r>
              <w:rPr>
                <w:rFonts w:hint="eastAsia" w:ascii="宋体" w:hAnsi="宋体" w:eastAsia="宋体" w:cs="宋体"/>
                <w:lang w:val="en-US" w:eastAsia="zh-CN"/>
              </w:rPr>
              <w:t>5</w:t>
            </w:r>
            <w:r>
              <w:rPr>
                <w:rFonts w:hint="eastAsia" w:ascii="宋体" w:hAnsi="宋体" w:eastAsia="宋体" w:cs="宋体"/>
              </w:rPr>
              <w:t>年），废槽渣属于危险废物（HW17表面处理废物，336-064-17），收集暂存委托有资质单位处理。</w:t>
            </w:r>
          </w:p>
          <w:p w14:paraId="089AEDE6">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 7 \* GB2 \* MERGEFORMAT </w:instrText>
            </w:r>
            <w:r>
              <w:rPr>
                <w:rFonts w:hint="eastAsia" w:ascii="宋体" w:hAnsi="宋体" w:eastAsia="宋体" w:cs="宋体"/>
              </w:rPr>
              <w:fldChar w:fldCharType="separate"/>
            </w:r>
            <w:r>
              <w:rPr>
                <w:rFonts w:hint="eastAsia" w:ascii="宋体" w:hAnsi="宋体" w:eastAsia="宋体" w:cs="宋体"/>
              </w:rPr>
              <w:t>⑺</w:t>
            </w:r>
            <w:r>
              <w:rPr>
                <w:rFonts w:hint="eastAsia" w:ascii="宋体" w:hAnsi="宋体" w:eastAsia="宋体" w:cs="宋体"/>
              </w:rPr>
              <w:fldChar w:fldCharType="end"/>
            </w:r>
            <w:r>
              <w:rPr>
                <w:rFonts w:hint="eastAsia" w:ascii="宋体" w:hAnsi="宋体" w:eastAsia="宋体" w:cs="宋体"/>
                <w:lang w:val="en-US" w:eastAsia="zh-CN"/>
              </w:rPr>
              <w:t>水洗废液</w:t>
            </w:r>
          </w:p>
          <w:p w14:paraId="2888D656">
            <w:pPr>
              <w:keepNext w:val="0"/>
              <w:keepLines w:val="0"/>
              <w:suppressLineNumbers w:val="0"/>
              <w:adjustRightInd w:val="0"/>
              <w:snapToGrid w:val="0"/>
              <w:spacing w:before="0" w:beforeAutospacing="0" w:after="0" w:afterAutospacing="0"/>
              <w:ind w:left="0" w:right="0" w:firstLine="480" w:firstLineChars="200"/>
              <w:jc w:val="left"/>
              <w:rPr>
                <w:rFonts w:hint="default" w:ascii="宋体" w:hAnsi="宋体" w:eastAsia="宋体" w:cs="宋体"/>
                <w:lang w:val="en-US" w:eastAsia="zh-CN"/>
              </w:rPr>
            </w:pPr>
            <w:r>
              <w:rPr>
                <w:rFonts w:hint="eastAsia" w:ascii="宋体" w:hAnsi="宋体" w:eastAsia="宋体" w:cs="宋体"/>
              </w:rPr>
              <w:t>本项目</w:t>
            </w:r>
            <w:r>
              <w:rPr>
                <w:rFonts w:hint="eastAsia" w:ascii="宋体" w:hAnsi="宋体" w:eastAsia="宋体" w:cs="宋体"/>
                <w:lang w:val="en-US" w:eastAsia="zh-CN"/>
              </w:rPr>
              <w:t>水洗废</w:t>
            </w:r>
            <w:r>
              <w:rPr>
                <w:rFonts w:hint="eastAsia" w:ascii="宋体" w:hAnsi="宋体" w:eastAsia="宋体" w:cs="宋体"/>
              </w:rPr>
              <w:t>液每</w:t>
            </w:r>
            <w:r>
              <w:rPr>
                <w:rFonts w:hint="eastAsia" w:ascii="宋体" w:hAnsi="宋体" w:eastAsia="宋体" w:cs="宋体"/>
                <w:lang w:val="en-US" w:eastAsia="zh-CN"/>
              </w:rPr>
              <w:t>2个月</w:t>
            </w:r>
            <w:r>
              <w:rPr>
                <w:rFonts w:hint="eastAsia" w:ascii="宋体" w:hAnsi="宋体" w:eastAsia="宋体" w:cs="宋体"/>
              </w:rPr>
              <w:t>更换1次，产生</w:t>
            </w:r>
            <w:r>
              <w:rPr>
                <w:rFonts w:hint="eastAsia" w:ascii="宋体" w:hAnsi="宋体" w:eastAsia="宋体" w:cs="宋体"/>
                <w:lang w:val="en-US" w:eastAsia="zh-CN"/>
              </w:rPr>
              <w:t>水洗废液13.8</w:t>
            </w:r>
            <w:r>
              <w:rPr>
                <w:rFonts w:hint="eastAsia" w:ascii="宋体" w:hAnsi="宋体" w:eastAsia="宋体" w:cs="宋体"/>
              </w:rPr>
              <w:t>t/a，根据《国家危险废物名录》（202</w:t>
            </w:r>
            <w:r>
              <w:rPr>
                <w:rFonts w:hint="eastAsia" w:ascii="宋体" w:hAnsi="宋体" w:eastAsia="宋体" w:cs="宋体"/>
                <w:lang w:val="en-US" w:eastAsia="zh-CN"/>
              </w:rPr>
              <w:t>5</w:t>
            </w:r>
            <w:r>
              <w:rPr>
                <w:rFonts w:hint="eastAsia" w:ascii="宋体" w:hAnsi="宋体" w:eastAsia="宋体" w:cs="宋体"/>
              </w:rPr>
              <w:t>年），</w:t>
            </w:r>
            <w:r>
              <w:rPr>
                <w:rFonts w:hint="eastAsia" w:ascii="宋体" w:hAnsi="宋体" w:eastAsia="宋体" w:cs="宋体"/>
                <w:lang w:val="en-US" w:eastAsia="zh-CN"/>
              </w:rPr>
              <w:t>水洗废液</w:t>
            </w:r>
            <w:r>
              <w:rPr>
                <w:rFonts w:hint="eastAsia" w:ascii="宋体" w:hAnsi="宋体" w:eastAsia="宋体" w:cs="宋体"/>
              </w:rPr>
              <w:t>属于危险废物（HW17表面处理废物，336-064-17），收集暂存委托有资质单位处理。</w:t>
            </w:r>
          </w:p>
          <w:p w14:paraId="439B3560">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rPr>
            </w:pPr>
            <w:r>
              <w:rPr>
                <w:rFonts w:hint="eastAsia" w:ascii="宋体" w:hAnsi="宋体" w:eastAsia="宋体" w:cs="宋体"/>
              </w:rPr>
              <w:t>⑻废包装桶</w:t>
            </w:r>
          </w:p>
          <w:p w14:paraId="67E7A562">
            <w:pPr>
              <w:pStyle w:val="10"/>
              <w:keepNext w:val="0"/>
              <w:keepLines w:val="0"/>
              <w:suppressLineNumbers w:val="0"/>
              <w:adjustRightInd w:val="0"/>
              <w:snapToGrid w:val="0"/>
              <w:spacing w:before="0" w:beforeAutospacing="0" w:after="0" w:afterAutospacing="0"/>
              <w:ind w:left="0" w:right="0" w:firstLine="480" w:firstLineChars="200"/>
              <w:jc w:val="left"/>
              <w:rPr>
                <w:rFonts w:hint="eastAsia" w:ascii="Times New Roman" w:hAnsi="Times New Roman" w:cs="Times New Roman"/>
              </w:rPr>
            </w:pPr>
            <w:r>
              <w:rPr>
                <w:rFonts w:hint="eastAsia" w:ascii="宋体" w:hAnsi="宋体" w:eastAsia="宋体" w:cs="宋体"/>
                <w:lang w:eastAsia="zh-CN"/>
              </w:rPr>
              <w:t>本项目硅烷处理剂</w:t>
            </w:r>
            <w:r>
              <w:rPr>
                <w:rFonts w:hint="eastAsia" w:ascii="宋体" w:hAnsi="宋体" w:eastAsia="宋体" w:cs="宋体"/>
              </w:rPr>
              <w:t>、脱脂剂使用后产生废包装桶共</w:t>
            </w:r>
            <w:r>
              <w:rPr>
                <w:rFonts w:hint="eastAsia" w:ascii="宋体" w:hAnsi="宋体" w:eastAsia="宋体" w:cs="宋体"/>
                <w:lang w:val="en-US" w:eastAsia="zh-CN"/>
              </w:rPr>
              <w:t>16</w:t>
            </w:r>
            <w:r>
              <w:rPr>
                <w:rFonts w:hint="eastAsia" w:ascii="宋体" w:hAnsi="宋体" w:eastAsia="宋体" w:cs="宋体"/>
              </w:rPr>
              <w:t>只，每只桶重约1kg，则废包装桶产生量为</w:t>
            </w:r>
            <w:r>
              <w:rPr>
                <w:rFonts w:hint="eastAsia" w:ascii="宋体" w:hAnsi="宋体" w:eastAsia="宋体" w:cs="宋体"/>
                <w:lang w:val="en-US" w:eastAsia="zh-CN"/>
              </w:rPr>
              <w:t>0.016</w:t>
            </w:r>
            <w:r>
              <w:rPr>
                <w:rFonts w:hint="eastAsia" w:ascii="宋体" w:hAnsi="宋体" w:eastAsia="宋体" w:cs="宋体"/>
              </w:rPr>
              <w:t>t/a。根据《国家危险废物名录》（202</w:t>
            </w:r>
            <w:r>
              <w:rPr>
                <w:rFonts w:hint="eastAsia" w:ascii="宋体" w:hAnsi="宋体" w:eastAsia="宋体" w:cs="宋体"/>
                <w:lang w:val="en-US" w:eastAsia="zh-CN"/>
              </w:rPr>
              <w:t>5</w:t>
            </w:r>
            <w:r>
              <w:rPr>
                <w:rFonts w:hint="eastAsia" w:ascii="宋体" w:hAnsi="宋体" w:eastAsia="宋体" w:cs="宋体"/>
              </w:rPr>
              <w:t>年），废包装桶属于危险废物（HW49其他废物，900-041-49），收集暂存委托有资质单位处置。</w:t>
            </w:r>
          </w:p>
          <w:p w14:paraId="3CC65866">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lang w:val="en-US" w:eastAsia="zh-CN"/>
              </w:rPr>
            </w:pPr>
            <w:r>
              <w:rPr>
                <w:rFonts w:hint="eastAsia" w:ascii="宋体" w:hAnsi="宋体" w:eastAsia="宋体" w:cs="宋体"/>
              </w:rPr>
              <w:t>⑼</w:t>
            </w:r>
            <w:r>
              <w:rPr>
                <w:rFonts w:hint="eastAsia" w:ascii="宋体" w:hAnsi="宋体" w:eastAsia="宋体" w:cs="宋体"/>
                <w:lang w:val="en-US" w:eastAsia="zh-CN"/>
              </w:rPr>
              <w:t>污泥</w:t>
            </w:r>
          </w:p>
          <w:p w14:paraId="5DC16ED0">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lang w:val="en-US" w:eastAsia="zh-CN"/>
              </w:rPr>
            </w:pPr>
            <w:r>
              <w:rPr>
                <w:rFonts w:hint="eastAsia" w:ascii="宋体" w:hAnsi="宋体" w:eastAsia="宋体" w:cs="宋体"/>
              </w:rPr>
              <w:t>本项目新建1座污水处理站，废水处理污泥年产生量约为</w:t>
            </w:r>
            <w:r>
              <w:rPr>
                <w:rFonts w:hint="eastAsia" w:ascii="宋体" w:hAnsi="宋体" w:eastAsia="宋体" w:cs="宋体"/>
                <w:lang w:val="en-US" w:eastAsia="zh-CN"/>
              </w:rPr>
              <w:t>5</w:t>
            </w:r>
            <w:r>
              <w:rPr>
                <w:rFonts w:hint="eastAsia" w:ascii="宋体" w:hAnsi="宋体" w:eastAsia="宋体" w:cs="宋体"/>
              </w:rPr>
              <w:t>t/a（含水率80%）。根据《国家危险废物名录》（202</w:t>
            </w:r>
            <w:r>
              <w:rPr>
                <w:rFonts w:hint="eastAsia" w:ascii="宋体" w:hAnsi="宋体" w:eastAsia="宋体" w:cs="宋体"/>
                <w:lang w:val="en-US" w:eastAsia="zh-CN"/>
              </w:rPr>
              <w:t>5</w:t>
            </w:r>
            <w:r>
              <w:rPr>
                <w:rFonts w:hint="eastAsia" w:ascii="宋体" w:hAnsi="宋体" w:eastAsia="宋体" w:cs="宋体"/>
              </w:rPr>
              <w:t>年），废水处理污泥属于危险废物（HW17表面处理废物，336-064-17），收集暂存委托有资质单位处置。</w:t>
            </w:r>
          </w:p>
          <w:p w14:paraId="2751E969">
            <w:pPr>
              <w:pStyle w:val="7"/>
              <w:keepNext w:val="0"/>
              <w:keepLines w:val="0"/>
              <w:suppressLineNumbers w:val="0"/>
              <w:adjustRightInd w:val="0"/>
              <w:snapToGrid w:val="0"/>
              <w:spacing w:before="0" w:beforeAutospacing="0" w:after="0" w:afterAutospacing="0"/>
              <w:ind w:left="0" w:right="0" w:firstLine="480"/>
              <w:textAlignment w:val="baseline"/>
              <w:rPr>
                <w:rFonts w:hint="eastAsia" w:ascii="宋体" w:hAnsi="宋体" w:eastAsia="宋体" w:cs="宋体"/>
              </w:rPr>
            </w:pPr>
            <w:r>
              <w:rPr>
                <w:rFonts w:hint="eastAsia" w:ascii="宋体" w:hAnsi="宋体" w:eastAsia="宋体" w:cs="宋体"/>
              </w:rPr>
              <w:t>⑽废活性炭</w:t>
            </w:r>
          </w:p>
          <w:p w14:paraId="3DE7C12B">
            <w:pPr>
              <w:pStyle w:val="41"/>
              <w:keepNext w:val="0"/>
              <w:keepLines w:val="0"/>
              <w:suppressLineNumbers w:val="0"/>
              <w:snapToGrid w:val="0"/>
              <w:spacing w:before="24" w:beforeAutospacing="0" w:after="24" w:afterAutospacing="0"/>
              <w:ind w:left="0" w:right="0" w:firstLine="480" w:firstLineChars="200"/>
              <w:rPr>
                <w:rFonts w:hint="default" w:ascii="Times New Roman" w:hAnsi="Times New Roman" w:cs="Times New Roman"/>
                <w:color w:val="auto"/>
              </w:rPr>
            </w:pPr>
            <w:r>
              <w:rPr>
                <w:rFonts w:hint="eastAsia" w:eastAsia="宋体"/>
                <w:color w:val="auto"/>
              </w:rPr>
              <w:t>本项目使用颗粒形活性炭作为二级吸附处理，根据《省生态环境厅关于将排污单位活性</w:t>
            </w:r>
            <w:r>
              <w:rPr>
                <w:rFonts w:hint="default" w:ascii="Times New Roman" w:hAnsi="Times New Roman" w:eastAsia="宋体" w:cs="Times New Roman"/>
                <w:color w:val="auto"/>
              </w:rPr>
              <w:t>炭使用更换纳入排污许可管理的通知》（苏环办</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2021</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218号），活性炭更换周期计算过程如下：</w:t>
            </w:r>
          </w:p>
          <w:p w14:paraId="62C90200">
            <w:pPr>
              <w:keepNext w:val="0"/>
              <w:keepLines w:val="0"/>
              <w:suppressLineNumbers w:val="0"/>
              <w:adjustRightInd w:val="0"/>
              <w:snapToGrid w:val="0"/>
              <w:spacing w:before="0" w:beforeAutospacing="0" w:after="0" w:afterAutospacing="0"/>
              <w:ind w:left="0" w:right="0" w:firstLine="480" w:firstLineChars="200"/>
              <w:rPr>
                <w:rFonts w:hint="default" w:ascii="Times New Roman" w:hAnsi="Times New Roman" w:eastAsia="宋体" w:cs="Times New Roman"/>
              </w:rPr>
            </w:pPr>
            <w:r>
              <w:rPr>
                <w:rFonts w:hint="default" w:ascii="Times New Roman" w:hAnsi="Times New Roman" w:eastAsia="宋体" w:cs="Times New Roman"/>
              </w:rPr>
              <w:t>T=m×s÷（c×10</w:t>
            </w:r>
            <w:r>
              <w:rPr>
                <w:rFonts w:hint="default" w:ascii="Times New Roman" w:hAnsi="Times New Roman" w:eastAsia="宋体" w:cs="Times New Roman"/>
                <w:vertAlign w:val="superscript"/>
              </w:rPr>
              <w:t>-6</w:t>
            </w:r>
            <w:r>
              <w:rPr>
                <w:rFonts w:hint="default" w:ascii="Times New Roman" w:hAnsi="Times New Roman" w:eastAsia="宋体" w:cs="Times New Roman"/>
              </w:rPr>
              <w:t>×Q×t）</w:t>
            </w:r>
          </w:p>
          <w:p w14:paraId="710CC4CD">
            <w:pPr>
              <w:keepNext w:val="0"/>
              <w:keepLines w:val="0"/>
              <w:suppressLineNumbers w:val="0"/>
              <w:adjustRightInd w:val="0"/>
              <w:snapToGrid w:val="0"/>
              <w:spacing w:before="0" w:beforeAutospacing="0" w:after="0" w:afterAutospacing="0"/>
              <w:ind w:left="0" w:right="0" w:firstLine="470"/>
              <w:rPr>
                <w:rFonts w:hint="default" w:ascii="Times New Roman" w:hAnsi="Times New Roman" w:eastAsia="宋体" w:cs="Times New Roman"/>
              </w:rPr>
            </w:pPr>
            <w:r>
              <w:rPr>
                <w:rFonts w:hint="default" w:ascii="Times New Roman" w:hAnsi="Times New Roman" w:eastAsia="宋体" w:cs="Times New Roman"/>
              </w:rPr>
              <w:t>式中：T—更换周期，天；</w:t>
            </w:r>
          </w:p>
          <w:p w14:paraId="53C0EB39">
            <w:pPr>
              <w:keepNext w:val="0"/>
              <w:keepLines w:val="0"/>
              <w:suppressLineNumbers w:val="0"/>
              <w:adjustRightInd w:val="0"/>
              <w:snapToGrid w:val="0"/>
              <w:spacing w:before="0" w:beforeAutospacing="0" w:after="0" w:afterAutospacing="0"/>
              <w:ind w:left="0" w:right="0" w:firstLine="1200" w:firstLineChars="500"/>
              <w:rPr>
                <w:rFonts w:hint="default" w:ascii="Times New Roman" w:hAnsi="Times New Roman" w:eastAsia="宋体" w:cs="Times New Roman"/>
              </w:rPr>
            </w:pPr>
            <w:r>
              <w:rPr>
                <w:rFonts w:hint="default" w:ascii="Times New Roman" w:hAnsi="Times New Roman" w:eastAsia="宋体" w:cs="Times New Roman"/>
              </w:rPr>
              <w:t>m—活性炭的用量，kg；</w:t>
            </w:r>
          </w:p>
          <w:p w14:paraId="7D4460B6">
            <w:pPr>
              <w:keepNext w:val="0"/>
              <w:keepLines w:val="0"/>
              <w:suppressLineNumbers w:val="0"/>
              <w:adjustRightInd w:val="0"/>
              <w:snapToGrid w:val="0"/>
              <w:spacing w:before="0" w:beforeAutospacing="0" w:after="0" w:afterAutospacing="0"/>
              <w:ind w:left="0" w:right="0" w:firstLine="1200" w:firstLineChars="500"/>
              <w:rPr>
                <w:rFonts w:hint="default" w:ascii="Times New Roman" w:hAnsi="Times New Roman" w:eastAsia="宋体" w:cs="Times New Roman"/>
              </w:rPr>
            </w:pPr>
            <w:r>
              <w:rPr>
                <w:rFonts w:hint="default" w:ascii="Times New Roman" w:hAnsi="Times New Roman" w:eastAsia="宋体" w:cs="Times New Roman"/>
              </w:rPr>
              <w:t>s—动态吸附量，%，取10%；</w:t>
            </w:r>
          </w:p>
          <w:p w14:paraId="03349959">
            <w:pPr>
              <w:keepNext w:val="0"/>
              <w:keepLines w:val="0"/>
              <w:suppressLineNumbers w:val="0"/>
              <w:adjustRightInd w:val="0"/>
              <w:snapToGrid w:val="0"/>
              <w:spacing w:before="0" w:beforeAutospacing="0" w:after="0" w:afterAutospacing="0"/>
              <w:ind w:left="0" w:right="0" w:firstLine="1200" w:firstLineChars="500"/>
              <w:rPr>
                <w:rFonts w:hint="default" w:ascii="Times New Roman" w:hAnsi="Times New Roman" w:eastAsia="宋体" w:cs="Times New Roman"/>
              </w:rPr>
            </w:pPr>
            <w:r>
              <w:rPr>
                <w:rFonts w:hint="default" w:ascii="Times New Roman" w:hAnsi="Times New Roman" w:eastAsia="宋体" w:cs="Times New Roman"/>
              </w:rPr>
              <w:t>c—活性炭削减的VOCs浓度；</w:t>
            </w:r>
          </w:p>
          <w:p w14:paraId="3F250B8A">
            <w:pPr>
              <w:keepNext w:val="0"/>
              <w:keepLines w:val="0"/>
              <w:suppressLineNumbers w:val="0"/>
              <w:adjustRightInd w:val="0"/>
              <w:snapToGrid w:val="0"/>
              <w:spacing w:before="0" w:beforeAutospacing="0" w:after="0" w:afterAutospacing="0"/>
              <w:ind w:left="0" w:right="0" w:firstLine="1200" w:firstLineChars="500"/>
              <w:rPr>
                <w:rFonts w:hint="default" w:ascii="Times New Roman" w:hAnsi="Times New Roman" w:eastAsia="宋体" w:cs="Times New Roman"/>
              </w:rPr>
            </w:pPr>
            <w:r>
              <w:rPr>
                <w:rFonts w:hint="default" w:ascii="Times New Roman" w:hAnsi="Times New Roman" w:eastAsia="宋体" w:cs="Times New Roman"/>
              </w:rPr>
              <w:t>Q—风量，单位m</w:t>
            </w:r>
            <w:r>
              <w:rPr>
                <w:rFonts w:hint="default" w:ascii="Times New Roman" w:hAnsi="Times New Roman" w:eastAsia="宋体" w:cs="Times New Roman"/>
                <w:vertAlign w:val="superscript"/>
              </w:rPr>
              <w:t>3</w:t>
            </w:r>
            <w:r>
              <w:rPr>
                <w:rFonts w:hint="default" w:ascii="Times New Roman" w:hAnsi="Times New Roman" w:eastAsia="宋体" w:cs="Times New Roman"/>
              </w:rPr>
              <w:t>/h；</w:t>
            </w:r>
          </w:p>
          <w:p w14:paraId="601D5C83">
            <w:pPr>
              <w:keepNext w:val="0"/>
              <w:keepLines w:val="0"/>
              <w:suppressLineNumbers w:val="0"/>
              <w:adjustRightInd w:val="0"/>
              <w:snapToGrid w:val="0"/>
              <w:spacing w:before="0" w:beforeAutospacing="0" w:after="0" w:afterAutospacing="0"/>
              <w:ind w:left="0" w:right="0" w:firstLine="1200" w:firstLineChars="500"/>
              <w:rPr>
                <w:rFonts w:hint="eastAsia" w:ascii="宋体" w:hAnsi="宋体" w:eastAsia="宋体" w:cs="宋体"/>
                <w:b w:val="0"/>
                <w:bCs w:val="0"/>
              </w:rPr>
            </w:pPr>
            <w:r>
              <w:rPr>
                <w:rFonts w:hint="default" w:ascii="Times New Roman" w:hAnsi="Times New Roman" w:eastAsia="宋体" w:cs="Times New Roman"/>
              </w:rPr>
              <w:t>t—运行时间，单位h/d。</w:t>
            </w:r>
          </w:p>
          <w:p w14:paraId="02A1F045">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b w:val="0"/>
                <w:bCs w:val="0"/>
              </w:rPr>
            </w:pPr>
            <w:r>
              <w:rPr>
                <w:rFonts w:hint="eastAsia" w:ascii="宋体" w:hAnsi="宋体" w:eastAsia="宋体" w:cs="宋体"/>
                <w:b/>
                <w:bCs/>
              </w:rPr>
              <w:t>表4-</w:t>
            </w:r>
            <w:r>
              <w:rPr>
                <w:rFonts w:hint="eastAsia" w:ascii="宋体" w:hAnsi="宋体" w:eastAsia="宋体" w:cs="宋体"/>
                <w:b/>
                <w:bCs/>
                <w:lang w:val="en-US" w:eastAsia="zh-CN"/>
              </w:rPr>
              <w:t>20</w:t>
            </w:r>
            <w:r>
              <w:rPr>
                <w:rFonts w:hint="eastAsia" w:ascii="宋体" w:hAnsi="宋体" w:eastAsia="宋体" w:cs="宋体"/>
                <w:b/>
                <w:bCs/>
              </w:rPr>
              <w:t xml:space="preserve"> 二级活性炭吸附装置活性炭更换周期计算一览表</w:t>
            </w:r>
          </w:p>
          <w:tbl>
            <w:tblPr>
              <w:tblStyle w:val="30"/>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7"/>
              <w:gridCol w:w="1147"/>
              <w:gridCol w:w="1147"/>
              <w:gridCol w:w="1193"/>
              <w:gridCol w:w="1148"/>
              <w:gridCol w:w="1148"/>
              <w:gridCol w:w="1148"/>
            </w:tblGrid>
            <w:tr w14:paraId="3C6C47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pct"/>
                  <w:noWrap w:val="0"/>
                  <w:vAlign w:val="center"/>
                </w:tcPr>
                <w:p w14:paraId="7CFCA6D1">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编号</w:t>
                  </w:r>
                </w:p>
              </w:tc>
              <w:tc>
                <w:tcPr>
                  <w:tcW w:w="709" w:type="pct"/>
                  <w:noWrap w:val="0"/>
                  <w:vAlign w:val="center"/>
                </w:tcPr>
                <w:p w14:paraId="0A70DDAD">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活性炭用量（kg）</w:t>
                  </w:r>
                </w:p>
              </w:tc>
              <w:tc>
                <w:tcPr>
                  <w:tcW w:w="709" w:type="pct"/>
                  <w:noWrap w:val="0"/>
                  <w:vAlign w:val="center"/>
                </w:tcPr>
                <w:p w14:paraId="182F22C4">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动态吸附量（%）</w:t>
                  </w:r>
                </w:p>
              </w:tc>
              <w:tc>
                <w:tcPr>
                  <w:tcW w:w="738" w:type="pct"/>
                  <w:noWrap w:val="0"/>
                  <w:vAlign w:val="center"/>
                </w:tcPr>
                <w:p w14:paraId="28AE96FE">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活性炭削减VOCs浓度（mg/m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rPr>
                    <w:t>）</w:t>
                  </w:r>
                </w:p>
              </w:tc>
              <w:tc>
                <w:tcPr>
                  <w:tcW w:w="710" w:type="pct"/>
                  <w:noWrap w:val="0"/>
                  <w:vAlign w:val="center"/>
                </w:tcPr>
                <w:p w14:paraId="238FB666">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风量（m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rPr>
                    <w:t>/h）</w:t>
                  </w:r>
                </w:p>
              </w:tc>
              <w:tc>
                <w:tcPr>
                  <w:tcW w:w="710" w:type="pct"/>
                  <w:noWrap w:val="0"/>
                  <w:vAlign w:val="center"/>
                </w:tcPr>
                <w:p w14:paraId="44C18AA1">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运行时间（h/d）</w:t>
                  </w:r>
                </w:p>
              </w:tc>
              <w:tc>
                <w:tcPr>
                  <w:tcW w:w="710" w:type="pct"/>
                  <w:noWrap w:val="0"/>
                  <w:vAlign w:val="center"/>
                </w:tcPr>
                <w:p w14:paraId="433F8867">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更换周期（天）</w:t>
                  </w:r>
                </w:p>
              </w:tc>
            </w:tr>
            <w:tr w14:paraId="155249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pct"/>
                  <w:noWrap w:val="0"/>
                  <w:vAlign w:val="center"/>
                </w:tcPr>
                <w:p w14:paraId="282961C6">
                  <w:pPr>
                    <w:keepNext w:val="0"/>
                    <w:keepLines w:val="0"/>
                    <w:suppressLineNumbers w:val="0"/>
                    <w:adjustRightInd w:val="0"/>
                    <w:snapToGrid w:val="0"/>
                    <w:spacing w:before="0" w:beforeAutospacing="0" w:after="0" w:afterAutospacing="0" w:line="240" w:lineRule="atLeast"/>
                    <w:ind w:left="0" w:right="0"/>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DA00</w:t>
                  </w:r>
                  <w:r>
                    <w:rPr>
                      <w:rFonts w:hint="eastAsia" w:eastAsia="宋体" w:cs="Times New Roman"/>
                      <w:sz w:val="21"/>
                      <w:szCs w:val="21"/>
                      <w:lang w:val="en-US" w:eastAsia="zh-CN"/>
                    </w:rPr>
                    <w:t>5</w:t>
                  </w:r>
                </w:p>
              </w:tc>
              <w:tc>
                <w:tcPr>
                  <w:tcW w:w="709" w:type="pct"/>
                  <w:noWrap w:val="0"/>
                  <w:vAlign w:val="center"/>
                </w:tcPr>
                <w:p w14:paraId="096EB15C">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200</w:t>
                  </w:r>
                </w:p>
              </w:tc>
              <w:tc>
                <w:tcPr>
                  <w:tcW w:w="709" w:type="pct"/>
                  <w:noWrap w:val="0"/>
                  <w:vAlign w:val="center"/>
                </w:tcPr>
                <w:p w14:paraId="058D6F7B">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738" w:type="pct"/>
                  <w:noWrap w:val="0"/>
                  <w:vAlign w:val="center"/>
                </w:tcPr>
                <w:p w14:paraId="3F44D96A">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0.9</w:t>
                  </w:r>
                </w:p>
              </w:tc>
              <w:tc>
                <w:tcPr>
                  <w:tcW w:w="710" w:type="pct"/>
                  <w:noWrap w:val="0"/>
                  <w:vAlign w:val="center"/>
                </w:tcPr>
                <w:p w14:paraId="0FDAE439">
                  <w:pPr>
                    <w:keepNext w:val="0"/>
                    <w:keepLines w:val="0"/>
                    <w:suppressLineNumbers w:val="0"/>
                    <w:adjustRightInd w:val="0"/>
                    <w:snapToGrid w:val="0"/>
                    <w:spacing w:before="0" w:beforeAutospacing="0" w:after="0" w:afterAutospacing="0" w:line="240" w:lineRule="atLeast"/>
                    <w:ind w:left="0" w:leftChars="0" w:right="0" w:rightChars="0"/>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10</w:t>
                  </w:r>
                  <w:r>
                    <w:rPr>
                      <w:rFonts w:hint="eastAsia" w:ascii="Times New Roman" w:hAnsi="Times New Roman" w:eastAsia="宋体" w:cs="Times New Roman"/>
                      <w:sz w:val="21"/>
                      <w:szCs w:val="21"/>
                      <w:lang w:val="en-US" w:eastAsia="zh-CN"/>
                    </w:rPr>
                    <w:t>000</w:t>
                  </w:r>
                </w:p>
              </w:tc>
              <w:tc>
                <w:tcPr>
                  <w:tcW w:w="710" w:type="pct"/>
                  <w:noWrap w:val="0"/>
                  <w:vAlign w:val="center"/>
                </w:tcPr>
                <w:p w14:paraId="1797EC79">
                  <w:pPr>
                    <w:keepNext w:val="0"/>
                    <w:keepLines w:val="0"/>
                    <w:suppressLineNumbers w:val="0"/>
                    <w:adjustRightInd w:val="0"/>
                    <w:snapToGrid w:val="0"/>
                    <w:spacing w:before="0" w:beforeAutospacing="0" w:after="0" w:afterAutospacing="0" w:line="240" w:lineRule="atLeast"/>
                    <w:ind w:left="0" w:right="0"/>
                    <w:jc w:val="center"/>
                    <w:rPr>
                      <w:rFonts w:hint="eastAsia" w:ascii="Times New Roman" w:hAnsi="Times New Roman" w:eastAsia="宋体" w:cs="Times New Roman"/>
                      <w:sz w:val="21"/>
                      <w:szCs w:val="21"/>
                      <w:lang w:eastAsia="zh-CN"/>
                    </w:rPr>
                  </w:pPr>
                  <w:r>
                    <w:rPr>
                      <w:rFonts w:hint="eastAsia" w:eastAsia="宋体" w:cs="Times New Roman"/>
                      <w:sz w:val="21"/>
                      <w:szCs w:val="21"/>
                      <w:lang w:val="en-US" w:eastAsia="zh-CN"/>
                    </w:rPr>
                    <w:t>8</w:t>
                  </w:r>
                </w:p>
              </w:tc>
              <w:tc>
                <w:tcPr>
                  <w:tcW w:w="710" w:type="pct"/>
                  <w:noWrap w:val="0"/>
                  <w:vAlign w:val="center"/>
                </w:tcPr>
                <w:p w14:paraId="29483DE4">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277</w:t>
                  </w:r>
                </w:p>
              </w:tc>
            </w:tr>
          </w:tbl>
          <w:p w14:paraId="76545C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根据《省生态环境厅关于深入开展涉VOCs治理重点工作核查的通知》（苏环办〔2022〕218号）“活性炭更换周期一般不应超过累计运行500小时或3个月”，为了保证活性炭的活性和吸附效率的稳定性，废气处理设施中的活性炭最长500小时更换一次。</w:t>
            </w:r>
          </w:p>
          <w:p w14:paraId="242BCD7D">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color w:val="auto"/>
              </w:rPr>
            </w:pPr>
            <w:r>
              <w:rPr>
                <w:rFonts w:hint="eastAsia" w:ascii="宋体" w:hAnsi="宋体" w:eastAsia="宋体" w:cs="宋体"/>
                <w:color w:val="auto"/>
                <w:sz w:val="24"/>
                <w:szCs w:val="24"/>
                <w:lang w:val="en-US" w:eastAsia="zh-CN"/>
              </w:rPr>
              <w:t>本项目每天工作8h，要求企业每2个月更换一次活性炭。综上，本项目废活性炭产生量合计约1.22吨/年（含吸附废气量0.02t/a），</w:t>
            </w:r>
            <w:r>
              <w:rPr>
                <w:rFonts w:hint="eastAsia" w:ascii="宋体" w:hAnsi="宋体" w:eastAsia="宋体" w:cs="宋体"/>
                <w:color w:val="auto"/>
                <w:sz w:val="24"/>
                <w:szCs w:val="24"/>
              </w:rPr>
              <w:t>根据《国家危险废物名录》（202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年），</w:t>
            </w:r>
            <w:r>
              <w:rPr>
                <w:rFonts w:hint="eastAsia" w:ascii="宋体" w:hAnsi="宋体" w:eastAsia="宋体" w:cs="宋体"/>
                <w:color w:val="auto"/>
                <w:sz w:val="24"/>
                <w:szCs w:val="24"/>
                <w:lang w:eastAsia="zh-CN"/>
              </w:rPr>
              <w:t>废活性炭</w:t>
            </w:r>
            <w:r>
              <w:rPr>
                <w:rFonts w:hint="eastAsia" w:ascii="宋体" w:hAnsi="宋体" w:eastAsia="宋体" w:cs="宋体"/>
                <w:color w:val="auto"/>
                <w:sz w:val="24"/>
                <w:szCs w:val="24"/>
              </w:rPr>
              <w:t>属于危险废物（HW49其他废物，900-039-49）</w:t>
            </w:r>
            <w:r>
              <w:rPr>
                <w:rFonts w:hint="eastAsia" w:ascii="宋体" w:hAnsi="宋体" w:eastAsia="宋体" w:cs="宋体"/>
                <w:color w:val="auto"/>
                <w:sz w:val="24"/>
                <w:szCs w:val="24"/>
                <w:lang w:eastAsia="zh-CN"/>
              </w:rPr>
              <w:t>，在危废暂存间</w:t>
            </w:r>
            <w:r>
              <w:rPr>
                <w:rFonts w:hint="eastAsia" w:ascii="宋体" w:hAnsi="宋体" w:eastAsia="宋体" w:cs="宋体"/>
                <w:color w:val="auto"/>
                <w:sz w:val="24"/>
                <w:szCs w:val="24"/>
              </w:rPr>
              <w:t>暂存后，委托资质单位处理处置。</w:t>
            </w:r>
          </w:p>
          <w:p w14:paraId="5C28115C">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rPr>
            </w:pPr>
            <w:r>
              <w:rPr>
                <w:rFonts w:hint="eastAsia" w:ascii="宋体" w:hAnsi="宋体" w:eastAsia="宋体" w:cs="宋体"/>
              </w:rPr>
              <w:t>⑾生活垃圾</w:t>
            </w:r>
          </w:p>
          <w:p w14:paraId="2D3095CA">
            <w:pPr>
              <w:pStyle w:val="10"/>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rPr>
            </w:pPr>
            <w:r>
              <w:rPr>
                <w:rFonts w:hint="eastAsia" w:ascii="宋体" w:hAnsi="宋体" w:eastAsia="宋体" w:cs="宋体"/>
              </w:rPr>
              <w:t>企业运营中有办公、生活垃圾产生，按0.5kg/人·d计，则办公、生活垃圾产生量约</w:t>
            </w:r>
            <w:r>
              <w:rPr>
                <w:rFonts w:hint="eastAsia" w:ascii="宋体" w:hAnsi="宋体" w:eastAsia="宋体" w:cs="宋体"/>
                <w:lang w:val="en-US" w:eastAsia="zh-CN"/>
              </w:rPr>
              <w:t>3.5</w:t>
            </w:r>
            <w:r>
              <w:rPr>
                <w:rFonts w:hint="eastAsia" w:ascii="宋体" w:hAnsi="宋体" w:eastAsia="宋体" w:cs="宋体"/>
              </w:rPr>
              <w:t>t/a。分类收集后委托环卫部门及时清运、处置。</w:t>
            </w:r>
          </w:p>
          <w:p w14:paraId="07DA2D84">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rPr>
            </w:pPr>
            <w:r>
              <w:rPr>
                <w:rFonts w:hint="eastAsia" w:ascii="宋体" w:hAnsi="宋体" w:eastAsia="宋体" w:cs="宋体"/>
              </w:rPr>
              <w:t>根据《中华人民共和国固体废物污染环境防治法》、《固体废物鉴别标准 通则》（GB34330-2017），对建设项目产生的物质（除目标产物，即：产品、副产品外），依据产生来源、利用和处置过程鉴别属于固体废物并且作为固体废物管理的物质，应按照《国家危险废物名录》、《危险废物鉴别标准 通则》（GB34330-2017）等进行属性判定，分析了各固废产生环节、主要成分及其产生量。</w:t>
            </w:r>
          </w:p>
          <w:p w14:paraId="5C71DFBF">
            <w:pPr>
              <w:pStyle w:val="58"/>
              <w:keepNext w:val="0"/>
              <w:keepLines w:val="0"/>
              <w:suppressLineNumbers w:val="0"/>
              <w:adjustRightInd w:val="0"/>
              <w:snapToGrid w:val="0"/>
              <w:spacing w:before="0" w:beforeAutospacing="0" w:after="0" w:afterAutospacing="0" w:line="360" w:lineRule="auto"/>
              <w:ind w:left="0" w:right="0" w:firstLine="480"/>
              <w:rPr>
                <w:rFonts w:hint="eastAsia" w:ascii="宋体" w:hAnsi="宋体" w:eastAsia="宋体" w:cs="宋体"/>
                <w:b/>
                <w:bCs/>
                <w:snapToGrid w:val="0"/>
              </w:rPr>
            </w:pPr>
            <w:r>
              <w:rPr>
                <w:rFonts w:hint="eastAsia" w:ascii="宋体" w:hAnsi="宋体" w:eastAsia="宋体" w:cs="宋体"/>
              </w:rPr>
              <w:t>根据《固体废物鉴别标准 通则》（GB34330-2017）的规定，判断每种副产物是否属于固体废物，判定结果详见表4-</w:t>
            </w:r>
            <w:r>
              <w:rPr>
                <w:rFonts w:hint="eastAsia" w:ascii="宋体" w:hAnsi="宋体" w:eastAsia="宋体" w:cs="宋体"/>
                <w:lang w:val="en-US" w:eastAsia="zh-CN"/>
              </w:rPr>
              <w:t>21</w:t>
            </w:r>
            <w:r>
              <w:rPr>
                <w:rFonts w:hint="eastAsia" w:ascii="宋体" w:hAnsi="宋体" w:eastAsia="宋体" w:cs="宋体"/>
              </w:rPr>
              <w:t>。</w:t>
            </w:r>
          </w:p>
          <w:p w14:paraId="389EE226">
            <w:pPr>
              <w:pStyle w:val="56"/>
              <w:keepNext w:val="0"/>
              <w:keepLines w:val="0"/>
              <w:suppressLineNumbers w:val="0"/>
              <w:adjustRightInd w:val="0"/>
              <w:snapToGrid w:val="0"/>
              <w:spacing w:before="0" w:beforeLines="0" w:beforeAutospacing="0" w:after="0" w:afterAutospacing="0" w:line="360" w:lineRule="auto"/>
              <w:ind w:left="0" w:right="0"/>
              <w:rPr>
                <w:rFonts w:hint="eastAsia" w:ascii="宋体" w:hAnsi="宋体" w:eastAsia="宋体" w:cs="宋体"/>
                <w:snapToGrid w:val="0"/>
              </w:rPr>
            </w:pPr>
            <w:r>
              <w:rPr>
                <w:rFonts w:hint="eastAsia" w:ascii="宋体" w:hAnsi="宋体" w:eastAsia="宋体" w:cs="宋体"/>
                <w:b/>
                <w:bCs w:val="0"/>
                <w:snapToGrid w:val="0"/>
              </w:rPr>
              <w:t>表4-</w:t>
            </w:r>
            <w:r>
              <w:rPr>
                <w:rFonts w:hint="eastAsia" w:ascii="宋体" w:hAnsi="宋体" w:eastAsia="宋体" w:cs="宋体"/>
                <w:b/>
                <w:bCs w:val="0"/>
                <w:snapToGrid w:val="0"/>
                <w:lang w:val="en-US" w:eastAsia="zh-CN"/>
              </w:rPr>
              <w:t>21</w:t>
            </w:r>
            <w:r>
              <w:rPr>
                <w:rFonts w:hint="eastAsia" w:ascii="宋体" w:hAnsi="宋体" w:eastAsia="宋体" w:cs="宋体"/>
                <w:b/>
                <w:bCs w:val="0"/>
                <w:snapToGrid w:val="0"/>
              </w:rPr>
              <w:t xml:space="preserve">  本项目固体废物产生情况及属性判断结果一览表</w:t>
            </w:r>
          </w:p>
          <w:tbl>
            <w:tblPr>
              <w:tblStyle w:val="30"/>
              <w:tblW w:w="813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7"/>
              <w:gridCol w:w="1016"/>
              <w:gridCol w:w="794"/>
              <w:gridCol w:w="734"/>
              <w:gridCol w:w="1086"/>
              <w:gridCol w:w="833"/>
              <w:gridCol w:w="639"/>
              <w:gridCol w:w="627"/>
              <w:gridCol w:w="991"/>
              <w:gridCol w:w="959"/>
            </w:tblGrid>
            <w:tr w14:paraId="343039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57" w:type="dxa"/>
                  <w:vMerge w:val="restart"/>
                  <w:noWrap w:val="0"/>
                  <w:vAlign w:val="center"/>
                </w:tcPr>
                <w:p w14:paraId="777F7E44">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b/>
                      <w:bCs/>
                      <w:sz w:val="21"/>
                    </w:rPr>
                  </w:pPr>
                  <w:r>
                    <w:rPr>
                      <w:rFonts w:hint="eastAsia" w:ascii="宋体" w:hAnsi="宋体" w:eastAsia="宋体" w:cs="宋体"/>
                      <w:b/>
                      <w:bCs/>
                      <w:sz w:val="21"/>
                    </w:rPr>
                    <w:t>序号</w:t>
                  </w:r>
                </w:p>
              </w:tc>
              <w:tc>
                <w:tcPr>
                  <w:tcW w:w="1016" w:type="dxa"/>
                  <w:vMerge w:val="restart"/>
                  <w:noWrap w:val="0"/>
                  <w:vAlign w:val="center"/>
                </w:tcPr>
                <w:p w14:paraId="39E6252D">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b/>
                      <w:bCs/>
                      <w:sz w:val="21"/>
                    </w:rPr>
                  </w:pPr>
                  <w:r>
                    <w:rPr>
                      <w:rFonts w:hint="eastAsia" w:ascii="宋体" w:hAnsi="宋体" w:eastAsia="宋体" w:cs="宋体"/>
                      <w:b/>
                      <w:bCs/>
                      <w:sz w:val="21"/>
                    </w:rPr>
                    <w:t>固废名称</w:t>
                  </w:r>
                </w:p>
              </w:tc>
              <w:tc>
                <w:tcPr>
                  <w:tcW w:w="794" w:type="dxa"/>
                  <w:vMerge w:val="restart"/>
                  <w:noWrap w:val="0"/>
                  <w:vAlign w:val="center"/>
                </w:tcPr>
                <w:p w14:paraId="515382DB">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b/>
                      <w:bCs/>
                      <w:sz w:val="21"/>
                    </w:rPr>
                  </w:pPr>
                  <w:r>
                    <w:rPr>
                      <w:rFonts w:hint="eastAsia" w:ascii="宋体" w:hAnsi="宋体" w:eastAsia="宋体" w:cs="宋体"/>
                      <w:b/>
                      <w:bCs/>
                      <w:sz w:val="21"/>
                    </w:rPr>
                    <w:t>产生工序</w:t>
                  </w:r>
                </w:p>
              </w:tc>
              <w:tc>
                <w:tcPr>
                  <w:tcW w:w="734" w:type="dxa"/>
                  <w:vMerge w:val="restart"/>
                  <w:noWrap w:val="0"/>
                  <w:vAlign w:val="center"/>
                </w:tcPr>
                <w:p w14:paraId="6A185DF2">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b/>
                      <w:bCs/>
                      <w:sz w:val="21"/>
                    </w:rPr>
                  </w:pPr>
                  <w:r>
                    <w:rPr>
                      <w:rFonts w:hint="eastAsia" w:ascii="宋体" w:hAnsi="宋体" w:eastAsia="宋体" w:cs="宋体"/>
                      <w:b/>
                      <w:bCs/>
                      <w:sz w:val="21"/>
                    </w:rPr>
                    <w:t>形态</w:t>
                  </w:r>
                </w:p>
              </w:tc>
              <w:tc>
                <w:tcPr>
                  <w:tcW w:w="1086" w:type="dxa"/>
                  <w:vMerge w:val="restart"/>
                  <w:noWrap w:val="0"/>
                  <w:vAlign w:val="center"/>
                </w:tcPr>
                <w:p w14:paraId="2C0922F2">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b/>
                      <w:bCs/>
                      <w:sz w:val="21"/>
                    </w:rPr>
                  </w:pPr>
                  <w:r>
                    <w:rPr>
                      <w:rFonts w:hint="eastAsia" w:ascii="宋体" w:hAnsi="宋体" w:eastAsia="宋体" w:cs="宋体"/>
                      <w:b/>
                      <w:bCs/>
                      <w:sz w:val="21"/>
                    </w:rPr>
                    <w:t>主要成分</w:t>
                  </w:r>
                </w:p>
              </w:tc>
              <w:tc>
                <w:tcPr>
                  <w:tcW w:w="833" w:type="dxa"/>
                  <w:vMerge w:val="restart"/>
                  <w:noWrap w:val="0"/>
                  <w:vAlign w:val="center"/>
                </w:tcPr>
                <w:p w14:paraId="1779CC83">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b/>
                      <w:bCs/>
                      <w:sz w:val="21"/>
                    </w:rPr>
                  </w:pPr>
                  <w:r>
                    <w:rPr>
                      <w:rFonts w:hint="eastAsia" w:ascii="宋体" w:hAnsi="宋体" w:eastAsia="宋体" w:cs="宋体"/>
                      <w:b/>
                      <w:bCs/>
                      <w:sz w:val="21"/>
                    </w:rPr>
                    <w:t>产生量t/a</w:t>
                  </w:r>
                </w:p>
              </w:tc>
              <w:tc>
                <w:tcPr>
                  <w:tcW w:w="3216" w:type="dxa"/>
                  <w:gridSpan w:val="4"/>
                  <w:noWrap w:val="0"/>
                  <w:vAlign w:val="center"/>
                </w:tcPr>
                <w:p w14:paraId="095C6503">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b/>
                      <w:bCs/>
                      <w:sz w:val="21"/>
                    </w:rPr>
                  </w:pPr>
                  <w:r>
                    <w:rPr>
                      <w:rFonts w:hint="eastAsia" w:ascii="宋体" w:hAnsi="宋体" w:eastAsia="宋体" w:cs="宋体"/>
                      <w:b/>
                      <w:bCs/>
                      <w:sz w:val="21"/>
                    </w:rPr>
                    <w:t>种类判断</w:t>
                  </w:r>
                </w:p>
              </w:tc>
            </w:tr>
            <w:tr w14:paraId="3663E4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57" w:type="dxa"/>
                  <w:vMerge w:val="continue"/>
                  <w:noWrap w:val="0"/>
                  <w:vAlign w:val="center"/>
                </w:tcPr>
                <w:p w14:paraId="320B218C">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b/>
                      <w:bCs/>
                      <w:sz w:val="21"/>
                    </w:rPr>
                  </w:pPr>
                </w:p>
              </w:tc>
              <w:tc>
                <w:tcPr>
                  <w:tcW w:w="1016" w:type="dxa"/>
                  <w:vMerge w:val="continue"/>
                  <w:noWrap w:val="0"/>
                  <w:vAlign w:val="center"/>
                </w:tcPr>
                <w:p w14:paraId="3322461D">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b/>
                      <w:bCs/>
                      <w:sz w:val="21"/>
                    </w:rPr>
                  </w:pPr>
                </w:p>
              </w:tc>
              <w:tc>
                <w:tcPr>
                  <w:tcW w:w="794" w:type="dxa"/>
                  <w:vMerge w:val="continue"/>
                  <w:noWrap w:val="0"/>
                  <w:vAlign w:val="center"/>
                </w:tcPr>
                <w:p w14:paraId="6F9FE771">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b/>
                      <w:bCs/>
                      <w:sz w:val="21"/>
                    </w:rPr>
                  </w:pPr>
                </w:p>
              </w:tc>
              <w:tc>
                <w:tcPr>
                  <w:tcW w:w="734" w:type="dxa"/>
                  <w:vMerge w:val="continue"/>
                  <w:noWrap w:val="0"/>
                  <w:vAlign w:val="center"/>
                </w:tcPr>
                <w:p w14:paraId="7EEC927C">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b/>
                      <w:bCs/>
                      <w:sz w:val="21"/>
                    </w:rPr>
                  </w:pPr>
                </w:p>
              </w:tc>
              <w:tc>
                <w:tcPr>
                  <w:tcW w:w="1086" w:type="dxa"/>
                  <w:vMerge w:val="continue"/>
                  <w:noWrap w:val="0"/>
                  <w:vAlign w:val="center"/>
                </w:tcPr>
                <w:p w14:paraId="2E68958E">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b/>
                      <w:bCs/>
                      <w:sz w:val="21"/>
                    </w:rPr>
                  </w:pPr>
                </w:p>
              </w:tc>
              <w:tc>
                <w:tcPr>
                  <w:tcW w:w="833" w:type="dxa"/>
                  <w:vMerge w:val="continue"/>
                  <w:noWrap w:val="0"/>
                  <w:vAlign w:val="center"/>
                </w:tcPr>
                <w:p w14:paraId="70483BC2">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b/>
                      <w:bCs/>
                      <w:sz w:val="21"/>
                    </w:rPr>
                  </w:pPr>
                </w:p>
              </w:tc>
              <w:tc>
                <w:tcPr>
                  <w:tcW w:w="639" w:type="dxa"/>
                  <w:noWrap w:val="0"/>
                  <w:vAlign w:val="center"/>
                </w:tcPr>
                <w:p w14:paraId="39FC2074">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b/>
                      <w:bCs/>
                      <w:sz w:val="21"/>
                    </w:rPr>
                  </w:pPr>
                  <w:r>
                    <w:rPr>
                      <w:rFonts w:hint="eastAsia" w:ascii="宋体" w:hAnsi="宋体" w:eastAsia="宋体" w:cs="宋体"/>
                      <w:b/>
                      <w:bCs/>
                      <w:sz w:val="21"/>
                    </w:rPr>
                    <w:t>固体废物</w:t>
                  </w:r>
                </w:p>
              </w:tc>
              <w:tc>
                <w:tcPr>
                  <w:tcW w:w="627" w:type="dxa"/>
                  <w:noWrap w:val="0"/>
                  <w:vAlign w:val="center"/>
                </w:tcPr>
                <w:p w14:paraId="4E736C01">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b/>
                      <w:bCs/>
                      <w:sz w:val="21"/>
                    </w:rPr>
                  </w:pPr>
                  <w:r>
                    <w:rPr>
                      <w:rFonts w:hint="eastAsia" w:ascii="宋体" w:hAnsi="宋体" w:eastAsia="宋体" w:cs="宋体"/>
                      <w:b/>
                      <w:bCs/>
                      <w:sz w:val="21"/>
                    </w:rPr>
                    <w:t>副产品</w:t>
                  </w:r>
                </w:p>
              </w:tc>
              <w:tc>
                <w:tcPr>
                  <w:tcW w:w="1950" w:type="dxa"/>
                  <w:gridSpan w:val="2"/>
                  <w:noWrap w:val="0"/>
                  <w:vAlign w:val="center"/>
                </w:tcPr>
                <w:p w14:paraId="6E6E48E2">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b/>
                      <w:bCs/>
                      <w:sz w:val="21"/>
                    </w:rPr>
                  </w:pPr>
                  <w:r>
                    <w:rPr>
                      <w:rFonts w:hint="eastAsia" w:ascii="宋体" w:hAnsi="宋体" w:eastAsia="宋体" w:cs="宋体"/>
                      <w:b/>
                      <w:bCs/>
                      <w:sz w:val="21"/>
                    </w:rPr>
                    <w:t>判定依据</w:t>
                  </w:r>
                </w:p>
              </w:tc>
            </w:tr>
            <w:tr w14:paraId="6F728D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7" w:type="dxa"/>
                  <w:noWrap w:val="0"/>
                  <w:vAlign w:val="center"/>
                </w:tcPr>
                <w:p w14:paraId="42716BC0">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1</w:t>
                  </w:r>
                </w:p>
              </w:tc>
              <w:tc>
                <w:tcPr>
                  <w:tcW w:w="1016" w:type="dxa"/>
                  <w:noWrap w:val="0"/>
                  <w:vAlign w:val="center"/>
                </w:tcPr>
                <w:p w14:paraId="7A741E0E">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废砂</w:t>
                  </w:r>
                </w:p>
              </w:tc>
              <w:tc>
                <w:tcPr>
                  <w:tcW w:w="794" w:type="dxa"/>
                  <w:noWrap w:val="0"/>
                  <w:vAlign w:val="center"/>
                </w:tcPr>
                <w:p w14:paraId="3F8F1CBC">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eastAsia="zh-CN"/>
                    </w:rPr>
                    <w:t>喷砂</w:t>
                  </w:r>
                </w:p>
              </w:tc>
              <w:tc>
                <w:tcPr>
                  <w:tcW w:w="734" w:type="dxa"/>
                  <w:noWrap w:val="0"/>
                  <w:vAlign w:val="center"/>
                </w:tcPr>
                <w:p w14:paraId="396D2061">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固态</w:t>
                  </w:r>
                </w:p>
              </w:tc>
              <w:tc>
                <w:tcPr>
                  <w:tcW w:w="1086" w:type="dxa"/>
                  <w:noWrap w:val="0"/>
                  <w:vAlign w:val="center"/>
                </w:tcPr>
                <w:p w14:paraId="50BADF8D">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eastAsia="zh-CN"/>
                    </w:rPr>
                    <w:t>废砂</w:t>
                  </w:r>
                </w:p>
              </w:tc>
              <w:tc>
                <w:tcPr>
                  <w:tcW w:w="833" w:type="dxa"/>
                  <w:noWrap w:val="0"/>
                  <w:vAlign w:val="center"/>
                </w:tcPr>
                <w:p w14:paraId="16856D52">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0.2</w:t>
                  </w:r>
                </w:p>
              </w:tc>
              <w:tc>
                <w:tcPr>
                  <w:tcW w:w="639" w:type="dxa"/>
                  <w:noWrap w:val="0"/>
                  <w:vAlign w:val="center"/>
                </w:tcPr>
                <w:p w14:paraId="3FC40ED0">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w:t>
                  </w:r>
                </w:p>
              </w:tc>
              <w:tc>
                <w:tcPr>
                  <w:tcW w:w="627" w:type="dxa"/>
                  <w:noWrap w:val="0"/>
                  <w:vAlign w:val="center"/>
                </w:tcPr>
                <w:p w14:paraId="5679970B">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w:t>
                  </w:r>
                </w:p>
              </w:tc>
              <w:tc>
                <w:tcPr>
                  <w:tcW w:w="991" w:type="dxa"/>
                  <w:noWrap w:val="0"/>
                  <w:vAlign w:val="center"/>
                </w:tcPr>
                <w:p w14:paraId="318AACE0">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4.1-(h)</w:t>
                  </w:r>
                </w:p>
              </w:tc>
              <w:tc>
                <w:tcPr>
                  <w:tcW w:w="959" w:type="dxa"/>
                  <w:noWrap w:val="0"/>
                  <w:vAlign w:val="center"/>
                </w:tcPr>
                <w:p w14:paraId="59954D8E">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5.1-(e)</w:t>
                  </w:r>
                </w:p>
              </w:tc>
            </w:tr>
            <w:tr w14:paraId="103DF7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7" w:type="dxa"/>
                  <w:noWrap w:val="0"/>
                  <w:vAlign w:val="center"/>
                </w:tcPr>
                <w:p w14:paraId="1029B6F4">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kern w:val="2"/>
                      <w:sz w:val="21"/>
                      <w:szCs w:val="21"/>
                      <w:lang w:val="en-US" w:eastAsia="zh-CN" w:bidi="ar-SA"/>
                    </w:rPr>
                  </w:pPr>
                  <w:r>
                    <w:rPr>
                      <w:rFonts w:hint="eastAsia" w:ascii="宋体" w:hAnsi="宋体" w:eastAsia="宋体" w:cs="宋体"/>
                      <w:sz w:val="21"/>
                    </w:rPr>
                    <w:t>2</w:t>
                  </w:r>
                </w:p>
              </w:tc>
              <w:tc>
                <w:tcPr>
                  <w:tcW w:w="1016" w:type="dxa"/>
                  <w:noWrap w:val="0"/>
                  <w:vAlign w:val="center"/>
                </w:tcPr>
                <w:p w14:paraId="237AFDE6">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收集粉尘</w:t>
                  </w:r>
                </w:p>
              </w:tc>
              <w:tc>
                <w:tcPr>
                  <w:tcW w:w="794" w:type="dxa"/>
                  <w:noWrap w:val="0"/>
                  <w:vAlign w:val="center"/>
                </w:tcPr>
                <w:p w14:paraId="13A5ED48">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rPr>
                    <w:t>废气处理</w:t>
                  </w:r>
                </w:p>
              </w:tc>
              <w:tc>
                <w:tcPr>
                  <w:tcW w:w="734" w:type="dxa"/>
                  <w:noWrap w:val="0"/>
                  <w:vAlign w:val="center"/>
                </w:tcPr>
                <w:p w14:paraId="7618EC6B">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固态</w:t>
                  </w:r>
                </w:p>
              </w:tc>
              <w:tc>
                <w:tcPr>
                  <w:tcW w:w="1086" w:type="dxa"/>
                  <w:noWrap w:val="0"/>
                  <w:vAlign w:val="center"/>
                </w:tcPr>
                <w:p w14:paraId="6FAC64C6">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rPr>
                    <w:t>粉尘</w:t>
                  </w:r>
                </w:p>
              </w:tc>
              <w:tc>
                <w:tcPr>
                  <w:tcW w:w="833" w:type="dxa"/>
                  <w:noWrap w:val="0"/>
                  <w:vAlign w:val="center"/>
                </w:tcPr>
                <w:p w14:paraId="5BD62BF4">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1.98</w:t>
                  </w:r>
                </w:p>
              </w:tc>
              <w:tc>
                <w:tcPr>
                  <w:tcW w:w="639" w:type="dxa"/>
                  <w:noWrap w:val="0"/>
                  <w:vAlign w:val="center"/>
                </w:tcPr>
                <w:p w14:paraId="0A724E84">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w:t>
                  </w:r>
                </w:p>
              </w:tc>
              <w:tc>
                <w:tcPr>
                  <w:tcW w:w="627" w:type="dxa"/>
                  <w:noWrap w:val="0"/>
                  <w:vAlign w:val="center"/>
                </w:tcPr>
                <w:p w14:paraId="76C2C35D">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w:t>
                  </w:r>
                </w:p>
              </w:tc>
              <w:tc>
                <w:tcPr>
                  <w:tcW w:w="991" w:type="dxa"/>
                  <w:noWrap w:val="0"/>
                  <w:vAlign w:val="center"/>
                </w:tcPr>
                <w:p w14:paraId="6AD048DF">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4.1-(h)</w:t>
                  </w:r>
                </w:p>
              </w:tc>
              <w:tc>
                <w:tcPr>
                  <w:tcW w:w="959" w:type="dxa"/>
                  <w:noWrap w:val="0"/>
                  <w:vAlign w:val="center"/>
                </w:tcPr>
                <w:p w14:paraId="7A9F2DCE">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5.1-(e)</w:t>
                  </w:r>
                </w:p>
              </w:tc>
            </w:tr>
            <w:tr w14:paraId="6C7404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57" w:type="dxa"/>
                  <w:noWrap w:val="0"/>
                  <w:vAlign w:val="center"/>
                </w:tcPr>
                <w:p w14:paraId="61B9F588">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kern w:val="2"/>
                      <w:sz w:val="21"/>
                      <w:szCs w:val="21"/>
                      <w:lang w:val="en-US" w:eastAsia="zh-CN" w:bidi="ar-SA"/>
                    </w:rPr>
                  </w:pPr>
                  <w:r>
                    <w:rPr>
                      <w:rFonts w:hint="eastAsia" w:ascii="宋体" w:hAnsi="宋体" w:eastAsia="宋体" w:cs="宋体"/>
                      <w:sz w:val="21"/>
                    </w:rPr>
                    <w:t>3</w:t>
                  </w:r>
                </w:p>
              </w:tc>
              <w:tc>
                <w:tcPr>
                  <w:tcW w:w="1016" w:type="dxa"/>
                  <w:noWrap w:val="0"/>
                  <w:vAlign w:val="center"/>
                </w:tcPr>
                <w:p w14:paraId="01392F43">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废布袋</w:t>
                  </w:r>
                </w:p>
              </w:tc>
              <w:tc>
                <w:tcPr>
                  <w:tcW w:w="794" w:type="dxa"/>
                  <w:noWrap w:val="0"/>
                  <w:vAlign w:val="center"/>
                </w:tcPr>
                <w:p w14:paraId="37EEA10C">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rPr>
                    <w:t>废气处理</w:t>
                  </w:r>
                </w:p>
              </w:tc>
              <w:tc>
                <w:tcPr>
                  <w:tcW w:w="734" w:type="dxa"/>
                  <w:noWrap w:val="0"/>
                  <w:vAlign w:val="center"/>
                </w:tcPr>
                <w:p w14:paraId="2F5EB1EB">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固态</w:t>
                  </w:r>
                </w:p>
              </w:tc>
              <w:tc>
                <w:tcPr>
                  <w:tcW w:w="1086" w:type="dxa"/>
                  <w:noWrap w:val="0"/>
                  <w:vAlign w:val="center"/>
                </w:tcPr>
                <w:p w14:paraId="6E6DFDC5">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rPr>
                    <w:t>布袋</w:t>
                  </w:r>
                </w:p>
              </w:tc>
              <w:tc>
                <w:tcPr>
                  <w:tcW w:w="833" w:type="dxa"/>
                  <w:noWrap w:val="0"/>
                  <w:vAlign w:val="center"/>
                </w:tcPr>
                <w:p w14:paraId="188CDB66">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0.12</w:t>
                  </w:r>
                </w:p>
              </w:tc>
              <w:tc>
                <w:tcPr>
                  <w:tcW w:w="639" w:type="dxa"/>
                  <w:noWrap w:val="0"/>
                  <w:vAlign w:val="center"/>
                </w:tcPr>
                <w:p w14:paraId="4AB5BB90">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w:t>
                  </w:r>
                </w:p>
              </w:tc>
              <w:tc>
                <w:tcPr>
                  <w:tcW w:w="627" w:type="dxa"/>
                  <w:noWrap w:val="0"/>
                  <w:vAlign w:val="center"/>
                </w:tcPr>
                <w:p w14:paraId="69CCC51B">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w:t>
                  </w:r>
                </w:p>
              </w:tc>
              <w:tc>
                <w:tcPr>
                  <w:tcW w:w="991" w:type="dxa"/>
                  <w:noWrap w:val="0"/>
                  <w:vAlign w:val="center"/>
                </w:tcPr>
                <w:p w14:paraId="41FEB68A">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4.1-(h)</w:t>
                  </w:r>
                </w:p>
              </w:tc>
              <w:tc>
                <w:tcPr>
                  <w:tcW w:w="959" w:type="dxa"/>
                  <w:noWrap w:val="0"/>
                  <w:vAlign w:val="center"/>
                </w:tcPr>
                <w:p w14:paraId="56722A42">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5.1-(e)</w:t>
                  </w:r>
                </w:p>
              </w:tc>
            </w:tr>
            <w:tr w14:paraId="0DA7EB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57" w:type="dxa"/>
                  <w:noWrap w:val="0"/>
                  <w:vAlign w:val="center"/>
                </w:tcPr>
                <w:p w14:paraId="68F0C6D4">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kern w:val="2"/>
                      <w:sz w:val="21"/>
                      <w:szCs w:val="21"/>
                      <w:lang w:val="en-US" w:eastAsia="zh-CN" w:bidi="ar-SA"/>
                    </w:rPr>
                  </w:pPr>
                  <w:r>
                    <w:rPr>
                      <w:rFonts w:hint="eastAsia" w:ascii="宋体" w:hAnsi="宋体" w:eastAsia="宋体" w:cs="宋体"/>
                      <w:sz w:val="21"/>
                    </w:rPr>
                    <w:t>4</w:t>
                  </w:r>
                </w:p>
              </w:tc>
              <w:tc>
                <w:tcPr>
                  <w:tcW w:w="1016" w:type="dxa"/>
                  <w:noWrap w:val="0"/>
                  <w:vAlign w:val="center"/>
                </w:tcPr>
                <w:p w14:paraId="2EA78215">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废脱脂液</w:t>
                  </w:r>
                </w:p>
              </w:tc>
              <w:tc>
                <w:tcPr>
                  <w:tcW w:w="794" w:type="dxa"/>
                  <w:noWrap w:val="0"/>
                  <w:vAlign w:val="center"/>
                </w:tcPr>
                <w:p w14:paraId="63E29D96">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脱脂</w:t>
                  </w:r>
                </w:p>
              </w:tc>
              <w:tc>
                <w:tcPr>
                  <w:tcW w:w="734" w:type="dxa"/>
                  <w:noWrap w:val="0"/>
                  <w:vAlign w:val="center"/>
                </w:tcPr>
                <w:p w14:paraId="34C9BB01">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液态</w:t>
                  </w:r>
                </w:p>
              </w:tc>
              <w:tc>
                <w:tcPr>
                  <w:tcW w:w="1086" w:type="dxa"/>
                  <w:noWrap w:val="0"/>
                  <w:vAlign w:val="center"/>
                </w:tcPr>
                <w:p w14:paraId="3492FB9C">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脱脂液</w:t>
                  </w:r>
                </w:p>
              </w:tc>
              <w:tc>
                <w:tcPr>
                  <w:tcW w:w="833" w:type="dxa"/>
                  <w:noWrap w:val="0"/>
                  <w:vAlign w:val="center"/>
                </w:tcPr>
                <w:p w14:paraId="50F57AEC">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639" w:type="dxa"/>
                  <w:noWrap w:val="0"/>
                  <w:vAlign w:val="center"/>
                </w:tcPr>
                <w:p w14:paraId="06404964">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w:t>
                  </w:r>
                </w:p>
              </w:tc>
              <w:tc>
                <w:tcPr>
                  <w:tcW w:w="627" w:type="dxa"/>
                  <w:noWrap w:val="0"/>
                  <w:vAlign w:val="center"/>
                </w:tcPr>
                <w:p w14:paraId="6ED4FC70">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w:t>
                  </w:r>
                </w:p>
              </w:tc>
              <w:tc>
                <w:tcPr>
                  <w:tcW w:w="991" w:type="dxa"/>
                  <w:noWrap w:val="0"/>
                  <w:vAlign w:val="center"/>
                </w:tcPr>
                <w:p w14:paraId="55608ED8">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4.1-(h)</w:t>
                  </w:r>
                </w:p>
              </w:tc>
              <w:tc>
                <w:tcPr>
                  <w:tcW w:w="959" w:type="dxa"/>
                  <w:noWrap w:val="0"/>
                  <w:vAlign w:val="center"/>
                </w:tcPr>
                <w:p w14:paraId="59DA7622">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5.1-(e)</w:t>
                  </w:r>
                </w:p>
              </w:tc>
            </w:tr>
            <w:tr w14:paraId="6D74FD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57" w:type="dxa"/>
                  <w:noWrap w:val="0"/>
                  <w:vAlign w:val="center"/>
                </w:tcPr>
                <w:p w14:paraId="47DD5141">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kern w:val="2"/>
                      <w:sz w:val="21"/>
                      <w:szCs w:val="21"/>
                      <w:lang w:val="en-US" w:eastAsia="zh-CN" w:bidi="ar-SA"/>
                    </w:rPr>
                  </w:pPr>
                  <w:r>
                    <w:rPr>
                      <w:rFonts w:hint="eastAsia" w:ascii="宋体" w:hAnsi="宋体" w:eastAsia="宋体" w:cs="宋体"/>
                      <w:sz w:val="21"/>
                    </w:rPr>
                    <w:t>5</w:t>
                  </w:r>
                </w:p>
              </w:tc>
              <w:tc>
                <w:tcPr>
                  <w:tcW w:w="1016" w:type="dxa"/>
                  <w:noWrap w:val="0"/>
                  <w:vAlign w:val="center"/>
                </w:tcPr>
                <w:p w14:paraId="0A6038E7">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废硅烷处理剂</w:t>
                  </w:r>
                </w:p>
              </w:tc>
              <w:tc>
                <w:tcPr>
                  <w:tcW w:w="794" w:type="dxa"/>
                  <w:noWrap w:val="0"/>
                  <w:vAlign w:val="center"/>
                </w:tcPr>
                <w:p w14:paraId="44AD1E6F">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硅烷</w:t>
                  </w:r>
                </w:p>
              </w:tc>
              <w:tc>
                <w:tcPr>
                  <w:tcW w:w="734" w:type="dxa"/>
                  <w:noWrap w:val="0"/>
                  <w:vAlign w:val="center"/>
                </w:tcPr>
                <w:p w14:paraId="3360F79D">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液态</w:t>
                  </w:r>
                </w:p>
              </w:tc>
              <w:tc>
                <w:tcPr>
                  <w:tcW w:w="1086" w:type="dxa"/>
                  <w:noWrap w:val="0"/>
                  <w:vAlign w:val="center"/>
                </w:tcPr>
                <w:p w14:paraId="0B3D97F6">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硅烷处理剂</w:t>
                  </w:r>
                </w:p>
              </w:tc>
              <w:tc>
                <w:tcPr>
                  <w:tcW w:w="833" w:type="dxa"/>
                  <w:noWrap w:val="0"/>
                  <w:vAlign w:val="center"/>
                </w:tcPr>
                <w:p w14:paraId="30581641">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639" w:type="dxa"/>
                  <w:noWrap w:val="0"/>
                  <w:vAlign w:val="center"/>
                </w:tcPr>
                <w:p w14:paraId="39BCE8BB">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kern w:val="2"/>
                      <w:sz w:val="21"/>
                      <w:szCs w:val="21"/>
                      <w:lang w:val="en-US" w:eastAsia="zh-CN" w:bidi="ar-SA"/>
                    </w:rPr>
                  </w:pPr>
                  <w:r>
                    <w:rPr>
                      <w:rFonts w:hint="eastAsia" w:ascii="宋体" w:hAnsi="宋体" w:eastAsia="宋体" w:cs="宋体"/>
                      <w:sz w:val="21"/>
                    </w:rPr>
                    <w:t>√</w:t>
                  </w:r>
                </w:p>
              </w:tc>
              <w:tc>
                <w:tcPr>
                  <w:tcW w:w="627" w:type="dxa"/>
                  <w:noWrap w:val="0"/>
                  <w:vAlign w:val="center"/>
                </w:tcPr>
                <w:p w14:paraId="2EF035AB">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kern w:val="2"/>
                      <w:sz w:val="21"/>
                      <w:szCs w:val="21"/>
                      <w:lang w:val="en-US" w:eastAsia="zh-CN" w:bidi="ar-SA"/>
                    </w:rPr>
                  </w:pPr>
                  <w:r>
                    <w:rPr>
                      <w:rFonts w:hint="eastAsia" w:ascii="宋体" w:hAnsi="宋体" w:eastAsia="宋体" w:cs="宋体"/>
                      <w:sz w:val="21"/>
                    </w:rPr>
                    <w:t>/</w:t>
                  </w:r>
                </w:p>
              </w:tc>
              <w:tc>
                <w:tcPr>
                  <w:tcW w:w="991" w:type="dxa"/>
                  <w:noWrap w:val="0"/>
                  <w:vAlign w:val="center"/>
                </w:tcPr>
                <w:p w14:paraId="027C85D3">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kern w:val="2"/>
                      <w:sz w:val="21"/>
                      <w:szCs w:val="21"/>
                      <w:lang w:val="en-US" w:eastAsia="zh-CN" w:bidi="ar-SA"/>
                    </w:rPr>
                  </w:pPr>
                  <w:r>
                    <w:rPr>
                      <w:rFonts w:hint="eastAsia" w:ascii="宋体" w:hAnsi="宋体" w:eastAsia="宋体" w:cs="宋体"/>
                      <w:sz w:val="21"/>
                    </w:rPr>
                    <w:t>4.1-(h)</w:t>
                  </w:r>
                </w:p>
              </w:tc>
              <w:tc>
                <w:tcPr>
                  <w:tcW w:w="959" w:type="dxa"/>
                  <w:noWrap w:val="0"/>
                  <w:vAlign w:val="center"/>
                </w:tcPr>
                <w:p w14:paraId="16F3977A">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kern w:val="2"/>
                      <w:sz w:val="21"/>
                      <w:szCs w:val="21"/>
                      <w:lang w:val="en-US" w:eastAsia="zh-CN" w:bidi="ar-SA"/>
                    </w:rPr>
                  </w:pPr>
                  <w:r>
                    <w:rPr>
                      <w:rFonts w:hint="eastAsia" w:ascii="宋体" w:hAnsi="宋体" w:eastAsia="宋体" w:cs="宋体"/>
                      <w:sz w:val="21"/>
                    </w:rPr>
                    <w:t>5.1-(e)</w:t>
                  </w:r>
                </w:p>
              </w:tc>
            </w:tr>
            <w:tr w14:paraId="3FAFAB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57" w:type="dxa"/>
                  <w:noWrap w:val="0"/>
                  <w:vAlign w:val="center"/>
                </w:tcPr>
                <w:p w14:paraId="28F3D260">
                  <w:pPr>
                    <w:pStyle w:val="63"/>
                    <w:keepNext w:val="0"/>
                    <w:keepLines w:val="0"/>
                    <w:suppressLineNumbers w:val="0"/>
                    <w:adjustRightInd w:val="0"/>
                    <w:snapToGrid w:val="0"/>
                    <w:spacing w:before="0" w:beforeAutospacing="0" w:after="0" w:afterAutospacing="0" w:line="240" w:lineRule="atLeast"/>
                    <w:ind w:left="0" w:leftChars="0" w:right="0" w:rightChars="0"/>
                    <w:rPr>
                      <w:rFonts w:hint="eastAsia" w:ascii="宋体" w:hAnsi="宋体" w:eastAsia="宋体" w:cs="宋体"/>
                      <w:kern w:val="2"/>
                      <w:sz w:val="21"/>
                      <w:szCs w:val="21"/>
                      <w:lang w:val="en-US" w:eastAsia="zh-CN" w:bidi="ar-SA"/>
                    </w:rPr>
                  </w:pPr>
                  <w:r>
                    <w:rPr>
                      <w:rFonts w:hint="eastAsia" w:ascii="宋体" w:hAnsi="宋体" w:eastAsia="宋体" w:cs="宋体"/>
                      <w:sz w:val="21"/>
                    </w:rPr>
                    <w:t>6</w:t>
                  </w:r>
                </w:p>
              </w:tc>
              <w:tc>
                <w:tcPr>
                  <w:tcW w:w="1016" w:type="dxa"/>
                  <w:noWrap w:val="0"/>
                  <w:vAlign w:val="center"/>
                </w:tcPr>
                <w:p w14:paraId="7A25842B">
                  <w:pPr>
                    <w:keepNext w:val="0"/>
                    <w:keepLines w:val="0"/>
                    <w:suppressLineNumbers w:val="0"/>
                    <w:adjustRightInd w:val="0"/>
                    <w:snapToGrid w:val="0"/>
                    <w:spacing w:before="0" w:beforeAutospacing="0" w:after="0" w:afterAutospacing="0" w:line="240" w:lineRule="atLeast"/>
                    <w:ind w:left="0" w:leftChars="0" w:right="0" w:right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水洗废液</w:t>
                  </w:r>
                </w:p>
              </w:tc>
              <w:tc>
                <w:tcPr>
                  <w:tcW w:w="794" w:type="dxa"/>
                  <w:noWrap w:val="0"/>
                  <w:vAlign w:val="center"/>
                </w:tcPr>
                <w:p w14:paraId="3534A0BF">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水洗</w:t>
                  </w:r>
                </w:p>
              </w:tc>
              <w:tc>
                <w:tcPr>
                  <w:tcW w:w="734" w:type="dxa"/>
                  <w:noWrap w:val="0"/>
                  <w:vAlign w:val="center"/>
                </w:tcPr>
                <w:p w14:paraId="4CFB1231">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sz w:val="21"/>
                      <w:szCs w:val="21"/>
                    </w:rPr>
                  </w:pPr>
                  <w:r>
                    <w:rPr>
                      <w:rFonts w:hint="eastAsia" w:ascii="宋体" w:hAnsi="宋体" w:eastAsia="宋体" w:cs="宋体"/>
                      <w:sz w:val="21"/>
                      <w:szCs w:val="21"/>
                    </w:rPr>
                    <w:t>液态</w:t>
                  </w:r>
                </w:p>
              </w:tc>
              <w:tc>
                <w:tcPr>
                  <w:tcW w:w="1086" w:type="dxa"/>
                  <w:noWrap w:val="0"/>
                  <w:vAlign w:val="center"/>
                </w:tcPr>
                <w:p w14:paraId="3E157F68">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sz w:val="21"/>
                      <w:szCs w:val="21"/>
                      <w:lang w:eastAsia="zh-CN"/>
                    </w:rPr>
                  </w:pPr>
                  <w:r>
                    <w:rPr>
                      <w:rFonts w:hint="eastAsia" w:ascii="宋体" w:hAnsi="宋体" w:eastAsia="宋体" w:cs="宋体"/>
                      <w:sz w:val="21"/>
                      <w:szCs w:val="21"/>
                    </w:rPr>
                    <w:t>脱脂液</w:t>
                  </w:r>
                  <w:r>
                    <w:rPr>
                      <w:rFonts w:hint="eastAsia" w:ascii="宋体" w:hAnsi="宋体" w:eastAsia="宋体" w:cs="宋体"/>
                      <w:sz w:val="21"/>
                      <w:szCs w:val="21"/>
                      <w:lang w:eastAsia="zh-CN"/>
                    </w:rPr>
                    <w:t>、硅烷处理剂</w:t>
                  </w:r>
                </w:p>
              </w:tc>
              <w:tc>
                <w:tcPr>
                  <w:tcW w:w="833" w:type="dxa"/>
                  <w:noWrap w:val="0"/>
                  <w:vAlign w:val="center"/>
                </w:tcPr>
                <w:p w14:paraId="3B54E792">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13.8</w:t>
                  </w:r>
                </w:p>
              </w:tc>
              <w:tc>
                <w:tcPr>
                  <w:tcW w:w="639" w:type="dxa"/>
                  <w:noWrap w:val="0"/>
                  <w:vAlign w:val="center"/>
                </w:tcPr>
                <w:p w14:paraId="13EFE901">
                  <w:pPr>
                    <w:pStyle w:val="63"/>
                    <w:keepNext w:val="0"/>
                    <w:keepLines w:val="0"/>
                    <w:suppressLineNumbers w:val="0"/>
                    <w:adjustRightInd w:val="0"/>
                    <w:snapToGrid w:val="0"/>
                    <w:spacing w:before="0" w:beforeAutospacing="0" w:after="0" w:afterAutospacing="0" w:line="240" w:lineRule="atLeast"/>
                    <w:ind w:left="0" w:leftChars="0" w:right="0" w:rightChars="0"/>
                    <w:rPr>
                      <w:rFonts w:hint="eastAsia" w:ascii="宋体" w:hAnsi="宋体" w:eastAsia="宋体" w:cs="宋体"/>
                      <w:kern w:val="2"/>
                      <w:sz w:val="21"/>
                      <w:szCs w:val="21"/>
                      <w:lang w:val="en-US" w:eastAsia="zh-CN" w:bidi="ar-SA"/>
                    </w:rPr>
                  </w:pPr>
                  <w:r>
                    <w:rPr>
                      <w:rFonts w:hint="eastAsia" w:ascii="宋体" w:hAnsi="宋体" w:eastAsia="宋体" w:cs="宋体"/>
                      <w:sz w:val="21"/>
                    </w:rPr>
                    <w:t>√</w:t>
                  </w:r>
                </w:p>
              </w:tc>
              <w:tc>
                <w:tcPr>
                  <w:tcW w:w="627" w:type="dxa"/>
                  <w:noWrap w:val="0"/>
                  <w:vAlign w:val="center"/>
                </w:tcPr>
                <w:p w14:paraId="62771CEE">
                  <w:pPr>
                    <w:pStyle w:val="63"/>
                    <w:keepNext w:val="0"/>
                    <w:keepLines w:val="0"/>
                    <w:suppressLineNumbers w:val="0"/>
                    <w:adjustRightInd w:val="0"/>
                    <w:snapToGrid w:val="0"/>
                    <w:spacing w:before="0" w:beforeAutospacing="0" w:after="0" w:afterAutospacing="0" w:line="240" w:lineRule="atLeast"/>
                    <w:ind w:left="0" w:leftChars="0" w:right="0" w:rightChars="0"/>
                    <w:rPr>
                      <w:rFonts w:hint="eastAsia" w:ascii="宋体" w:hAnsi="宋体" w:eastAsia="宋体" w:cs="宋体"/>
                      <w:kern w:val="2"/>
                      <w:sz w:val="21"/>
                      <w:szCs w:val="21"/>
                      <w:lang w:val="en-US" w:eastAsia="zh-CN" w:bidi="ar-SA"/>
                    </w:rPr>
                  </w:pPr>
                  <w:r>
                    <w:rPr>
                      <w:rFonts w:hint="eastAsia" w:ascii="宋体" w:hAnsi="宋体" w:eastAsia="宋体" w:cs="宋体"/>
                      <w:sz w:val="21"/>
                    </w:rPr>
                    <w:t>/</w:t>
                  </w:r>
                </w:p>
              </w:tc>
              <w:tc>
                <w:tcPr>
                  <w:tcW w:w="991" w:type="dxa"/>
                  <w:noWrap w:val="0"/>
                  <w:vAlign w:val="center"/>
                </w:tcPr>
                <w:p w14:paraId="62160999">
                  <w:pPr>
                    <w:pStyle w:val="63"/>
                    <w:keepNext w:val="0"/>
                    <w:keepLines w:val="0"/>
                    <w:suppressLineNumbers w:val="0"/>
                    <w:adjustRightInd w:val="0"/>
                    <w:snapToGrid w:val="0"/>
                    <w:spacing w:before="0" w:beforeAutospacing="0" w:after="0" w:afterAutospacing="0" w:line="240" w:lineRule="atLeast"/>
                    <w:ind w:left="0" w:leftChars="0" w:right="0" w:rightChars="0"/>
                    <w:rPr>
                      <w:rFonts w:hint="eastAsia" w:ascii="宋体" w:hAnsi="宋体" w:eastAsia="宋体" w:cs="宋体"/>
                      <w:kern w:val="2"/>
                      <w:sz w:val="21"/>
                      <w:szCs w:val="21"/>
                      <w:lang w:val="en-US" w:eastAsia="zh-CN" w:bidi="ar-SA"/>
                    </w:rPr>
                  </w:pPr>
                  <w:r>
                    <w:rPr>
                      <w:rFonts w:hint="eastAsia" w:ascii="宋体" w:hAnsi="宋体" w:eastAsia="宋体" w:cs="宋体"/>
                      <w:sz w:val="21"/>
                    </w:rPr>
                    <w:t>4.1-(h)</w:t>
                  </w:r>
                </w:p>
              </w:tc>
              <w:tc>
                <w:tcPr>
                  <w:tcW w:w="959" w:type="dxa"/>
                  <w:noWrap w:val="0"/>
                  <w:vAlign w:val="center"/>
                </w:tcPr>
                <w:p w14:paraId="29E6ABFB">
                  <w:pPr>
                    <w:pStyle w:val="63"/>
                    <w:keepNext w:val="0"/>
                    <w:keepLines w:val="0"/>
                    <w:suppressLineNumbers w:val="0"/>
                    <w:adjustRightInd w:val="0"/>
                    <w:snapToGrid w:val="0"/>
                    <w:spacing w:before="0" w:beforeAutospacing="0" w:after="0" w:afterAutospacing="0" w:line="240" w:lineRule="atLeast"/>
                    <w:ind w:left="0" w:leftChars="0" w:right="0" w:rightChars="0"/>
                    <w:rPr>
                      <w:rFonts w:hint="eastAsia" w:ascii="宋体" w:hAnsi="宋体" w:eastAsia="宋体" w:cs="宋体"/>
                      <w:kern w:val="2"/>
                      <w:sz w:val="21"/>
                      <w:szCs w:val="21"/>
                      <w:lang w:val="en-US" w:eastAsia="zh-CN" w:bidi="ar-SA"/>
                    </w:rPr>
                  </w:pPr>
                  <w:r>
                    <w:rPr>
                      <w:rFonts w:hint="eastAsia" w:ascii="宋体" w:hAnsi="宋体" w:eastAsia="宋体" w:cs="宋体"/>
                      <w:sz w:val="21"/>
                    </w:rPr>
                    <w:t>5.1-(e)</w:t>
                  </w:r>
                </w:p>
              </w:tc>
            </w:tr>
            <w:tr w14:paraId="37F829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57" w:type="dxa"/>
                  <w:noWrap w:val="0"/>
                  <w:vAlign w:val="center"/>
                </w:tcPr>
                <w:p w14:paraId="2F3634EA">
                  <w:pPr>
                    <w:pStyle w:val="63"/>
                    <w:keepNext w:val="0"/>
                    <w:keepLines w:val="0"/>
                    <w:suppressLineNumbers w:val="0"/>
                    <w:adjustRightInd w:val="0"/>
                    <w:snapToGrid w:val="0"/>
                    <w:spacing w:before="0" w:beforeAutospacing="0" w:after="0" w:afterAutospacing="0" w:line="240" w:lineRule="atLeast"/>
                    <w:ind w:left="0" w:leftChars="0" w:right="0" w:rightChars="0"/>
                    <w:rPr>
                      <w:rFonts w:hint="eastAsia" w:ascii="宋体" w:hAnsi="宋体" w:eastAsia="宋体" w:cs="宋体"/>
                      <w:kern w:val="2"/>
                      <w:sz w:val="21"/>
                      <w:szCs w:val="21"/>
                      <w:lang w:val="en-US" w:eastAsia="zh-CN" w:bidi="ar-SA"/>
                    </w:rPr>
                  </w:pPr>
                  <w:r>
                    <w:rPr>
                      <w:rFonts w:hint="eastAsia" w:ascii="宋体" w:hAnsi="宋体" w:eastAsia="宋体" w:cs="宋体"/>
                      <w:sz w:val="21"/>
                    </w:rPr>
                    <w:t>7</w:t>
                  </w:r>
                </w:p>
              </w:tc>
              <w:tc>
                <w:tcPr>
                  <w:tcW w:w="1016" w:type="dxa"/>
                  <w:noWrap w:val="0"/>
                  <w:vAlign w:val="center"/>
                </w:tcPr>
                <w:p w14:paraId="72CCDCBA">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sz w:val="21"/>
                      <w:szCs w:val="21"/>
                      <w:lang w:eastAsia="zh-CN"/>
                    </w:rPr>
                  </w:pPr>
                  <w:r>
                    <w:rPr>
                      <w:rFonts w:hint="eastAsia" w:ascii="宋体" w:hAnsi="宋体" w:eastAsia="宋体" w:cs="宋体"/>
                      <w:sz w:val="21"/>
                      <w:szCs w:val="21"/>
                    </w:rPr>
                    <w:t>槽渣</w:t>
                  </w:r>
                </w:p>
              </w:tc>
              <w:tc>
                <w:tcPr>
                  <w:tcW w:w="794" w:type="dxa"/>
                  <w:noWrap w:val="0"/>
                  <w:vAlign w:val="center"/>
                </w:tcPr>
                <w:p w14:paraId="55A34B1A">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0"/>
                      <w:sz w:val="21"/>
                      <w:szCs w:val="21"/>
                    </w:rPr>
                  </w:pPr>
                  <w:r>
                    <w:rPr>
                      <w:rFonts w:hint="eastAsia" w:ascii="宋体" w:hAnsi="宋体" w:eastAsia="宋体" w:cs="宋体"/>
                      <w:sz w:val="21"/>
                      <w:szCs w:val="21"/>
                    </w:rPr>
                    <w:t>脱脂</w:t>
                  </w:r>
                </w:p>
              </w:tc>
              <w:tc>
                <w:tcPr>
                  <w:tcW w:w="734" w:type="dxa"/>
                  <w:noWrap w:val="0"/>
                  <w:vAlign w:val="center"/>
                </w:tcPr>
                <w:p w14:paraId="2C8F8E7F">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sz w:val="21"/>
                      <w:szCs w:val="21"/>
                    </w:rPr>
                  </w:pPr>
                  <w:r>
                    <w:rPr>
                      <w:rFonts w:hint="eastAsia" w:ascii="宋体" w:hAnsi="宋体" w:eastAsia="宋体" w:cs="宋体"/>
                      <w:sz w:val="21"/>
                      <w:szCs w:val="21"/>
                    </w:rPr>
                    <w:t>固态</w:t>
                  </w:r>
                </w:p>
              </w:tc>
              <w:tc>
                <w:tcPr>
                  <w:tcW w:w="1086" w:type="dxa"/>
                  <w:noWrap w:val="0"/>
                  <w:vAlign w:val="center"/>
                </w:tcPr>
                <w:p w14:paraId="3DAEF011">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0"/>
                      <w:sz w:val="21"/>
                      <w:szCs w:val="21"/>
                    </w:rPr>
                  </w:pPr>
                  <w:r>
                    <w:rPr>
                      <w:rFonts w:hint="eastAsia" w:ascii="宋体" w:hAnsi="宋体" w:eastAsia="宋体" w:cs="宋体"/>
                      <w:sz w:val="21"/>
                      <w:szCs w:val="21"/>
                    </w:rPr>
                    <w:t>油泥</w:t>
                  </w:r>
                </w:p>
              </w:tc>
              <w:tc>
                <w:tcPr>
                  <w:tcW w:w="833" w:type="dxa"/>
                  <w:noWrap w:val="0"/>
                  <w:vAlign w:val="center"/>
                </w:tcPr>
                <w:p w14:paraId="182C4E9E">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0.5</w:t>
                  </w:r>
                </w:p>
              </w:tc>
              <w:tc>
                <w:tcPr>
                  <w:tcW w:w="639" w:type="dxa"/>
                  <w:noWrap w:val="0"/>
                  <w:vAlign w:val="center"/>
                </w:tcPr>
                <w:p w14:paraId="7F0B81BA">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w:t>
                  </w:r>
                </w:p>
              </w:tc>
              <w:tc>
                <w:tcPr>
                  <w:tcW w:w="627" w:type="dxa"/>
                  <w:noWrap w:val="0"/>
                  <w:vAlign w:val="center"/>
                </w:tcPr>
                <w:p w14:paraId="25E9A3F7">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w:t>
                  </w:r>
                </w:p>
              </w:tc>
              <w:tc>
                <w:tcPr>
                  <w:tcW w:w="991" w:type="dxa"/>
                  <w:noWrap w:val="0"/>
                  <w:vAlign w:val="center"/>
                </w:tcPr>
                <w:p w14:paraId="686FC869">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4.1-(h)</w:t>
                  </w:r>
                </w:p>
              </w:tc>
              <w:tc>
                <w:tcPr>
                  <w:tcW w:w="959" w:type="dxa"/>
                  <w:noWrap w:val="0"/>
                  <w:vAlign w:val="center"/>
                </w:tcPr>
                <w:p w14:paraId="3F8C7B1D">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5.1-(e)</w:t>
                  </w:r>
                </w:p>
              </w:tc>
            </w:tr>
            <w:tr w14:paraId="7777A9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57" w:type="dxa"/>
                  <w:noWrap w:val="0"/>
                  <w:vAlign w:val="center"/>
                </w:tcPr>
                <w:p w14:paraId="7B4CBECD">
                  <w:pPr>
                    <w:pStyle w:val="63"/>
                    <w:keepNext w:val="0"/>
                    <w:keepLines w:val="0"/>
                    <w:suppressLineNumbers w:val="0"/>
                    <w:adjustRightInd w:val="0"/>
                    <w:snapToGrid w:val="0"/>
                    <w:spacing w:before="0" w:beforeAutospacing="0" w:after="0" w:afterAutospacing="0" w:line="240" w:lineRule="atLeast"/>
                    <w:ind w:left="0" w:leftChars="0" w:right="0" w:rightChars="0"/>
                    <w:rPr>
                      <w:rFonts w:hint="eastAsia" w:ascii="宋体" w:hAnsi="宋体" w:eastAsia="宋体" w:cs="宋体"/>
                      <w:kern w:val="2"/>
                      <w:sz w:val="21"/>
                      <w:szCs w:val="21"/>
                      <w:lang w:val="en-US" w:eastAsia="zh-CN" w:bidi="ar-SA"/>
                    </w:rPr>
                  </w:pPr>
                  <w:r>
                    <w:rPr>
                      <w:rFonts w:hint="eastAsia" w:ascii="宋体" w:hAnsi="宋体" w:eastAsia="宋体" w:cs="宋体"/>
                      <w:sz w:val="21"/>
                    </w:rPr>
                    <w:t>8</w:t>
                  </w:r>
                </w:p>
              </w:tc>
              <w:tc>
                <w:tcPr>
                  <w:tcW w:w="1016" w:type="dxa"/>
                  <w:noWrap w:val="0"/>
                  <w:vAlign w:val="center"/>
                </w:tcPr>
                <w:p w14:paraId="657144DA">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废包装桶</w:t>
                  </w:r>
                </w:p>
              </w:tc>
              <w:tc>
                <w:tcPr>
                  <w:tcW w:w="794" w:type="dxa"/>
                  <w:noWrap w:val="0"/>
                  <w:vAlign w:val="center"/>
                </w:tcPr>
                <w:p w14:paraId="40AB5848">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rPr>
                    <w:t>原料包装</w:t>
                  </w:r>
                </w:p>
              </w:tc>
              <w:tc>
                <w:tcPr>
                  <w:tcW w:w="734" w:type="dxa"/>
                  <w:noWrap w:val="0"/>
                  <w:vAlign w:val="center"/>
                </w:tcPr>
                <w:p w14:paraId="33FBBD84">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固态</w:t>
                  </w:r>
                </w:p>
              </w:tc>
              <w:tc>
                <w:tcPr>
                  <w:tcW w:w="1086" w:type="dxa"/>
                  <w:noWrap w:val="0"/>
                  <w:vAlign w:val="center"/>
                </w:tcPr>
                <w:p w14:paraId="1145C088">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沾染了脱脂剂的包装桶</w:t>
                  </w:r>
                </w:p>
              </w:tc>
              <w:tc>
                <w:tcPr>
                  <w:tcW w:w="833" w:type="dxa"/>
                  <w:noWrap w:val="0"/>
                  <w:vAlign w:val="center"/>
                </w:tcPr>
                <w:p w14:paraId="7229D375">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0.016</w:t>
                  </w:r>
                </w:p>
              </w:tc>
              <w:tc>
                <w:tcPr>
                  <w:tcW w:w="639" w:type="dxa"/>
                  <w:noWrap w:val="0"/>
                  <w:vAlign w:val="center"/>
                </w:tcPr>
                <w:p w14:paraId="7A2634CD">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w:t>
                  </w:r>
                </w:p>
              </w:tc>
              <w:tc>
                <w:tcPr>
                  <w:tcW w:w="627" w:type="dxa"/>
                  <w:noWrap w:val="0"/>
                  <w:vAlign w:val="center"/>
                </w:tcPr>
                <w:p w14:paraId="77E2843B">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w:t>
                  </w:r>
                </w:p>
              </w:tc>
              <w:tc>
                <w:tcPr>
                  <w:tcW w:w="991" w:type="dxa"/>
                  <w:noWrap w:val="0"/>
                  <w:vAlign w:val="center"/>
                </w:tcPr>
                <w:p w14:paraId="10579AB2">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4.1-(h)</w:t>
                  </w:r>
                </w:p>
              </w:tc>
              <w:tc>
                <w:tcPr>
                  <w:tcW w:w="959" w:type="dxa"/>
                  <w:noWrap w:val="0"/>
                  <w:vAlign w:val="center"/>
                </w:tcPr>
                <w:p w14:paraId="7151007F">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5.1-(e)</w:t>
                  </w:r>
                </w:p>
              </w:tc>
            </w:tr>
            <w:tr w14:paraId="1A2238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57" w:type="dxa"/>
                  <w:noWrap w:val="0"/>
                  <w:vAlign w:val="center"/>
                </w:tcPr>
                <w:p w14:paraId="779594B6">
                  <w:pPr>
                    <w:pStyle w:val="63"/>
                    <w:keepNext w:val="0"/>
                    <w:keepLines w:val="0"/>
                    <w:suppressLineNumbers w:val="0"/>
                    <w:adjustRightInd w:val="0"/>
                    <w:snapToGrid w:val="0"/>
                    <w:spacing w:before="0" w:beforeAutospacing="0" w:after="0" w:afterAutospacing="0" w:line="240" w:lineRule="atLeast"/>
                    <w:ind w:left="0" w:leftChars="0" w:right="0" w:rightChars="0"/>
                    <w:rPr>
                      <w:rFonts w:hint="eastAsia" w:ascii="宋体" w:hAnsi="宋体" w:eastAsia="宋体" w:cs="宋体"/>
                      <w:kern w:val="2"/>
                      <w:sz w:val="21"/>
                      <w:szCs w:val="21"/>
                      <w:lang w:val="en-US" w:eastAsia="zh-CN" w:bidi="ar-SA"/>
                    </w:rPr>
                  </w:pPr>
                  <w:r>
                    <w:rPr>
                      <w:rFonts w:hint="eastAsia" w:ascii="宋体" w:hAnsi="宋体" w:eastAsia="宋体" w:cs="宋体"/>
                      <w:sz w:val="21"/>
                    </w:rPr>
                    <w:t>9</w:t>
                  </w:r>
                </w:p>
              </w:tc>
              <w:tc>
                <w:tcPr>
                  <w:tcW w:w="1016" w:type="dxa"/>
                  <w:noWrap w:val="0"/>
                  <w:vAlign w:val="center"/>
                </w:tcPr>
                <w:p w14:paraId="2FE0D15F">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污泥</w:t>
                  </w:r>
                </w:p>
              </w:tc>
              <w:tc>
                <w:tcPr>
                  <w:tcW w:w="794" w:type="dxa"/>
                  <w:noWrap w:val="0"/>
                  <w:vAlign w:val="center"/>
                </w:tcPr>
                <w:p w14:paraId="479BE263">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污水处理站</w:t>
                  </w:r>
                </w:p>
              </w:tc>
              <w:tc>
                <w:tcPr>
                  <w:tcW w:w="734" w:type="dxa"/>
                  <w:noWrap w:val="0"/>
                  <w:vAlign w:val="center"/>
                </w:tcPr>
                <w:p w14:paraId="0EB6DA4B">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固态</w:t>
                  </w:r>
                </w:p>
              </w:tc>
              <w:tc>
                <w:tcPr>
                  <w:tcW w:w="1086" w:type="dxa"/>
                  <w:noWrap w:val="0"/>
                  <w:vAlign w:val="center"/>
                </w:tcPr>
                <w:p w14:paraId="04F5AA8B">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污泥</w:t>
                  </w:r>
                </w:p>
              </w:tc>
              <w:tc>
                <w:tcPr>
                  <w:tcW w:w="833" w:type="dxa"/>
                  <w:noWrap w:val="0"/>
                  <w:vAlign w:val="center"/>
                </w:tcPr>
                <w:p w14:paraId="4B2D0074">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639" w:type="dxa"/>
                  <w:noWrap w:val="0"/>
                  <w:vAlign w:val="center"/>
                </w:tcPr>
                <w:p w14:paraId="374BD8FC">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w:t>
                  </w:r>
                </w:p>
              </w:tc>
              <w:tc>
                <w:tcPr>
                  <w:tcW w:w="627" w:type="dxa"/>
                  <w:noWrap w:val="0"/>
                  <w:vAlign w:val="center"/>
                </w:tcPr>
                <w:p w14:paraId="56BE9F0D">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w:t>
                  </w:r>
                </w:p>
              </w:tc>
              <w:tc>
                <w:tcPr>
                  <w:tcW w:w="991" w:type="dxa"/>
                  <w:noWrap w:val="0"/>
                  <w:vAlign w:val="center"/>
                </w:tcPr>
                <w:p w14:paraId="392DF8A6">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4.1-(h)</w:t>
                  </w:r>
                </w:p>
              </w:tc>
              <w:tc>
                <w:tcPr>
                  <w:tcW w:w="959" w:type="dxa"/>
                  <w:noWrap w:val="0"/>
                  <w:vAlign w:val="center"/>
                </w:tcPr>
                <w:p w14:paraId="78B9FEE9">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5.1-(e)</w:t>
                  </w:r>
                </w:p>
              </w:tc>
            </w:tr>
            <w:tr w14:paraId="0B563E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57" w:type="dxa"/>
                  <w:noWrap w:val="0"/>
                  <w:vAlign w:val="center"/>
                </w:tcPr>
                <w:p w14:paraId="5CEDBF23">
                  <w:pPr>
                    <w:pStyle w:val="63"/>
                    <w:keepNext w:val="0"/>
                    <w:keepLines w:val="0"/>
                    <w:suppressLineNumbers w:val="0"/>
                    <w:adjustRightInd w:val="0"/>
                    <w:snapToGrid w:val="0"/>
                    <w:spacing w:before="0" w:beforeAutospacing="0" w:after="0" w:afterAutospacing="0" w:line="240" w:lineRule="atLeast"/>
                    <w:ind w:left="0" w:right="0"/>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10</w:t>
                  </w:r>
                </w:p>
              </w:tc>
              <w:tc>
                <w:tcPr>
                  <w:tcW w:w="1016" w:type="dxa"/>
                  <w:noWrap w:val="0"/>
                  <w:vAlign w:val="center"/>
                </w:tcPr>
                <w:p w14:paraId="6303842E">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废活性炭</w:t>
                  </w:r>
                </w:p>
              </w:tc>
              <w:tc>
                <w:tcPr>
                  <w:tcW w:w="794" w:type="dxa"/>
                  <w:noWrap w:val="0"/>
                  <w:vAlign w:val="center"/>
                </w:tcPr>
                <w:p w14:paraId="487FEF59">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废气治理</w:t>
                  </w:r>
                </w:p>
              </w:tc>
              <w:tc>
                <w:tcPr>
                  <w:tcW w:w="734" w:type="dxa"/>
                  <w:noWrap w:val="0"/>
                  <w:vAlign w:val="center"/>
                </w:tcPr>
                <w:p w14:paraId="091BF2F5">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固态</w:t>
                  </w:r>
                </w:p>
              </w:tc>
              <w:tc>
                <w:tcPr>
                  <w:tcW w:w="1086" w:type="dxa"/>
                  <w:noWrap w:val="0"/>
                  <w:vAlign w:val="center"/>
                </w:tcPr>
                <w:p w14:paraId="6CAA454D">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活性炭</w:t>
                  </w:r>
                </w:p>
              </w:tc>
              <w:tc>
                <w:tcPr>
                  <w:tcW w:w="833" w:type="dxa"/>
                  <w:noWrap w:val="0"/>
                  <w:vAlign w:val="center"/>
                </w:tcPr>
                <w:p w14:paraId="62235E80">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1.22</w:t>
                  </w:r>
                </w:p>
              </w:tc>
              <w:tc>
                <w:tcPr>
                  <w:tcW w:w="639" w:type="dxa"/>
                  <w:noWrap w:val="0"/>
                  <w:vAlign w:val="center"/>
                </w:tcPr>
                <w:p w14:paraId="3083BC85">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w:t>
                  </w:r>
                </w:p>
              </w:tc>
              <w:tc>
                <w:tcPr>
                  <w:tcW w:w="627" w:type="dxa"/>
                  <w:noWrap w:val="0"/>
                  <w:vAlign w:val="center"/>
                </w:tcPr>
                <w:p w14:paraId="3D39F0CF">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w:t>
                  </w:r>
                </w:p>
              </w:tc>
              <w:tc>
                <w:tcPr>
                  <w:tcW w:w="991" w:type="dxa"/>
                  <w:noWrap w:val="0"/>
                  <w:vAlign w:val="center"/>
                </w:tcPr>
                <w:p w14:paraId="2AC9732B">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4.1-(h)</w:t>
                  </w:r>
                </w:p>
              </w:tc>
              <w:tc>
                <w:tcPr>
                  <w:tcW w:w="959" w:type="dxa"/>
                  <w:noWrap w:val="0"/>
                  <w:vAlign w:val="center"/>
                </w:tcPr>
                <w:p w14:paraId="1E83EA92">
                  <w:pPr>
                    <w:pStyle w:val="63"/>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sz w:val="21"/>
                    </w:rPr>
                  </w:pPr>
                  <w:r>
                    <w:rPr>
                      <w:rFonts w:hint="eastAsia" w:ascii="宋体" w:hAnsi="宋体" w:eastAsia="宋体" w:cs="宋体"/>
                      <w:sz w:val="21"/>
                    </w:rPr>
                    <w:t>5.1-(e)</w:t>
                  </w:r>
                </w:p>
              </w:tc>
            </w:tr>
          </w:tbl>
          <w:p w14:paraId="663A2440">
            <w:pPr>
              <w:pStyle w:val="61"/>
              <w:keepNext w:val="0"/>
              <w:keepLines w:val="0"/>
              <w:suppressLineNumbers w:val="0"/>
              <w:spacing w:before="0" w:beforeAutospacing="0" w:after="0" w:afterAutospacing="0"/>
              <w:ind w:left="0" w:right="0"/>
              <w:jc w:val="left"/>
              <w:rPr>
                <w:rFonts w:hint="eastAsia" w:ascii="宋体" w:hAnsi="宋体" w:eastAsia="宋体" w:cs="宋体"/>
              </w:rPr>
            </w:pPr>
            <w:r>
              <w:rPr>
                <w:rFonts w:hint="eastAsia" w:ascii="宋体" w:hAnsi="宋体" w:eastAsia="宋体" w:cs="宋体"/>
              </w:rPr>
              <w:t>根据《国家危险废物名录》（202</w:t>
            </w:r>
            <w:r>
              <w:rPr>
                <w:rFonts w:hint="eastAsia" w:ascii="宋体" w:hAnsi="宋体" w:eastAsia="宋体" w:cs="宋体"/>
                <w:lang w:val="en-US" w:eastAsia="zh-CN"/>
              </w:rPr>
              <w:t>5</w:t>
            </w:r>
            <w:r>
              <w:rPr>
                <w:rFonts w:hint="eastAsia" w:ascii="宋体" w:hAnsi="宋体" w:eastAsia="宋体" w:cs="宋体"/>
              </w:rPr>
              <w:t>年）、《危险废物鉴别标准 通则》（GB5085.7）等文件标准要求，对建设项目鉴别出的固体废物进行属性判定，本项目产生的危险废物如下：</w:t>
            </w:r>
          </w:p>
          <w:p w14:paraId="0BFFC857">
            <w:pPr>
              <w:pStyle w:val="44"/>
              <w:keepNext w:val="0"/>
              <w:keepLines w:val="0"/>
              <w:suppressLineNumbers w:val="0"/>
              <w:spacing w:before="0" w:beforeAutospacing="0" w:after="0" w:afterAutospacing="0" w:line="240" w:lineRule="auto"/>
              <w:ind w:left="0" w:right="0" w:firstLine="480"/>
              <w:rPr>
                <w:rFonts w:hint="eastAsia" w:ascii="宋体" w:hAnsi="宋体" w:eastAsia="宋体" w:cs="宋体"/>
                <w:kern w:val="44"/>
              </w:rPr>
            </w:pPr>
            <w:r>
              <w:rPr>
                <w:rFonts w:hint="eastAsia" w:ascii="宋体" w:hAnsi="宋体" w:eastAsia="宋体" w:cs="宋体"/>
                <w:b/>
                <w:bCs w:val="0"/>
                <w:kern w:val="44"/>
              </w:rPr>
              <w:t>表4-2</w:t>
            </w:r>
            <w:r>
              <w:rPr>
                <w:rFonts w:hint="eastAsia" w:ascii="宋体" w:hAnsi="宋体" w:eastAsia="宋体" w:cs="宋体"/>
                <w:b/>
                <w:bCs w:val="0"/>
                <w:kern w:val="44"/>
                <w:lang w:val="en-US" w:eastAsia="zh-CN"/>
              </w:rPr>
              <w:t>2</w:t>
            </w:r>
            <w:r>
              <w:rPr>
                <w:rFonts w:hint="eastAsia" w:ascii="宋体" w:hAnsi="宋体" w:eastAsia="宋体" w:cs="宋体"/>
                <w:b/>
                <w:bCs w:val="0"/>
                <w:kern w:val="44"/>
              </w:rPr>
              <w:t xml:space="preserve">  危险废物汇总表</w:t>
            </w:r>
          </w:p>
          <w:tbl>
            <w:tblPr>
              <w:tblStyle w:val="30"/>
              <w:tblW w:w="819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96"/>
              <w:gridCol w:w="817"/>
              <w:gridCol w:w="773"/>
              <w:gridCol w:w="750"/>
              <w:gridCol w:w="998"/>
              <w:gridCol w:w="785"/>
              <w:gridCol w:w="829"/>
              <w:gridCol w:w="881"/>
              <w:gridCol w:w="605"/>
              <w:gridCol w:w="1360"/>
            </w:tblGrid>
            <w:tr w14:paraId="1C24C2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14" w:hRule="atLeast"/>
                <w:jc w:val="center"/>
              </w:trPr>
              <w:tc>
                <w:tcPr>
                  <w:tcW w:w="396" w:type="dxa"/>
                  <w:noWrap w:val="0"/>
                  <w:vAlign w:val="center"/>
                </w:tcPr>
                <w:p w14:paraId="3469AA71">
                  <w:pPr>
                    <w:keepNext w:val="0"/>
                    <w:keepLines w:val="0"/>
                    <w:suppressLineNumbers w:val="0"/>
                    <w:spacing w:before="0" w:beforeAutospacing="0" w:after="0" w:afterAutospacing="0" w:line="240" w:lineRule="auto"/>
                    <w:ind w:left="0" w:right="0"/>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817" w:type="dxa"/>
                  <w:noWrap w:val="0"/>
                  <w:vAlign w:val="center"/>
                </w:tcPr>
                <w:p w14:paraId="7B39B01B">
                  <w:pPr>
                    <w:keepNext w:val="0"/>
                    <w:keepLines w:val="0"/>
                    <w:suppressLineNumbers w:val="0"/>
                    <w:spacing w:before="0" w:beforeAutospacing="0" w:after="0" w:afterAutospacing="0" w:line="240" w:lineRule="auto"/>
                    <w:ind w:left="0" w:right="0"/>
                    <w:jc w:val="center"/>
                    <w:rPr>
                      <w:rFonts w:hint="eastAsia" w:ascii="宋体" w:hAnsi="宋体" w:eastAsia="宋体" w:cs="宋体"/>
                      <w:b/>
                      <w:bCs/>
                      <w:sz w:val="21"/>
                      <w:szCs w:val="21"/>
                    </w:rPr>
                  </w:pPr>
                  <w:r>
                    <w:rPr>
                      <w:rFonts w:hint="eastAsia" w:ascii="宋体" w:hAnsi="宋体" w:eastAsia="宋体" w:cs="宋体"/>
                      <w:b/>
                      <w:bCs/>
                      <w:sz w:val="21"/>
                      <w:szCs w:val="21"/>
                    </w:rPr>
                    <w:t>危险废</w:t>
                  </w:r>
                </w:p>
                <w:p w14:paraId="4A39376F">
                  <w:pPr>
                    <w:keepNext w:val="0"/>
                    <w:keepLines w:val="0"/>
                    <w:suppressLineNumbers w:val="0"/>
                    <w:spacing w:before="0" w:beforeAutospacing="0" w:after="0" w:afterAutospacing="0" w:line="240" w:lineRule="auto"/>
                    <w:ind w:left="0" w:right="0"/>
                    <w:jc w:val="center"/>
                    <w:rPr>
                      <w:rFonts w:hint="eastAsia" w:ascii="宋体" w:hAnsi="宋体" w:eastAsia="宋体" w:cs="宋体"/>
                      <w:b/>
                      <w:bCs/>
                      <w:sz w:val="21"/>
                      <w:szCs w:val="21"/>
                    </w:rPr>
                  </w:pPr>
                  <w:r>
                    <w:rPr>
                      <w:rFonts w:hint="eastAsia" w:ascii="宋体" w:hAnsi="宋体" w:eastAsia="宋体" w:cs="宋体"/>
                      <w:b/>
                      <w:bCs/>
                      <w:sz w:val="21"/>
                      <w:szCs w:val="21"/>
                    </w:rPr>
                    <w:t>物名称</w:t>
                  </w:r>
                </w:p>
              </w:tc>
              <w:tc>
                <w:tcPr>
                  <w:tcW w:w="773" w:type="dxa"/>
                  <w:noWrap w:val="0"/>
                  <w:vAlign w:val="center"/>
                </w:tcPr>
                <w:p w14:paraId="02C11103">
                  <w:pPr>
                    <w:keepNext w:val="0"/>
                    <w:keepLines w:val="0"/>
                    <w:suppressLineNumbers w:val="0"/>
                    <w:spacing w:before="0" w:beforeAutospacing="0" w:after="0" w:afterAutospacing="0" w:line="240" w:lineRule="auto"/>
                    <w:ind w:left="0" w:right="0"/>
                    <w:jc w:val="center"/>
                    <w:rPr>
                      <w:rFonts w:hint="eastAsia" w:ascii="宋体" w:hAnsi="宋体" w:eastAsia="宋体" w:cs="宋体"/>
                      <w:b/>
                      <w:bCs/>
                      <w:sz w:val="21"/>
                      <w:szCs w:val="21"/>
                    </w:rPr>
                  </w:pPr>
                  <w:r>
                    <w:rPr>
                      <w:rFonts w:hint="eastAsia" w:ascii="宋体" w:hAnsi="宋体" w:eastAsia="宋体" w:cs="宋体"/>
                      <w:b/>
                      <w:bCs/>
                      <w:sz w:val="21"/>
                      <w:szCs w:val="21"/>
                    </w:rPr>
                    <w:t>危险废物类别</w:t>
                  </w:r>
                </w:p>
              </w:tc>
              <w:tc>
                <w:tcPr>
                  <w:tcW w:w="750" w:type="dxa"/>
                  <w:noWrap w:val="0"/>
                  <w:vAlign w:val="center"/>
                </w:tcPr>
                <w:p w14:paraId="4DFD0E02">
                  <w:pPr>
                    <w:keepNext w:val="0"/>
                    <w:keepLines w:val="0"/>
                    <w:suppressLineNumbers w:val="0"/>
                    <w:spacing w:before="0" w:beforeAutospacing="0" w:after="0" w:afterAutospacing="0" w:line="240" w:lineRule="auto"/>
                    <w:ind w:left="0" w:right="0"/>
                    <w:jc w:val="center"/>
                    <w:rPr>
                      <w:rFonts w:hint="eastAsia" w:ascii="宋体" w:hAnsi="宋体" w:eastAsia="宋体" w:cs="宋体"/>
                      <w:b/>
                      <w:bCs/>
                      <w:sz w:val="21"/>
                      <w:szCs w:val="21"/>
                    </w:rPr>
                  </w:pPr>
                  <w:r>
                    <w:rPr>
                      <w:rFonts w:hint="eastAsia" w:ascii="宋体" w:hAnsi="宋体" w:eastAsia="宋体" w:cs="宋体"/>
                      <w:b/>
                      <w:bCs/>
                      <w:sz w:val="21"/>
                      <w:szCs w:val="21"/>
                    </w:rPr>
                    <w:t>产生量</w:t>
                  </w:r>
                </w:p>
                <w:p w14:paraId="20470ABA">
                  <w:pPr>
                    <w:keepNext w:val="0"/>
                    <w:keepLines w:val="0"/>
                    <w:suppressLineNumbers w:val="0"/>
                    <w:spacing w:before="0" w:beforeAutospacing="0" w:after="0" w:afterAutospacing="0" w:line="240" w:lineRule="auto"/>
                    <w:ind w:left="0" w:right="0"/>
                    <w:jc w:val="center"/>
                    <w:rPr>
                      <w:rFonts w:hint="eastAsia" w:ascii="宋体" w:hAnsi="宋体" w:eastAsia="宋体" w:cs="宋体"/>
                      <w:b/>
                      <w:bCs/>
                      <w:sz w:val="21"/>
                      <w:szCs w:val="21"/>
                    </w:rPr>
                  </w:pPr>
                  <w:r>
                    <w:rPr>
                      <w:rFonts w:hint="eastAsia" w:ascii="宋体" w:hAnsi="宋体" w:eastAsia="宋体" w:cs="宋体"/>
                      <w:b/>
                      <w:bCs/>
                      <w:sz w:val="21"/>
                      <w:szCs w:val="21"/>
                    </w:rPr>
                    <w:t>（t/a）</w:t>
                  </w:r>
                </w:p>
              </w:tc>
              <w:tc>
                <w:tcPr>
                  <w:tcW w:w="998" w:type="dxa"/>
                  <w:noWrap w:val="0"/>
                  <w:vAlign w:val="center"/>
                </w:tcPr>
                <w:p w14:paraId="59C1ECDF">
                  <w:pPr>
                    <w:keepNext w:val="0"/>
                    <w:keepLines w:val="0"/>
                    <w:suppressLineNumbers w:val="0"/>
                    <w:spacing w:before="0" w:beforeAutospacing="0" w:after="0" w:afterAutospacing="0" w:line="240" w:lineRule="auto"/>
                    <w:ind w:left="0" w:right="0"/>
                    <w:jc w:val="center"/>
                    <w:rPr>
                      <w:rFonts w:hint="eastAsia" w:ascii="宋体" w:hAnsi="宋体" w:eastAsia="宋体" w:cs="宋体"/>
                      <w:b/>
                      <w:bCs/>
                      <w:sz w:val="21"/>
                      <w:szCs w:val="21"/>
                    </w:rPr>
                  </w:pPr>
                  <w:r>
                    <w:rPr>
                      <w:rFonts w:hint="eastAsia" w:ascii="宋体" w:hAnsi="宋体" w:eastAsia="宋体" w:cs="宋体"/>
                      <w:b/>
                      <w:bCs/>
                      <w:sz w:val="21"/>
                      <w:szCs w:val="21"/>
                    </w:rPr>
                    <w:t>产生工序</w:t>
                  </w:r>
                </w:p>
                <w:p w14:paraId="3BC11B45">
                  <w:pPr>
                    <w:keepNext w:val="0"/>
                    <w:keepLines w:val="0"/>
                    <w:suppressLineNumbers w:val="0"/>
                    <w:spacing w:before="0" w:beforeAutospacing="0" w:after="0" w:afterAutospacing="0" w:line="240" w:lineRule="auto"/>
                    <w:ind w:left="0" w:right="0"/>
                    <w:jc w:val="center"/>
                    <w:rPr>
                      <w:rFonts w:hint="eastAsia" w:ascii="宋体" w:hAnsi="宋体" w:eastAsia="宋体" w:cs="宋体"/>
                      <w:b/>
                      <w:bCs/>
                      <w:sz w:val="21"/>
                      <w:szCs w:val="21"/>
                    </w:rPr>
                  </w:pPr>
                  <w:r>
                    <w:rPr>
                      <w:rFonts w:hint="eastAsia" w:ascii="宋体" w:hAnsi="宋体" w:eastAsia="宋体" w:cs="宋体"/>
                      <w:b/>
                      <w:bCs/>
                      <w:sz w:val="21"/>
                      <w:szCs w:val="21"/>
                    </w:rPr>
                    <w:t>及装置</w:t>
                  </w:r>
                </w:p>
              </w:tc>
              <w:tc>
                <w:tcPr>
                  <w:tcW w:w="785" w:type="dxa"/>
                  <w:noWrap w:val="0"/>
                  <w:vAlign w:val="center"/>
                </w:tcPr>
                <w:p w14:paraId="2CB1E6CE">
                  <w:pPr>
                    <w:keepNext w:val="0"/>
                    <w:keepLines w:val="0"/>
                    <w:suppressLineNumbers w:val="0"/>
                    <w:spacing w:before="0" w:beforeAutospacing="0" w:after="0" w:afterAutospacing="0" w:line="240" w:lineRule="auto"/>
                    <w:ind w:left="0" w:right="0"/>
                    <w:jc w:val="center"/>
                    <w:rPr>
                      <w:rFonts w:hint="eastAsia" w:ascii="宋体" w:hAnsi="宋体" w:eastAsia="宋体" w:cs="宋体"/>
                      <w:b/>
                      <w:bCs/>
                      <w:sz w:val="21"/>
                      <w:szCs w:val="21"/>
                    </w:rPr>
                  </w:pPr>
                  <w:r>
                    <w:rPr>
                      <w:rFonts w:hint="eastAsia" w:ascii="宋体" w:hAnsi="宋体" w:eastAsia="宋体" w:cs="宋体"/>
                      <w:b/>
                      <w:bCs/>
                      <w:sz w:val="21"/>
                      <w:szCs w:val="21"/>
                    </w:rPr>
                    <w:t>形态</w:t>
                  </w:r>
                </w:p>
              </w:tc>
              <w:tc>
                <w:tcPr>
                  <w:tcW w:w="829" w:type="dxa"/>
                  <w:noWrap w:val="0"/>
                  <w:vAlign w:val="center"/>
                </w:tcPr>
                <w:p w14:paraId="069B18EC">
                  <w:pPr>
                    <w:keepNext w:val="0"/>
                    <w:keepLines w:val="0"/>
                    <w:suppressLineNumbers w:val="0"/>
                    <w:spacing w:before="0" w:beforeAutospacing="0" w:after="0" w:afterAutospacing="0" w:line="240" w:lineRule="auto"/>
                    <w:ind w:left="0" w:right="0"/>
                    <w:jc w:val="center"/>
                    <w:rPr>
                      <w:rFonts w:hint="eastAsia" w:ascii="宋体" w:hAnsi="宋体" w:eastAsia="宋体" w:cs="宋体"/>
                      <w:b/>
                      <w:bCs/>
                      <w:sz w:val="21"/>
                      <w:szCs w:val="21"/>
                    </w:rPr>
                  </w:pPr>
                  <w:r>
                    <w:rPr>
                      <w:rFonts w:hint="eastAsia" w:ascii="宋体" w:hAnsi="宋体" w:eastAsia="宋体" w:cs="宋体"/>
                      <w:b/>
                      <w:bCs/>
                      <w:sz w:val="21"/>
                      <w:szCs w:val="21"/>
                    </w:rPr>
                    <w:t>主要</w:t>
                  </w:r>
                </w:p>
                <w:p w14:paraId="6D7E7558">
                  <w:pPr>
                    <w:keepNext w:val="0"/>
                    <w:keepLines w:val="0"/>
                    <w:suppressLineNumbers w:val="0"/>
                    <w:spacing w:before="0" w:beforeAutospacing="0" w:after="0" w:afterAutospacing="0" w:line="240" w:lineRule="auto"/>
                    <w:ind w:left="0" w:right="0"/>
                    <w:jc w:val="center"/>
                    <w:rPr>
                      <w:rFonts w:hint="eastAsia" w:ascii="宋体" w:hAnsi="宋体" w:eastAsia="宋体" w:cs="宋体"/>
                      <w:b/>
                      <w:bCs/>
                      <w:sz w:val="21"/>
                      <w:szCs w:val="21"/>
                    </w:rPr>
                  </w:pPr>
                  <w:r>
                    <w:rPr>
                      <w:rFonts w:hint="eastAsia" w:ascii="宋体" w:hAnsi="宋体" w:eastAsia="宋体" w:cs="宋体"/>
                      <w:b/>
                      <w:bCs/>
                      <w:sz w:val="21"/>
                      <w:szCs w:val="21"/>
                    </w:rPr>
                    <w:t>成分</w:t>
                  </w:r>
                </w:p>
              </w:tc>
              <w:tc>
                <w:tcPr>
                  <w:tcW w:w="881" w:type="dxa"/>
                  <w:noWrap w:val="0"/>
                  <w:vAlign w:val="center"/>
                </w:tcPr>
                <w:p w14:paraId="58ECAEF4">
                  <w:pPr>
                    <w:keepNext w:val="0"/>
                    <w:keepLines w:val="0"/>
                    <w:suppressLineNumbers w:val="0"/>
                    <w:spacing w:before="0" w:beforeAutospacing="0" w:after="0" w:afterAutospacing="0" w:line="240" w:lineRule="auto"/>
                    <w:ind w:left="0" w:right="0"/>
                    <w:jc w:val="center"/>
                    <w:rPr>
                      <w:rFonts w:hint="eastAsia" w:ascii="宋体" w:hAnsi="宋体" w:eastAsia="宋体" w:cs="宋体"/>
                      <w:b/>
                      <w:bCs/>
                      <w:sz w:val="21"/>
                      <w:szCs w:val="21"/>
                    </w:rPr>
                  </w:pPr>
                  <w:r>
                    <w:rPr>
                      <w:rFonts w:hint="eastAsia" w:ascii="宋体" w:hAnsi="宋体" w:eastAsia="宋体" w:cs="宋体"/>
                      <w:b/>
                      <w:bCs/>
                      <w:sz w:val="21"/>
                      <w:szCs w:val="21"/>
                    </w:rPr>
                    <w:t>有害</w:t>
                  </w:r>
                </w:p>
                <w:p w14:paraId="14B14BBE">
                  <w:pPr>
                    <w:keepNext w:val="0"/>
                    <w:keepLines w:val="0"/>
                    <w:suppressLineNumbers w:val="0"/>
                    <w:spacing w:before="0" w:beforeAutospacing="0" w:after="0" w:afterAutospacing="0" w:line="240" w:lineRule="auto"/>
                    <w:ind w:left="0" w:right="0"/>
                    <w:jc w:val="center"/>
                    <w:rPr>
                      <w:rFonts w:hint="eastAsia" w:ascii="宋体" w:hAnsi="宋体" w:eastAsia="宋体" w:cs="宋体"/>
                      <w:b/>
                      <w:bCs/>
                      <w:sz w:val="21"/>
                      <w:szCs w:val="21"/>
                    </w:rPr>
                  </w:pPr>
                  <w:r>
                    <w:rPr>
                      <w:rFonts w:hint="eastAsia" w:ascii="宋体" w:hAnsi="宋体" w:eastAsia="宋体" w:cs="宋体"/>
                      <w:b/>
                      <w:bCs/>
                      <w:sz w:val="21"/>
                      <w:szCs w:val="21"/>
                    </w:rPr>
                    <w:t>成分</w:t>
                  </w:r>
                </w:p>
              </w:tc>
              <w:tc>
                <w:tcPr>
                  <w:tcW w:w="605" w:type="dxa"/>
                  <w:noWrap w:val="0"/>
                  <w:vAlign w:val="center"/>
                </w:tcPr>
                <w:p w14:paraId="58726FC0">
                  <w:pPr>
                    <w:keepNext w:val="0"/>
                    <w:keepLines w:val="0"/>
                    <w:suppressLineNumbers w:val="0"/>
                    <w:spacing w:before="0" w:beforeAutospacing="0" w:after="0" w:afterAutospacing="0" w:line="240" w:lineRule="auto"/>
                    <w:ind w:left="0" w:right="0"/>
                    <w:jc w:val="center"/>
                    <w:rPr>
                      <w:rFonts w:hint="eastAsia" w:ascii="宋体" w:hAnsi="宋体" w:eastAsia="宋体" w:cs="宋体"/>
                      <w:b/>
                      <w:bCs/>
                      <w:sz w:val="21"/>
                      <w:szCs w:val="21"/>
                    </w:rPr>
                  </w:pPr>
                  <w:r>
                    <w:rPr>
                      <w:rFonts w:hint="eastAsia" w:ascii="宋体" w:hAnsi="宋体" w:eastAsia="宋体" w:cs="宋体"/>
                      <w:b/>
                      <w:bCs/>
                      <w:sz w:val="21"/>
                      <w:szCs w:val="21"/>
                    </w:rPr>
                    <w:t>危险</w:t>
                  </w:r>
                </w:p>
                <w:p w14:paraId="2E67176B">
                  <w:pPr>
                    <w:keepNext w:val="0"/>
                    <w:keepLines w:val="0"/>
                    <w:suppressLineNumbers w:val="0"/>
                    <w:spacing w:before="0" w:beforeAutospacing="0" w:after="0" w:afterAutospacing="0" w:line="240" w:lineRule="auto"/>
                    <w:ind w:left="0" w:right="0"/>
                    <w:jc w:val="center"/>
                    <w:rPr>
                      <w:rFonts w:hint="eastAsia" w:ascii="宋体" w:hAnsi="宋体" w:eastAsia="宋体" w:cs="宋体"/>
                      <w:b/>
                      <w:bCs/>
                      <w:sz w:val="21"/>
                      <w:szCs w:val="21"/>
                    </w:rPr>
                  </w:pPr>
                  <w:r>
                    <w:rPr>
                      <w:rFonts w:hint="eastAsia" w:ascii="宋体" w:hAnsi="宋体" w:eastAsia="宋体" w:cs="宋体"/>
                      <w:b/>
                      <w:bCs/>
                      <w:sz w:val="21"/>
                      <w:szCs w:val="21"/>
                    </w:rPr>
                    <w:t>特性</w:t>
                  </w:r>
                </w:p>
              </w:tc>
              <w:tc>
                <w:tcPr>
                  <w:tcW w:w="1360" w:type="dxa"/>
                  <w:noWrap w:val="0"/>
                  <w:vAlign w:val="center"/>
                </w:tcPr>
                <w:p w14:paraId="1A7829F9">
                  <w:pPr>
                    <w:keepNext w:val="0"/>
                    <w:keepLines w:val="0"/>
                    <w:suppressLineNumbers w:val="0"/>
                    <w:spacing w:before="0" w:beforeAutospacing="0" w:after="0" w:afterAutospacing="0" w:line="240" w:lineRule="auto"/>
                    <w:ind w:left="0" w:right="0"/>
                    <w:jc w:val="center"/>
                    <w:rPr>
                      <w:rFonts w:hint="eastAsia" w:ascii="宋体" w:hAnsi="宋体" w:eastAsia="宋体" w:cs="宋体"/>
                      <w:b/>
                      <w:bCs/>
                      <w:sz w:val="21"/>
                      <w:szCs w:val="21"/>
                    </w:rPr>
                  </w:pPr>
                  <w:r>
                    <w:rPr>
                      <w:rFonts w:hint="eastAsia" w:ascii="宋体" w:hAnsi="宋体" w:eastAsia="宋体" w:cs="宋体"/>
                      <w:b/>
                      <w:bCs/>
                      <w:sz w:val="21"/>
                      <w:szCs w:val="21"/>
                    </w:rPr>
                    <w:t>污染防治措施</w:t>
                  </w:r>
                </w:p>
              </w:tc>
            </w:tr>
            <w:tr w14:paraId="58F471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7" w:hRule="atLeast"/>
                <w:jc w:val="center"/>
              </w:trPr>
              <w:tc>
                <w:tcPr>
                  <w:tcW w:w="396" w:type="dxa"/>
                  <w:noWrap w:val="0"/>
                  <w:vAlign w:val="center"/>
                </w:tcPr>
                <w:p w14:paraId="69ED5CA5">
                  <w:pPr>
                    <w:keepNext w:val="0"/>
                    <w:keepLines w:val="0"/>
                    <w:suppressLineNumbers w:val="0"/>
                    <w:spacing w:before="0" w:beforeAutospacing="0" w:after="0" w:afterAutospacing="0"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1</w:t>
                  </w:r>
                </w:p>
              </w:tc>
              <w:tc>
                <w:tcPr>
                  <w:tcW w:w="817" w:type="dxa"/>
                  <w:noWrap w:val="0"/>
                  <w:vAlign w:val="center"/>
                </w:tcPr>
                <w:p w14:paraId="711E263C">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废脱脂液</w:t>
                  </w:r>
                </w:p>
              </w:tc>
              <w:tc>
                <w:tcPr>
                  <w:tcW w:w="773" w:type="dxa"/>
                  <w:noWrap w:val="0"/>
                  <w:vAlign w:val="center"/>
                </w:tcPr>
                <w:p w14:paraId="6DBD5DBF">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HW17</w:t>
                  </w:r>
                </w:p>
              </w:tc>
              <w:tc>
                <w:tcPr>
                  <w:tcW w:w="750" w:type="dxa"/>
                  <w:noWrap w:val="0"/>
                  <w:vAlign w:val="center"/>
                </w:tcPr>
                <w:p w14:paraId="2538D04F">
                  <w:pPr>
                    <w:keepNext w:val="0"/>
                    <w:keepLines w:val="0"/>
                    <w:suppressLineNumbers w:val="0"/>
                    <w:adjustRightInd w:val="0"/>
                    <w:snapToGrid w:val="0"/>
                    <w:spacing w:before="0" w:beforeAutospacing="0" w:after="0" w:afterAutospacing="0" w:line="240" w:lineRule="atLeast"/>
                    <w:ind w:left="0" w:leftChars="0" w:right="0" w:rightChars="0"/>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w:t>
                  </w:r>
                </w:p>
              </w:tc>
              <w:tc>
                <w:tcPr>
                  <w:tcW w:w="998" w:type="dxa"/>
                  <w:noWrap w:val="0"/>
                  <w:vAlign w:val="center"/>
                </w:tcPr>
                <w:p w14:paraId="481521A2">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脱脂</w:t>
                  </w:r>
                </w:p>
              </w:tc>
              <w:tc>
                <w:tcPr>
                  <w:tcW w:w="785" w:type="dxa"/>
                  <w:noWrap w:val="0"/>
                  <w:vAlign w:val="center"/>
                </w:tcPr>
                <w:p w14:paraId="48366D5B">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液态</w:t>
                  </w:r>
                </w:p>
              </w:tc>
              <w:tc>
                <w:tcPr>
                  <w:tcW w:w="829" w:type="dxa"/>
                  <w:noWrap w:val="0"/>
                  <w:vAlign w:val="center"/>
                </w:tcPr>
                <w:p w14:paraId="19139945">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脱脂液</w:t>
                  </w:r>
                </w:p>
              </w:tc>
              <w:tc>
                <w:tcPr>
                  <w:tcW w:w="881" w:type="dxa"/>
                  <w:noWrap w:val="0"/>
                  <w:vAlign w:val="center"/>
                </w:tcPr>
                <w:p w14:paraId="327F167F">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脱脂液</w:t>
                  </w:r>
                </w:p>
              </w:tc>
              <w:tc>
                <w:tcPr>
                  <w:tcW w:w="605" w:type="dxa"/>
                  <w:noWrap w:val="0"/>
                  <w:vAlign w:val="center"/>
                </w:tcPr>
                <w:p w14:paraId="25D1D72E">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T/C</w:t>
                  </w:r>
                </w:p>
              </w:tc>
              <w:tc>
                <w:tcPr>
                  <w:tcW w:w="1360" w:type="dxa"/>
                  <w:vMerge w:val="restart"/>
                  <w:noWrap w:val="0"/>
                  <w:vAlign w:val="center"/>
                </w:tcPr>
                <w:p w14:paraId="72DAC9D3">
                  <w:pPr>
                    <w:keepNext w:val="0"/>
                    <w:keepLines w:val="0"/>
                    <w:suppressLineNumbers w:val="0"/>
                    <w:spacing w:before="0" w:beforeAutospacing="0" w:after="0" w:afterAutospacing="0"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公司建设一座2</w:t>
                  </w:r>
                  <w:r>
                    <w:rPr>
                      <w:rFonts w:hint="eastAsia" w:ascii="宋体" w:hAnsi="宋体" w:eastAsia="宋体" w:cs="宋体"/>
                      <w:sz w:val="21"/>
                      <w:szCs w:val="21"/>
                      <w:lang w:val="en-US" w:eastAsia="zh-CN"/>
                    </w:rPr>
                    <w:t>0</w:t>
                  </w:r>
                  <w:r>
                    <w:rPr>
                      <w:rFonts w:hint="eastAsia" w:ascii="宋体" w:hAnsi="宋体" w:eastAsia="宋体" w:cs="宋体"/>
                      <w:sz w:val="21"/>
                      <w:szCs w:val="21"/>
                    </w:rPr>
                    <w:t>m</w:t>
                  </w:r>
                  <w:r>
                    <w:rPr>
                      <w:rFonts w:hint="eastAsia" w:ascii="宋体" w:hAnsi="宋体" w:eastAsia="宋体" w:cs="宋体"/>
                      <w:sz w:val="21"/>
                      <w:szCs w:val="21"/>
                      <w:vertAlign w:val="superscript"/>
                    </w:rPr>
                    <w:t>2</w:t>
                  </w:r>
                  <w:r>
                    <w:rPr>
                      <w:rFonts w:hint="eastAsia" w:ascii="宋体" w:hAnsi="宋体" w:eastAsia="宋体" w:cs="宋体"/>
                      <w:sz w:val="21"/>
                      <w:szCs w:val="21"/>
                      <w:lang w:eastAsia="zh-CN"/>
                    </w:rPr>
                    <w:t>危废暂存间</w:t>
                  </w:r>
                  <w:r>
                    <w:rPr>
                      <w:rFonts w:hint="eastAsia" w:ascii="宋体" w:hAnsi="宋体" w:eastAsia="宋体" w:cs="宋体"/>
                      <w:sz w:val="21"/>
                      <w:szCs w:val="21"/>
                    </w:rPr>
                    <w:t>，</w:t>
                  </w:r>
                  <w:r>
                    <w:rPr>
                      <w:rFonts w:hint="eastAsia" w:ascii="宋体" w:hAnsi="宋体" w:eastAsia="宋体" w:cs="宋体"/>
                      <w:sz w:val="21"/>
                      <w:szCs w:val="21"/>
                      <w:lang w:eastAsia="zh-CN"/>
                    </w:rPr>
                    <w:t>危废暂存间</w:t>
                  </w:r>
                  <w:r>
                    <w:rPr>
                      <w:rFonts w:hint="eastAsia" w:ascii="宋体" w:hAnsi="宋体" w:eastAsia="宋体" w:cs="宋体"/>
                      <w:sz w:val="21"/>
                      <w:szCs w:val="21"/>
                    </w:rPr>
                    <w:t>地面均刷环氧地坪防渗，固废分区域堆放，</w:t>
                  </w:r>
                  <w:r>
                    <w:rPr>
                      <w:rFonts w:hint="eastAsia" w:ascii="宋体" w:hAnsi="宋体" w:eastAsia="宋体" w:cs="宋体"/>
                      <w:sz w:val="21"/>
                      <w:szCs w:val="21"/>
                      <w:lang w:eastAsia="zh-CN"/>
                    </w:rPr>
                    <w:t>危废暂存间</w:t>
                  </w:r>
                  <w:r>
                    <w:rPr>
                      <w:rFonts w:hint="eastAsia" w:ascii="宋体" w:hAnsi="宋体" w:eastAsia="宋体" w:cs="宋体"/>
                      <w:sz w:val="21"/>
                      <w:szCs w:val="21"/>
                    </w:rPr>
                    <w:t>主要堆放HW17、HW49类，仓库规范设置危险废物责任制公告牌、危险废物标识牌和警示标志，以及包装容器标签。</w:t>
                  </w:r>
                </w:p>
              </w:tc>
            </w:tr>
            <w:tr w14:paraId="27F6F3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7" w:hRule="atLeast"/>
                <w:jc w:val="center"/>
              </w:trPr>
              <w:tc>
                <w:tcPr>
                  <w:tcW w:w="396" w:type="dxa"/>
                  <w:noWrap w:val="0"/>
                  <w:vAlign w:val="center"/>
                </w:tcPr>
                <w:p w14:paraId="05BDA861">
                  <w:pPr>
                    <w:keepNext w:val="0"/>
                    <w:keepLines w:val="0"/>
                    <w:suppressLineNumbers w:val="0"/>
                    <w:spacing w:before="0" w:beforeAutospacing="0" w:after="0" w:afterAutospacing="0" w:line="240" w:lineRule="auto"/>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2</w:t>
                  </w:r>
                </w:p>
              </w:tc>
              <w:tc>
                <w:tcPr>
                  <w:tcW w:w="817" w:type="dxa"/>
                  <w:noWrap w:val="0"/>
                  <w:vAlign w:val="center"/>
                </w:tcPr>
                <w:p w14:paraId="353DB675">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废硅烷处理剂</w:t>
                  </w:r>
                </w:p>
              </w:tc>
              <w:tc>
                <w:tcPr>
                  <w:tcW w:w="773" w:type="dxa"/>
                  <w:noWrap w:val="0"/>
                  <w:vAlign w:val="center"/>
                </w:tcPr>
                <w:p w14:paraId="490C116F">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HW17</w:t>
                  </w:r>
                </w:p>
              </w:tc>
              <w:tc>
                <w:tcPr>
                  <w:tcW w:w="750" w:type="dxa"/>
                  <w:noWrap w:val="0"/>
                  <w:vAlign w:val="center"/>
                </w:tcPr>
                <w:p w14:paraId="2167DE1E">
                  <w:pPr>
                    <w:keepNext w:val="0"/>
                    <w:keepLines w:val="0"/>
                    <w:suppressLineNumbers w:val="0"/>
                    <w:adjustRightInd w:val="0"/>
                    <w:snapToGrid w:val="0"/>
                    <w:spacing w:before="0" w:beforeAutospacing="0" w:after="0" w:afterAutospacing="0" w:line="240" w:lineRule="atLeast"/>
                    <w:ind w:left="0" w:leftChars="0" w:right="0" w:rightChars="0"/>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w:t>
                  </w:r>
                </w:p>
              </w:tc>
              <w:tc>
                <w:tcPr>
                  <w:tcW w:w="998" w:type="dxa"/>
                  <w:noWrap w:val="0"/>
                  <w:vAlign w:val="center"/>
                </w:tcPr>
                <w:p w14:paraId="50839A48">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硅烷</w:t>
                  </w:r>
                </w:p>
              </w:tc>
              <w:tc>
                <w:tcPr>
                  <w:tcW w:w="785" w:type="dxa"/>
                  <w:noWrap w:val="0"/>
                  <w:vAlign w:val="center"/>
                </w:tcPr>
                <w:p w14:paraId="3FCCD1BE">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液态</w:t>
                  </w:r>
                </w:p>
              </w:tc>
              <w:tc>
                <w:tcPr>
                  <w:tcW w:w="829" w:type="dxa"/>
                  <w:noWrap w:val="0"/>
                  <w:vAlign w:val="center"/>
                </w:tcPr>
                <w:p w14:paraId="65D2FCFE">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硅烷处理剂</w:t>
                  </w:r>
                </w:p>
              </w:tc>
              <w:tc>
                <w:tcPr>
                  <w:tcW w:w="881" w:type="dxa"/>
                  <w:noWrap w:val="0"/>
                  <w:vAlign w:val="center"/>
                </w:tcPr>
                <w:p w14:paraId="42A2F651">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硅烷处理剂</w:t>
                  </w:r>
                </w:p>
              </w:tc>
              <w:tc>
                <w:tcPr>
                  <w:tcW w:w="605" w:type="dxa"/>
                  <w:noWrap w:val="0"/>
                  <w:vAlign w:val="center"/>
                </w:tcPr>
                <w:p w14:paraId="5E0AAFA1">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T/C</w:t>
                  </w:r>
                </w:p>
              </w:tc>
              <w:tc>
                <w:tcPr>
                  <w:tcW w:w="1360" w:type="dxa"/>
                  <w:vMerge w:val="continue"/>
                  <w:noWrap w:val="0"/>
                  <w:vAlign w:val="center"/>
                </w:tcPr>
                <w:p w14:paraId="5AF2B4A4">
                  <w:pPr>
                    <w:keepNext w:val="0"/>
                    <w:keepLines w:val="0"/>
                    <w:suppressLineNumbers w:val="0"/>
                    <w:spacing w:before="0" w:beforeAutospacing="0" w:after="0" w:afterAutospacing="0" w:line="240" w:lineRule="auto"/>
                    <w:ind w:left="0" w:right="0"/>
                    <w:jc w:val="center"/>
                    <w:rPr>
                      <w:rFonts w:hint="eastAsia" w:ascii="宋体" w:hAnsi="宋体" w:eastAsia="宋体" w:cs="宋体"/>
                      <w:sz w:val="21"/>
                      <w:szCs w:val="21"/>
                    </w:rPr>
                  </w:pPr>
                </w:p>
              </w:tc>
            </w:tr>
            <w:tr w14:paraId="334430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2" w:hRule="atLeast"/>
                <w:jc w:val="center"/>
              </w:trPr>
              <w:tc>
                <w:tcPr>
                  <w:tcW w:w="396" w:type="dxa"/>
                  <w:noWrap w:val="0"/>
                  <w:vAlign w:val="center"/>
                </w:tcPr>
                <w:p w14:paraId="4185C9EE">
                  <w:pPr>
                    <w:keepNext w:val="0"/>
                    <w:keepLines w:val="0"/>
                    <w:suppressLineNumbers w:val="0"/>
                    <w:spacing w:before="0" w:beforeAutospacing="0" w:after="0" w:afterAutospacing="0" w:line="240" w:lineRule="auto"/>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3</w:t>
                  </w:r>
                </w:p>
              </w:tc>
              <w:tc>
                <w:tcPr>
                  <w:tcW w:w="817" w:type="dxa"/>
                  <w:noWrap w:val="0"/>
                  <w:vAlign w:val="center"/>
                </w:tcPr>
                <w:p w14:paraId="72608BA5">
                  <w:pPr>
                    <w:keepNext w:val="0"/>
                    <w:keepLines w:val="0"/>
                    <w:suppressLineNumbers w:val="0"/>
                    <w:adjustRightInd w:val="0"/>
                    <w:snapToGrid w:val="0"/>
                    <w:spacing w:before="0" w:beforeAutospacing="0" w:after="0" w:afterAutospacing="0" w:line="240" w:lineRule="atLeast"/>
                    <w:ind w:left="0" w:leftChars="0" w:right="0" w:rightChars="0"/>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水洗废液</w:t>
                  </w:r>
                </w:p>
              </w:tc>
              <w:tc>
                <w:tcPr>
                  <w:tcW w:w="773" w:type="dxa"/>
                  <w:noWrap w:val="0"/>
                  <w:vAlign w:val="center"/>
                </w:tcPr>
                <w:p w14:paraId="7D547B80">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HW17</w:t>
                  </w:r>
                </w:p>
              </w:tc>
              <w:tc>
                <w:tcPr>
                  <w:tcW w:w="750" w:type="dxa"/>
                  <w:noWrap w:val="0"/>
                  <w:vAlign w:val="center"/>
                </w:tcPr>
                <w:p w14:paraId="461BF096">
                  <w:pPr>
                    <w:keepNext w:val="0"/>
                    <w:keepLines w:val="0"/>
                    <w:suppressLineNumbers w:val="0"/>
                    <w:adjustRightInd w:val="0"/>
                    <w:snapToGrid w:val="0"/>
                    <w:spacing w:before="0" w:beforeAutospacing="0" w:after="0" w:afterAutospacing="0" w:line="240" w:lineRule="atLeast"/>
                    <w:ind w:left="0" w:leftChars="0" w:right="0" w:rightChars="0"/>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13.8</w:t>
                  </w:r>
                </w:p>
              </w:tc>
              <w:tc>
                <w:tcPr>
                  <w:tcW w:w="998" w:type="dxa"/>
                  <w:noWrap w:val="0"/>
                  <w:vAlign w:val="center"/>
                </w:tcPr>
                <w:p w14:paraId="1F76A045">
                  <w:pPr>
                    <w:keepNext w:val="0"/>
                    <w:keepLines w:val="0"/>
                    <w:suppressLineNumbers w:val="0"/>
                    <w:adjustRightInd w:val="0"/>
                    <w:snapToGrid w:val="0"/>
                    <w:spacing w:before="0" w:beforeAutospacing="0" w:after="0" w:afterAutospacing="0" w:line="240" w:lineRule="atLeast"/>
                    <w:ind w:left="0" w:leftChars="0" w:right="0" w:rightChars="0"/>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水洗</w:t>
                  </w:r>
                </w:p>
              </w:tc>
              <w:tc>
                <w:tcPr>
                  <w:tcW w:w="785" w:type="dxa"/>
                  <w:noWrap w:val="0"/>
                  <w:vAlign w:val="center"/>
                </w:tcPr>
                <w:p w14:paraId="71374572">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液态</w:t>
                  </w:r>
                </w:p>
              </w:tc>
              <w:tc>
                <w:tcPr>
                  <w:tcW w:w="829" w:type="dxa"/>
                  <w:noWrap w:val="0"/>
                  <w:vAlign w:val="center"/>
                </w:tcPr>
                <w:p w14:paraId="0ABEF41E">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脱脂液</w:t>
                  </w:r>
                  <w:r>
                    <w:rPr>
                      <w:rFonts w:hint="eastAsia" w:ascii="宋体" w:hAnsi="宋体" w:eastAsia="宋体" w:cs="宋体"/>
                      <w:sz w:val="21"/>
                      <w:szCs w:val="21"/>
                      <w:lang w:eastAsia="zh-CN"/>
                    </w:rPr>
                    <w:t>、硅烷处理剂</w:t>
                  </w:r>
                </w:p>
              </w:tc>
              <w:tc>
                <w:tcPr>
                  <w:tcW w:w="881" w:type="dxa"/>
                  <w:noWrap w:val="0"/>
                  <w:vAlign w:val="center"/>
                </w:tcPr>
                <w:p w14:paraId="61AF2727">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脱脂液</w:t>
                  </w:r>
                  <w:r>
                    <w:rPr>
                      <w:rFonts w:hint="eastAsia" w:ascii="宋体" w:hAnsi="宋体" w:eastAsia="宋体" w:cs="宋体"/>
                      <w:sz w:val="21"/>
                      <w:szCs w:val="21"/>
                      <w:lang w:eastAsia="zh-CN"/>
                    </w:rPr>
                    <w:t>、硅烷处理剂</w:t>
                  </w:r>
                </w:p>
              </w:tc>
              <w:tc>
                <w:tcPr>
                  <w:tcW w:w="605" w:type="dxa"/>
                  <w:noWrap w:val="0"/>
                  <w:vAlign w:val="center"/>
                </w:tcPr>
                <w:p w14:paraId="2CDC7075">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T/C</w:t>
                  </w:r>
                </w:p>
              </w:tc>
              <w:tc>
                <w:tcPr>
                  <w:tcW w:w="1360" w:type="dxa"/>
                  <w:vMerge w:val="continue"/>
                  <w:noWrap w:val="0"/>
                  <w:vAlign w:val="center"/>
                </w:tcPr>
                <w:p w14:paraId="0133C1E9">
                  <w:pPr>
                    <w:keepNext w:val="0"/>
                    <w:keepLines w:val="0"/>
                    <w:suppressLineNumbers w:val="0"/>
                    <w:spacing w:before="0" w:beforeAutospacing="0" w:after="0" w:afterAutospacing="0" w:line="240" w:lineRule="auto"/>
                    <w:ind w:left="0" w:right="0"/>
                    <w:jc w:val="center"/>
                    <w:rPr>
                      <w:rFonts w:hint="eastAsia" w:ascii="宋体" w:hAnsi="宋体" w:eastAsia="宋体" w:cs="宋体"/>
                      <w:sz w:val="21"/>
                      <w:szCs w:val="21"/>
                    </w:rPr>
                  </w:pPr>
                </w:p>
              </w:tc>
            </w:tr>
            <w:tr w14:paraId="4840AC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2" w:hRule="atLeast"/>
                <w:jc w:val="center"/>
              </w:trPr>
              <w:tc>
                <w:tcPr>
                  <w:tcW w:w="396" w:type="dxa"/>
                  <w:noWrap w:val="0"/>
                  <w:vAlign w:val="center"/>
                </w:tcPr>
                <w:p w14:paraId="1471D9D2">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4</w:t>
                  </w:r>
                </w:p>
              </w:tc>
              <w:tc>
                <w:tcPr>
                  <w:tcW w:w="817" w:type="dxa"/>
                  <w:noWrap w:val="0"/>
                  <w:vAlign w:val="center"/>
                </w:tcPr>
                <w:p w14:paraId="3DE6E88D">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槽渣</w:t>
                  </w:r>
                </w:p>
              </w:tc>
              <w:tc>
                <w:tcPr>
                  <w:tcW w:w="773" w:type="dxa"/>
                  <w:noWrap w:val="0"/>
                  <w:vAlign w:val="center"/>
                </w:tcPr>
                <w:p w14:paraId="700D426F">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HW17</w:t>
                  </w:r>
                </w:p>
              </w:tc>
              <w:tc>
                <w:tcPr>
                  <w:tcW w:w="750" w:type="dxa"/>
                  <w:noWrap w:val="0"/>
                  <w:vAlign w:val="center"/>
                </w:tcPr>
                <w:p w14:paraId="0DEA4642">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0.5</w:t>
                  </w:r>
                </w:p>
              </w:tc>
              <w:tc>
                <w:tcPr>
                  <w:tcW w:w="998" w:type="dxa"/>
                  <w:noWrap w:val="0"/>
                  <w:vAlign w:val="center"/>
                </w:tcPr>
                <w:p w14:paraId="0C5E2648">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酸洗、</w:t>
                  </w:r>
                  <w:r>
                    <w:rPr>
                      <w:rFonts w:hint="eastAsia" w:ascii="宋体" w:hAnsi="宋体" w:eastAsia="宋体" w:cs="宋体"/>
                      <w:sz w:val="21"/>
                      <w:szCs w:val="21"/>
                    </w:rPr>
                    <w:t>脱脂</w:t>
                  </w:r>
                </w:p>
              </w:tc>
              <w:tc>
                <w:tcPr>
                  <w:tcW w:w="785" w:type="dxa"/>
                  <w:noWrap w:val="0"/>
                  <w:vAlign w:val="center"/>
                </w:tcPr>
                <w:p w14:paraId="3C187B0F">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固态</w:t>
                  </w:r>
                </w:p>
              </w:tc>
              <w:tc>
                <w:tcPr>
                  <w:tcW w:w="829" w:type="dxa"/>
                  <w:noWrap w:val="0"/>
                  <w:vAlign w:val="center"/>
                </w:tcPr>
                <w:p w14:paraId="36D07877">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油泥</w:t>
                  </w:r>
                </w:p>
              </w:tc>
              <w:tc>
                <w:tcPr>
                  <w:tcW w:w="881" w:type="dxa"/>
                  <w:noWrap w:val="0"/>
                  <w:vAlign w:val="center"/>
                </w:tcPr>
                <w:p w14:paraId="3B417BDD">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油泥</w:t>
                  </w:r>
                </w:p>
              </w:tc>
              <w:tc>
                <w:tcPr>
                  <w:tcW w:w="605" w:type="dxa"/>
                  <w:noWrap w:val="0"/>
                  <w:vAlign w:val="center"/>
                </w:tcPr>
                <w:p w14:paraId="61219746">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T/C</w:t>
                  </w:r>
                </w:p>
              </w:tc>
              <w:tc>
                <w:tcPr>
                  <w:tcW w:w="1360" w:type="dxa"/>
                  <w:vMerge w:val="continue"/>
                  <w:noWrap w:val="0"/>
                  <w:vAlign w:val="center"/>
                </w:tcPr>
                <w:p w14:paraId="72209E5F">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sz w:val="21"/>
                      <w:szCs w:val="21"/>
                    </w:rPr>
                  </w:pPr>
                </w:p>
              </w:tc>
            </w:tr>
            <w:tr w14:paraId="2B2795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1" w:hRule="atLeast"/>
                <w:jc w:val="center"/>
              </w:trPr>
              <w:tc>
                <w:tcPr>
                  <w:tcW w:w="396" w:type="dxa"/>
                  <w:noWrap w:val="0"/>
                  <w:vAlign w:val="center"/>
                </w:tcPr>
                <w:p w14:paraId="15F71C76">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w:t>
                  </w:r>
                </w:p>
              </w:tc>
              <w:tc>
                <w:tcPr>
                  <w:tcW w:w="817" w:type="dxa"/>
                  <w:noWrap w:val="0"/>
                  <w:vAlign w:val="center"/>
                </w:tcPr>
                <w:p w14:paraId="17FFDCBA">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污泥</w:t>
                  </w:r>
                </w:p>
              </w:tc>
              <w:tc>
                <w:tcPr>
                  <w:tcW w:w="773" w:type="dxa"/>
                  <w:noWrap w:val="0"/>
                  <w:vAlign w:val="center"/>
                </w:tcPr>
                <w:p w14:paraId="04698E05">
                  <w:pPr>
                    <w:keepNext w:val="0"/>
                    <w:keepLines w:val="0"/>
                    <w:suppressLineNumbers w:val="0"/>
                    <w:spacing w:before="0" w:beforeAutospacing="0" w:after="0" w:afterAutospacing="0" w:line="240" w:lineRule="auto"/>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HW17</w:t>
                  </w:r>
                </w:p>
              </w:tc>
              <w:tc>
                <w:tcPr>
                  <w:tcW w:w="750" w:type="dxa"/>
                  <w:noWrap w:val="0"/>
                  <w:vAlign w:val="center"/>
                </w:tcPr>
                <w:p w14:paraId="43A2FD76">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w:t>
                  </w:r>
                </w:p>
              </w:tc>
              <w:tc>
                <w:tcPr>
                  <w:tcW w:w="998" w:type="dxa"/>
                  <w:noWrap w:val="0"/>
                  <w:vAlign w:val="center"/>
                </w:tcPr>
                <w:p w14:paraId="2481756A">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污水处理站</w:t>
                  </w:r>
                </w:p>
              </w:tc>
              <w:tc>
                <w:tcPr>
                  <w:tcW w:w="785" w:type="dxa"/>
                  <w:noWrap w:val="0"/>
                  <w:vAlign w:val="center"/>
                </w:tcPr>
                <w:p w14:paraId="1F4F6FA0">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固态</w:t>
                  </w:r>
                </w:p>
              </w:tc>
              <w:tc>
                <w:tcPr>
                  <w:tcW w:w="829" w:type="dxa"/>
                  <w:noWrap w:val="0"/>
                  <w:vAlign w:val="center"/>
                </w:tcPr>
                <w:p w14:paraId="23C833F5">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污泥</w:t>
                  </w:r>
                </w:p>
              </w:tc>
              <w:tc>
                <w:tcPr>
                  <w:tcW w:w="881" w:type="dxa"/>
                  <w:noWrap w:val="0"/>
                  <w:vAlign w:val="center"/>
                </w:tcPr>
                <w:p w14:paraId="7B476848">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污泥</w:t>
                  </w:r>
                </w:p>
              </w:tc>
              <w:tc>
                <w:tcPr>
                  <w:tcW w:w="605" w:type="dxa"/>
                  <w:noWrap w:val="0"/>
                  <w:vAlign w:val="center"/>
                </w:tcPr>
                <w:p w14:paraId="59C88C40">
                  <w:pPr>
                    <w:keepNext w:val="0"/>
                    <w:keepLines w:val="0"/>
                    <w:suppressLineNumbers w:val="0"/>
                    <w:spacing w:before="0" w:beforeAutospacing="0" w:after="0" w:afterAutospacing="0" w:line="240" w:lineRule="auto"/>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T/C</w:t>
                  </w:r>
                </w:p>
              </w:tc>
              <w:tc>
                <w:tcPr>
                  <w:tcW w:w="1360" w:type="dxa"/>
                  <w:vMerge w:val="continue"/>
                  <w:noWrap w:val="0"/>
                  <w:vAlign w:val="center"/>
                </w:tcPr>
                <w:p w14:paraId="38298938">
                  <w:pPr>
                    <w:keepNext w:val="0"/>
                    <w:keepLines w:val="0"/>
                    <w:suppressLineNumbers w:val="0"/>
                    <w:spacing w:before="0" w:beforeAutospacing="0" w:after="0" w:afterAutospacing="0" w:line="240" w:lineRule="auto"/>
                    <w:ind w:left="0" w:right="0"/>
                    <w:jc w:val="center"/>
                    <w:rPr>
                      <w:rFonts w:hint="eastAsia" w:ascii="宋体" w:hAnsi="宋体" w:eastAsia="宋体" w:cs="宋体"/>
                      <w:sz w:val="21"/>
                      <w:szCs w:val="21"/>
                    </w:rPr>
                  </w:pPr>
                </w:p>
              </w:tc>
            </w:tr>
            <w:tr w14:paraId="306570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96" w:type="dxa"/>
                  <w:noWrap w:val="0"/>
                  <w:vAlign w:val="center"/>
                </w:tcPr>
                <w:p w14:paraId="695A6611">
                  <w:pPr>
                    <w:keepNext w:val="0"/>
                    <w:keepLines w:val="0"/>
                    <w:suppressLineNumbers w:val="0"/>
                    <w:spacing w:before="0" w:beforeAutospacing="0" w:after="0" w:afterAutospacing="0" w:line="240" w:lineRule="auto"/>
                    <w:ind w:left="0" w:right="0"/>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w:t>
                  </w:r>
                </w:p>
              </w:tc>
              <w:tc>
                <w:tcPr>
                  <w:tcW w:w="817" w:type="dxa"/>
                  <w:noWrap w:val="0"/>
                  <w:vAlign w:val="center"/>
                </w:tcPr>
                <w:p w14:paraId="759978F0">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废包装桶</w:t>
                  </w:r>
                </w:p>
              </w:tc>
              <w:tc>
                <w:tcPr>
                  <w:tcW w:w="773" w:type="dxa"/>
                  <w:noWrap w:val="0"/>
                  <w:vAlign w:val="center"/>
                </w:tcPr>
                <w:p w14:paraId="200F5DF0">
                  <w:pPr>
                    <w:keepNext w:val="0"/>
                    <w:keepLines w:val="0"/>
                    <w:suppressLineNumbers w:val="0"/>
                    <w:spacing w:before="0" w:beforeAutospacing="0" w:after="0" w:afterAutospacing="0"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HW49</w:t>
                  </w:r>
                </w:p>
              </w:tc>
              <w:tc>
                <w:tcPr>
                  <w:tcW w:w="750" w:type="dxa"/>
                  <w:noWrap w:val="0"/>
                  <w:vAlign w:val="center"/>
                </w:tcPr>
                <w:p w14:paraId="362951EB">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0.016</w:t>
                  </w:r>
                </w:p>
              </w:tc>
              <w:tc>
                <w:tcPr>
                  <w:tcW w:w="998" w:type="dxa"/>
                  <w:noWrap w:val="0"/>
                  <w:vAlign w:val="center"/>
                </w:tcPr>
                <w:p w14:paraId="4E5F3D03">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kern w:val="0"/>
                      <w:sz w:val="21"/>
                      <w:szCs w:val="21"/>
                    </w:rPr>
                    <w:t>原料包装</w:t>
                  </w:r>
                </w:p>
              </w:tc>
              <w:tc>
                <w:tcPr>
                  <w:tcW w:w="785" w:type="dxa"/>
                  <w:noWrap w:val="0"/>
                  <w:vAlign w:val="center"/>
                </w:tcPr>
                <w:p w14:paraId="388F7CAA">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固态</w:t>
                  </w:r>
                </w:p>
              </w:tc>
              <w:tc>
                <w:tcPr>
                  <w:tcW w:w="829" w:type="dxa"/>
                  <w:noWrap w:val="0"/>
                  <w:vAlign w:val="center"/>
                </w:tcPr>
                <w:p w14:paraId="225CBBD1">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沾染了脱脂剂的包装桶</w:t>
                  </w:r>
                </w:p>
              </w:tc>
              <w:tc>
                <w:tcPr>
                  <w:tcW w:w="881" w:type="dxa"/>
                  <w:noWrap w:val="0"/>
                  <w:vAlign w:val="center"/>
                </w:tcPr>
                <w:p w14:paraId="75498D04">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沾染了脱脂剂的包装桶</w:t>
                  </w:r>
                </w:p>
              </w:tc>
              <w:tc>
                <w:tcPr>
                  <w:tcW w:w="605" w:type="dxa"/>
                  <w:noWrap w:val="0"/>
                  <w:vAlign w:val="center"/>
                </w:tcPr>
                <w:p w14:paraId="772B46B1">
                  <w:pPr>
                    <w:keepNext w:val="0"/>
                    <w:keepLines w:val="0"/>
                    <w:suppressLineNumbers w:val="0"/>
                    <w:spacing w:before="0" w:beforeAutospacing="0" w:after="0" w:afterAutospacing="0"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T/In</w:t>
                  </w:r>
                </w:p>
              </w:tc>
              <w:tc>
                <w:tcPr>
                  <w:tcW w:w="1360" w:type="dxa"/>
                  <w:vMerge w:val="continue"/>
                  <w:noWrap w:val="0"/>
                  <w:vAlign w:val="center"/>
                </w:tcPr>
                <w:p w14:paraId="6251C637">
                  <w:pPr>
                    <w:keepNext w:val="0"/>
                    <w:keepLines w:val="0"/>
                    <w:suppressLineNumbers w:val="0"/>
                    <w:spacing w:before="0" w:beforeAutospacing="0" w:after="0" w:afterAutospacing="0" w:line="240" w:lineRule="auto"/>
                    <w:ind w:left="0" w:right="0"/>
                    <w:jc w:val="center"/>
                    <w:rPr>
                      <w:rFonts w:hint="eastAsia" w:ascii="宋体" w:hAnsi="宋体" w:eastAsia="宋体" w:cs="宋体"/>
                      <w:sz w:val="21"/>
                      <w:szCs w:val="21"/>
                    </w:rPr>
                  </w:pPr>
                </w:p>
              </w:tc>
            </w:tr>
            <w:tr w14:paraId="269F01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96" w:type="dxa"/>
                  <w:noWrap w:val="0"/>
                  <w:vAlign w:val="center"/>
                </w:tcPr>
                <w:p w14:paraId="4AC0A109">
                  <w:pPr>
                    <w:keepNext w:val="0"/>
                    <w:keepLines w:val="0"/>
                    <w:suppressLineNumbers w:val="0"/>
                    <w:spacing w:before="0" w:beforeAutospacing="0" w:after="0" w:afterAutospacing="0" w:line="240" w:lineRule="auto"/>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w:t>
                  </w:r>
                </w:p>
              </w:tc>
              <w:tc>
                <w:tcPr>
                  <w:tcW w:w="817" w:type="dxa"/>
                  <w:noWrap w:val="0"/>
                  <w:vAlign w:val="center"/>
                </w:tcPr>
                <w:p w14:paraId="00BF0D90">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废活性炭</w:t>
                  </w:r>
                </w:p>
              </w:tc>
              <w:tc>
                <w:tcPr>
                  <w:tcW w:w="773" w:type="dxa"/>
                  <w:noWrap w:val="0"/>
                  <w:vAlign w:val="center"/>
                </w:tcPr>
                <w:p w14:paraId="1FA239E9">
                  <w:pPr>
                    <w:keepNext w:val="0"/>
                    <w:keepLines w:val="0"/>
                    <w:suppressLineNumbers w:val="0"/>
                    <w:spacing w:before="0" w:beforeAutospacing="0" w:after="0" w:afterAutospacing="0"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HW49</w:t>
                  </w:r>
                </w:p>
              </w:tc>
              <w:tc>
                <w:tcPr>
                  <w:tcW w:w="750" w:type="dxa"/>
                  <w:noWrap w:val="0"/>
                  <w:vAlign w:val="center"/>
                </w:tcPr>
                <w:p w14:paraId="01646094">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1.22</w:t>
                  </w:r>
                </w:p>
              </w:tc>
              <w:tc>
                <w:tcPr>
                  <w:tcW w:w="998" w:type="dxa"/>
                  <w:noWrap w:val="0"/>
                  <w:vAlign w:val="center"/>
                </w:tcPr>
                <w:p w14:paraId="19AA7995">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kern w:val="0"/>
                      <w:sz w:val="21"/>
                      <w:szCs w:val="21"/>
                    </w:rPr>
                    <w:t>废气治理</w:t>
                  </w:r>
                </w:p>
              </w:tc>
              <w:tc>
                <w:tcPr>
                  <w:tcW w:w="785" w:type="dxa"/>
                  <w:noWrap w:val="0"/>
                  <w:vAlign w:val="center"/>
                </w:tcPr>
                <w:p w14:paraId="24E18D51">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固态</w:t>
                  </w:r>
                </w:p>
              </w:tc>
              <w:tc>
                <w:tcPr>
                  <w:tcW w:w="829" w:type="dxa"/>
                  <w:noWrap w:val="0"/>
                  <w:vAlign w:val="center"/>
                </w:tcPr>
                <w:p w14:paraId="3164824F">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活性炭</w:t>
                  </w:r>
                </w:p>
              </w:tc>
              <w:tc>
                <w:tcPr>
                  <w:tcW w:w="881" w:type="dxa"/>
                  <w:noWrap w:val="0"/>
                  <w:vAlign w:val="center"/>
                </w:tcPr>
                <w:p w14:paraId="43FB2760">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活性炭</w:t>
                  </w:r>
                </w:p>
              </w:tc>
              <w:tc>
                <w:tcPr>
                  <w:tcW w:w="605" w:type="dxa"/>
                  <w:noWrap w:val="0"/>
                  <w:vAlign w:val="center"/>
                </w:tcPr>
                <w:p w14:paraId="6A30521B">
                  <w:pPr>
                    <w:keepNext w:val="0"/>
                    <w:keepLines w:val="0"/>
                    <w:suppressLineNumbers w:val="0"/>
                    <w:spacing w:before="0" w:beforeAutospacing="0" w:after="0" w:afterAutospacing="0"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T</w:t>
                  </w:r>
                </w:p>
              </w:tc>
              <w:tc>
                <w:tcPr>
                  <w:tcW w:w="1360" w:type="dxa"/>
                  <w:vMerge w:val="continue"/>
                  <w:noWrap w:val="0"/>
                  <w:vAlign w:val="center"/>
                </w:tcPr>
                <w:p w14:paraId="07FF4A8C">
                  <w:pPr>
                    <w:keepNext w:val="0"/>
                    <w:keepLines w:val="0"/>
                    <w:suppressLineNumbers w:val="0"/>
                    <w:spacing w:before="0" w:beforeAutospacing="0" w:after="0" w:afterAutospacing="0" w:line="240" w:lineRule="auto"/>
                    <w:ind w:left="0" w:right="0"/>
                    <w:jc w:val="center"/>
                    <w:rPr>
                      <w:rFonts w:hint="eastAsia" w:ascii="宋体" w:hAnsi="宋体" w:eastAsia="宋体" w:cs="宋体"/>
                      <w:sz w:val="21"/>
                      <w:szCs w:val="21"/>
                    </w:rPr>
                  </w:pPr>
                </w:p>
              </w:tc>
            </w:tr>
          </w:tbl>
          <w:p w14:paraId="22C4FDF5">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kern w:val="10"/>
              </w:rPr>
            </w:pPr>
            <w:r>
              <w:rPr>
                <w:rFonts w:hint="eastAsia" w:ascii="宋体" w:hAnsi="宋体" w:eastAsia="宋体" w:cs="宋体"/>
                <w:kern w:val="10"/>
              </w:rPr>
              <w:t>2、一般固体废物贮存处置要求</w:t>
            </w:r>
          </w:p>
          <w:p w14:paraId="71EFDAD9">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kern w:val="10"/>
                <w:lang w:eastAsia="zh-CN"/>
              </w:rPr>
            </w:pPr>
            <w:r>
              <w:rPr>
                <w:rFonts w:hint="eastAsia" w:ascii="宋体" w:hAnsi="宋体" w:eastAsia="宋体" w:cs="宋体"/>
                <w:kern w:val="10"/>
              </w:rPr>
              <w:t>本项目设置一般固废仓库30m</w:t>
            </w:r>
            <w:r>
              <w:rPr>
                <w:rFonts w:hint="eastAsia" w:ascii="宋体" w:hAnsi="宋体" w:eastAsia="宋体" w:cs="宋体"/>
                <w:kern w:val="10"/>
                <w:vertAlign w:val="superscript"/>
              </w:rPr>
              <w:t>2</w:t>
            </w:r>
            <w:r>
              <w:rPr>
                <w:rFonts w:hint="eastAsia" w:ascii="宋体" w:hAnsi="宋体" w:eastAsia="宋体" w:cs="宋体"/>
                <w:kern w:val="10"/>
              </w:rPr>
              <w:t>。主要存放</w:t>
            </w:r>
            <w:r>
              <w:rPr>
                <w:rFonts w:hint="eastAsia" w:ascii="宋体" w:hAnsi="宋体" w:eastAsia="宋体" w:cs="宋体"/>
                <w:kern w:val="10"/>
                <w:lang w:val="en-US" w:eastAsia="zh-CN"/>
              </w:rPr>
              <w:t>废砂</w:t>
            </w:r>
            <w:r>
              <w:rPr>
                <w:rFonts w:hint="eastAsia" w:ascii="宋体" w:hAnsi="宋体" w:eastAsia="宋体" w:cs="宋体"/>
              </w:rPr>
              <w:t>、收集粉尘、废布袋</w:t>
            </w:r>
            <w:r>
              <w:rPr>
                <w:rFonts w:hint="eastAsia" w:ascii="宋体" w:hAnsi="宋体" w:eastAsia="宋体" w:cs="宋体"/>
                <w:lang w:eastAsia="zh-CN"/>
              </w:rPr>
              <w:t>。</w:t>
            </w:r>
          </w:p>
          <w:p w14:paraId="0D0C8EA6">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kern w:val="10"/>
              </w:rPr>
            </w:pPr>
            <w:r>
              <w:rPr>
                <w:rFonts w:hint="eastAsia" w:ascii="宋体" w:hAnsi="宋体" w:eastAsia="宋体" w:cs="宋体"/>
                <w:kern w:val="10"/>
              </w:rPr>
              <w:t>一般固废暂存场所要求：一般工业固废的暂存场所应按照《一般工业固体废物贮存和填埋污染控制标准》（GB18599-2020）要求建设。</w:t>
            </w:r>
          </w:p>
          <w:p w14:paraId="64A6A78D">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kern w:val="10"/>
              </w:rPr>
            </w:pPr>
            <w:r>
              <w:rPr>
                <w:rFonts w:hint="eastAsia" w:ascii="宋体" w:hAnsi="宋体" w:eastAsia="宋体" w:cs="宋体"/>
                <w:kern w:val="10"/>
              </w:rPr>
              <w:t>①贮存、处置场的建设类型，必须与将要堆放的一般工业固体废物的类别相一致；</w:t>
            </w:r>
          </w:p>
          <w:p w14:paraId="6D33419E">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kern w:val="10"/>
              </w:rPr>
            </w:pPr>
            <w:r>
              <w:rPr>
                <w:rFonts w:hint="eastAsia" w:ascii="宋体" w:hAnsi="宋体" w:eastAsia="宋体" w:cs="宋体"/>
                <w:kern w:val="10"/>
              </w:rPr>
              <w:t>②贮存、处置场应采取防止粉尘污染的措施；</w:t>
            </w:r>
          </w:p>
          <w:p w14:paraId="76316A2C">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kern w:val="10"/>
              </w:rPr>
            </w:pPr>
            <w:r>
              <w:rPr>
                <w:rFonts w:hint="eastAsia" w:ascii="宋体" w:hAnsi="宋体" w:eastAsia="宋体" w:cs="宋体"/>
                <w:kern w:val="10"/>
              </w:rPr>
              <w:t>③为加强监督管理，贮存、处置场应按GB15562.2设置环境保护图形标志；</w:t>
            </w:r>
          </w:p>
          <w:p w14:paraId="75306D40">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kern w:val="10"/>
              </w:rPr>
            </w:pPr>
            <w:r>
              <w:rPr>
                <w:rFonts w:hint="eastAsia" w:ascii="宋体" w:hAnsi="宋体" w:eastAsia="宋体" w:cs="宋体"/>
                <w:kern w:val="10"/>
              </w:rPr>
              <w:t>④一般工业固体废物贮存、处置场禁止危险废物和生活垃圾混入；</w:t>
            </w:r>
          </w:p>
          <w:p w14:paraId="7B9732AE">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kern w:val="10"/>
              </w:rPr>
            </w:pPr>
            <w:r>
              <w:rPr>
                <w:rFonts w:hint="eastAsia" w:ascii="宋体" w:hAnsi="宋体" w:eastAsia="宋体" w:cs="宋体"/>
                <w:kern w:val="10"/>
              </w:rPr>
              <w:t>⑤贮存、处置场的使用单位，应建立档案制度。应将入场的一般工业固体废物的种类和数量等资料详细记录在案，长期保存，供随时查阅。</w:t>
            </w:r>
          </w:p>
          <w:p w14:paraId="0C70DD14">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kern w:val="10"/>
              </w:rPr>
            </w:pPr>
            <w:r>
              <w:rPr>
                <w:rFonts w:hint="eastAsia" w:ascii="宋体" w:hAnsi="宋体" w:eastAsia="宋体" w:cs="宋体"/>
                <w:kern w:val="10"/>
              </w:rPr>
              <w:t>3、危险废物贮存处置要求</w:t>
            </w:r>
          </w:p>
          <w:p w14:paraId="1B48774C">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kern w:val="10"/>
              </w:rPr>
            </w:pPr>
            <w:r>
              <w:rPr>
                <w:rFonts w:hint="eastAsia" w:ascii="宋体" w:hAnsi="宋体" w:eastAsia="宋体" w:cs="宋体"/>
                <w:kern w:val="10"/>
              </w:rPr>
              <w:t>⑴危险废物贮存场所要求</w:t>
            </w:r>
          </w:p>
          <w:p w14:paraId="22FBC433">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kern w:val="10"/>
              </w:rPr>
            </w:pPr>
            <w:r>
              <w:rPr>
                <w:rFonts w:hint="eastAsia" w:ascii="宋体" w:hAnsi="宋体" w:eastAsia="宋体" w:cs="宋体"/>
                <w:kern w:val="10"/>
              </w:rPr>
              <w:t>本项目设置</w:t>
            </w:r>
            <w:r>
              <w:rPr>
                <w:rFonts w:hint="eastAsia" w:ascii="宋体" w:hAnsi="宋体" w:eastAsia="宋体" w:cs="宋体"/>
                <w:kern w:val="10"/>
                <w:lang w:eastAsia="zh-CN"/>
              </w:rPr>
              <w:t>危废暂存间</w:t>
            </w:r>
            <w:r>
              <w:rPr>
                <w:rFonts w:hint="eastAsia" w:ascii="宋体" w:hAnsi="宋体" w:eastAsia="宋体" w:cs="宋体"/>
                <w:kern w:val="10"/>
              </w:rPr>
              <w:t>2</w:t>
            </w:r>
            <w:r>
              <w:rPr>
                <w:rFonts w:hint="eastAsia" w:ascii="宋体" w:hAnsi="宋体" w:eastAsia="宋体" w:cs="宋体"/>
                <w:kern w:val="10"/>
                <w:lang w:val="en-US" w:eastAsia="zh-CN"/>
              </w:rPr>
              <w:t>0</w:t>
            </w:r>
            <w:r>
              <w:rPr>
                <w:rFonts w:hint="eastAsia" w:ascii="宋体" w:hAnsi="宋体" w:eastAsia="宋体" w:cs="宋体"/>
                <w:kern w:val="10"/>
              </w:rPr>
              <w:t>m</w:t>
            </w:r>
            <w:r>
              <w:rPr>
                <w:rFonts w:hint="eastAsia" w:ascii="宋体" w:hAnsi="宋体" w:eastAsia="宋体" w:cs="宋体"/>
                <w:kern w:val="10"/>
                <w:vertAlign w:val="superscript"/>
              </w:rPr>
              <w:t>2</w:t>
            </w:r>
            <w:r>
              <w:rPr>
                <w:rFonts w:hint="eastAsia" w:ascii="宋体" w:hAnsi="宋体" w:eastAsia="宋体" w:cs="宋体"/>
                <w:kern w:val="10"/>
                <w:lang w:eastAsia="zh-CN"/>
              </w:rPr>
              <w:t>，</w:t>
            </w:r>
            <w:r>
              <w:rPr>
                <w:rFonts w:hint="eastAsia" w:ascii="宋体" w:hAnsi="宋体" w:eastAsia="宋体" w:cs="宋体"/>
                <w:kern w:val="10"/>
              </w:rPr>
              <w:t>主要存放危险废物</w:t>
            </w:r>
            <w:r>
              <w:rPr>
                <w:rFonts w:hint="eastAsia" w:ascii="宋体" w:hAnsi="宋体" w:eastAsia="宋体" w:cs="宋体"/>
                <w:kern w:val="10"/>
                <w:lang w:eastAsia="zh-CN"/>
              </w:rPr>
              <w:t>，</w:t>
            </w:r>
            <w:r>
              <w:rPr>
                <w:rFonts w:hint="eastAsia" w:ascii="宋体" w:hAnsi="宋体" w:eastAsia="宋体" w:cs="宋体"/>
                <w:kern w:val="10"/>
              </w:rPr>
              <w:t>危险废物的管理应严格按照《中华人民共和国固体废物污染环境防治法》中有关危险废物的管理条款执行。危险废物贮存应按《危险废物贮存污染控制标准》（GB18597-2023）的有关规定执行。</w:t>
            </w:r>
          </w:p>
          <w:p w14:paraId="24D9318F">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kern w:val="10"/>
              </w:rPr>
            </w:pPr>
            <w:r>
              <w:rPr>
                <w:rFonts w:hint="eastAsia" w:ascii="宋体" w:hAnsi="宋体" w:eastAsia="宋体" w:cs="宋体"/>
                <w:kern w:val="10"/>
              </w:rPr>
              <w:t>①所有危险废物产生者和危险废物经营者应建造专用的危险废物贮存设施，也可利用原有构筑物改建成危险废物贮存设施。</w:t>
            </w:r>
          </w:p>
          <w:p w14:paraId="40E8823E">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kern w:val="10"/>
              </w:rPr>
            </w:pPr>
            <w:r>
              <w:rPr>
                <w:rFonts w:hint="eastAsia" w:ascii="宋体" w:hAnsi="宋体" w:eastAsia="宋体" w:cs="宋体"/>
                <w:kern w:val="10"/>
              </w:rPr>
              <w:t>②危险废物贮存容器要求：应当使用符合标准的容器盛装危险废物；装载危险废物的容器及材质要满足相应的强度要求；装载危险废物的容器必须完好无损；盛装危险废物的容器材质和衬里要与危险废物相容（不相互反应）。</w:t>
            </w:r>
          </w:p>
          <w:p w14:paraId="5C5D284A">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kern w:val="10"/>
              </w:rPr>
            </w:pPr>
            <w:r>
              <w:rPr>
                <w:rFonts w:hint="eastAsia" w:ascii="宋体" w:hAnsi="宋体" w:eastAsia="宋体" w:cs="宋体"/>
                <w:kern w:val="10"/>
              </w:rPr>
              <w:t>③危险废物贮存设施的设计要求：危险废物贮存设施应满足《危险废物贮存污染控制标准》（GB18597-2023）的要求。贮存场所要防风、防雨、防晒，避开易燃、易爆危险品仓库、高压输电线路防护区域。地面与裙角要用坚固、防渗的材料建造；必须有泄漏液体收集装置；用以存放装有废物容器的地方，必须有耐腐蚀的硬化地面，且表面无裂缝；设计堵截泄漏的裙角。基础必须防渗，防渗层为至少1m厚粘土层（渗透系数≤10</w:t>
            </w:r>
            <w:r>
              <w:rPr>
                <w:rFonts w:hint="eastAsia" w:ascii="宋体" w:hAnsi="宋体" w:eastAsia="宋体" w:cs="宋体"/>
                <w:kern w:val="10"/>
                <w:vertAlign w:val="superscript"/>
              </w:rPr>
              <w:t>-7</w:t>
            </w:r>
            <w:r>
              <w:rPr>
                <w:rFonts w:hint="eastAsia" w:ascii="宋体" w:hAnsi="宋体" w:eastAsia="宋体" w:cs="宋体"/>
                <w:kern w:val="10"/>
              </w:rPr>
              <w:t>cm/s），或2mm厚高密度聚乙烯，或至少2mm厚的其他人工材料，渗透系数≤10</w:t>
            </w:r>
            <w:r>
              <w:rPr>
                <w:rFonts w:hint="eastAsia" w:ascii="宋体" w:hAnsi="宋体" w:eastAsia="宋体" w:cs="宋体"/>
                <w:kern w:val="10"/>
                <w:vertAlign w:val="superscript"/>
              </w:rPr>
              <w:t>-10</w:t>
            </w:r>
            <w:r>
              <w:rPr>
                <w:rFonts w:hint="eastAsia" w:ascii="宋体" w:hAnsi="宋体" w:eastAsia="宋体" w:cs="宋体"/>
                <w:kern w:val="10"/>
              </w:rPr>
              <w:t>cm/s。</w:t>
            </w:r>
          </w:p>
          <w:p w14:paraId="13141B25">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kern w:val="10"/>
              </w:rPr>
            </w:pPr>
            <w:r>
              <w:rPr>
                <w:rFonts w:hint="eastAsia" w:ascii="宋体" w:hAnsi="宋体" w:eastAsia="宋体" w:cs="宋体"/>
                <w:kern w:val="10"/>
              </w:rPr>
              <w:t>④公司应设置专门危险固废处置机构，作为厂内环境管理、监测的重要组成部分，主要负责危险固废的收集、贮存及处置，按月统计危险废物种类、产生量、暂存时间、交由处置时间等，并按月向当地环保部门报告。</w:t>
            </w:r>
          </w:p>
          <w:p w14:paraId="51C9FEFE">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kern w:val="10"/>
              </w:rPr>
            </w:pPr>
            <w:r>
              <w:rPr>
                <w:rFonts w:hint="eastAsia" w:ascii="宋体" w:hAnsi="宋体" w:eastAsia="宋体" w:cs="宋体"/>
                <w:kern w:val="10"/>
              </w:rPr>
              <w:t>⑤建设单位应做好危废转移申报、转移联单等相关手续，需满足《危险废物转移管理办法》（生态环境部、公安部、交通运输部部令 第23号）要求。加强对固体废弃物管理，做好跟踪管理，建立管理台帐。</w:t>
            </w:r>
          </w:p>
          <w:p w14:paraId="7754B187">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kern w:val="10"/>
              </w:rPr>
            </w:pPr>
            <w:r>
              <w:rPr>
                <w:rFonts w:hint="eastAsia" w:ascii="宋体" w:hAnsi="宋体" w:eastAsia="宋体" w:cs="宋体"/>
                <w:kern w:val="10"/>
              </w:rPr>
              <w:t>⑥在转移危险废物前，须按照国家有关规定报批危险废物转移计划；经批准后，应当向移出地环境保护行政主管部门申请。产生单位应当在危险废物转移前三日内报告移出地环境保护行政主管部门，并同时将预期到达时间报告接受地环境保护行政主管部门。</w:t>
            </w:r>
          </w:p>
          <w:p w14:paraId="33ACBB3C">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kern w:val="10"/>
              </w:rPr>
            </w:pPr>
            <w:r>
              <w:rPr>
                <w:rFonts w:hint="eastAsia" w:ascii="宋体" w:hAnsi="宋体" w:eastAsia="宋体" w:cs="宋体"/>
                <w:kern w:val="10"/>
              </w:rPr>
              <w:t>⑦危险废物委托处置单位应具备相应的资质，运输车辆须经主管单位检查，并持有有关单位签发的许可证，承载危险废物的车辆须有明显的标志。</w:t>
            </w:r>
          </w:p>
          <w:p w14:paraId="58BEE8F4">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kern w:val="10"/>
              </w:rPr>
            </w:pPr>
            <w:r>
              <w:rPr>
                <w:rFonts w:hint="eastAsia" w:ascii="宋体" w:hAnsi="宋体" w:eastAsia="宋体" w:cs="宋体"/>
                <w:kern w:val="10"/>
              </w:rPr>
              <w:t>⑵</w:t>
            </w:r>
            <w:r>
              <w:rPr>
                <w:rFonts w:hint="eastAsia" w:ascii="宋体" w:hAnsi="宋体" w:eastAsia="宋体" w:cs="宋体"/>
                <w:kern w:val="10"/>
                <w:lang w:eastAsia="zh-CN"/>
              </w:rPr>
              <w:t>危废暂存间</w:t>
            </w:r>
            <w:r>
              <w:rPr>
                <w:rFonts w:hint="eastAsia" w:ascii="宋体" w:hAnsi="宋体" w:eastAsia="宋体" w:cs="宋体"/>
                <w:kern w:val="10"/>
              </w:rPr>
              <w:t>设置合理性分析</w:t>
            </w:r>
          </w:p>
          <w:p w14:paraId="6CDA8449">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kern w:val="10"/>
              </w:rPr>
            </w:pPr>
            <w:r>
              <w:rPr>
                <w:rFonts w:hint="eastAsia" w:ascii="宋体" w:hAnsi="宋体" w:eastAsia="宋体" w:cs="宋体"/>
                <w:kern w:val="10"/>
              </w:rPr>
              <w:t>根据《建设项目危险废物环境影响评价指南》要求，危险废物贮存场所（设施）的名称、位置、占地面积、贮存方式、贮存容积、贮存周期等情况详见下表。</w:t>
            </w:r>
          </w:p>
          <w:p w14:paraId="7DABA1A6">
            <w:pPr>
              <w:pStyle w:val="16"/>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表</w:t>
            </w:r>
            <w:r>
              <w:rPr>
                <w:rFonts w:hint="eastAsia" w:ascii="宋体" w:hAnsi="宋体" w:eastAsia="宋体" w:cs="宋体"/>
                <w:b/>
                <w:bCs/>
                <w:color w:val="auto"/>
                <w:sz w:val="24"/>
                <w:szCs w:val="24"/>
                <w:lang w:val="en-US" w:eastAsia="zh-CN"/>
              </w:rPr>
              <w:t>4-23</w:t>
            </w:r>
            <w:r>
              <w:rPr>
                <w:rFonts w:hint="eastAsia" w:ascii="宋体" w:hAnsi="宋体" w:eastAsia="宋体" w:cs="宋体"/>
                <w:b/>
                <w:bCs/>
                <w:color w:val="auto"/>
                <w:sz w:val="24"/>
                <w:szCs w:val="24"/>
              </w:rPr>
              <w:t xml:space="preserve">  项目危险废物贮存场所基本情况表</w:t>
            </w:r>
          </w:p>
          <w:tbl>
            <w:tblPr>
              <w:tblStyle w:val="31"/>
              <w:tblW w:w="815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7"/>
              <w:gridCol w:w="818"/>
              <w:gridCol w:w="1109"/>
              <w:gridCol w:w="747"/>
              <w:gridCol w:w="1356"/>
              <w:gridCol w:w="436"/>
              <w:gridCol w:w="704"/>
              <w:gridCol w:w="705"/>
              <w:gridCol w:w="928"/>
              <w:gridCol w:w="945"/>
            </w:tblGrid>
            <w:tr w14:paraId="6169F6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7" w:type="dxa"/>
                  <w:tcBorders>
                    <w:tl2br w:val="nil"/>
                    <w:tr2bl w:val="nil"/>
                  </w:tcBorders>
                  <w:noWrap w:val="0"/>
                  <w:vAlign w:val="center"/>
                </w:tcPr>
                <w:p w14:paraId="78A4CFCB">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序号</w:t>
                  </w:r>
                </w:p>
              </w:tc>
              <w:tc>
                <w:tcPr>
                  <w:tcW w:w="818" w:type="dxa"/>
                  <w:tcBorders>
                    <w:tl2br w:val="nil"/>
                    <w:tr2bl w:val="nil"/>
                  </w:tcBorders>
                  <w:noWrap w:val="0"/>
                  <w:vAlign w:val="center"/>
                </w:tcPr>
                <w:p w14:paraId="4EC0FF6A">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贮存场所名称</w:t>
                  </w:r>
                </w:p>
              </w:tc>
              <w:tc>
                <w:tcPr>
                  <w:tcW w:w="1109" w:type="dxa"/>
                  <w:tcBorders>
                    <w:tl2br w:val="nil"/>
                    <w:tr2bl w:val="nil"/>
                  </w:tcBorders>
                  <w:noWrap w:val="0"/>
                  <w:vAlign w:val="center"/>
                </w:tcPr>
                <w:p w14:paraId="01770462">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危险废物名称</w:t>
                  </w:r>
                </w:p>
              </w:tc>
              <w:tc>
                <w:tcPr>
                  <w:tcW w:w="747" w:type="dxa"/>
                  <w:tcBorders>
                    <w:tl2br w:val="nil"/>
                    <w:tr2bl w:val="nil"/>
                  </w:tcBorders>
                  <w:noWrap w:val="0"/>
                  <w:vAlign w:val="center"/>
                </w:tcPr>
                <w:p w14:paraId="3CC0DD4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危险废物类别</w:t>
                  </w:r>
                </w:p>
              </w:tc>
              <w:tc>
                <w:tcPr>
                  <w:tcW w:w="1356" w:type="dxa"/>
                  <w:tcBorders>
                    <w:tl2br w:val="nil"/>
                    <w:tr2bl w:val="nil"/>
                  </w:tcBorders>
                  <w:noWrap w:val="0"/>
                  <w:vAlign w:val="center"/>
                </w:tcPr>
                <w:p w14:paraId="6F6E5B3D">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危险废物</w:t>
                  </w:r>
                </w:p>
                <w:p w14:paraId="6B64356B">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代码</w:t>
                  </w:r>
                </w:p>
              </w:tc>
              <w:tc>
                <w:tcPr>
                  <w:tcW w:w="436" w:type="dxa"/>
                  <w:tcBorders>
                    <w:tl2br w:val="nil"/>
                    <w:tr2bl w:val="nil"/>
                  </w:tcBorders>
                  <w:noWrap w:val="0"/>
                  <w:vAlign w:val="center"/>
                </w:tcPr>
                <w:p w14:paraId="13EAB5E2">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位置</w:t>
                  </w:r>
                </w:p>
              </w:tc>
              <w:tc>
                <w:tcPr>
                  <w:tcW w:w="704" w:type="dxa"/>
                  <w:tcBorders>
                    <w:tl2br w:val="nil"/>
                    <w:tr2bl w:val="nil"/>
                  </w:tcBorders>
                  <w:noWrap w:val="0"/>
                  <w:vAlign w:val="center"/>
                </w:tcPr>
                <w:p w14:paraId="3963AB1B">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占地</w:t>
                  </w:r>
                </w:p>
                <w:p w14:paraId="0794554D">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面积</w:t>
                  </w:r>
                </w:p>
              </w:tc>
              <w:tc>
                <w:tcPr>
                  <w:tcW w:w="705" w:type="dxa"/>
                  <w:tcBorders>
                    <w:tl2br w:val="nil"/>
                    <w:tr2bl w:val="nil"/>
                  </w:tcBorders>
                  <w:noWrap w:val="0"/>
                  <w:vAlign w:val="center"/>
                </w:tcPr>
                <w:p w14:paraId="6D9814A2">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贮存</w:t>
                  </w:r>
                </w:p>
                <w:p w14:paraId="7FC057C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方式</w:t>
                  </w:r>
                </w:p>
              </w:tc>
              <w:tc>
                <w:tcPr>
                  <w:tcW w:w="928" w:type="dxa"/>
                  <w:tcBorders>
                    <w:tl2br w:val="nil"/>
                    <w:tr2bl w:val="nil"/>
                  </w:tcBorders>
                  <w:noWrap w:val="0"/>
                  <w:vAlign w:val="center"/>
                </w:tcPr>
                <w:p w14:paraId="25C73C05">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贮存</w:t>
                  </w:r>
                </w:p>
                <w:p w14:paraId="562E56E1">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能力</w:t>
                  </w:r>
                </w:p>
              </w:tc>
              <w:tc>
                <w:tcPr>
                  <w:tcW w:w="945" w:type="dxa"/>
                  <w:tcBorders>
                    <w:tl2br w:val="nil"/>
                    <w:tr2bl w:val="nil"/>
                  </w:tcBorders>
                  <w:noWrap w:val="0"/>
                  <w:vAlign w:val="center"/>
                </w:tcPr>
                <w:p w14:paraId="6C71A13A">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贮存</w:t>
                  </w:r>
                </w:p>
                <w:p w14:paraId="05829375">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周期</w:t>
                  </w:r>
                </w:p>
              </w:tc>
            </w:tr>
            <w:tr w14:paraId="3FECD4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7" w:type="dxa"/>
                  <w:vMerge w:val="restart"/>
                  <w:tcBorders>
                    <w:tl2br w:val="nil"/>
                    <w:tr2bl w:val="nil"/>
                  </w:tcBorders>
                  <w:noWrap w:val="0"/>
                  <w:vAlign w:val="center"/>
                </w:tcPr>
                <w:p w14:paraId="3B65F993">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818" w:type="dxa"/>
                  <w:vMerge w:val="restart"/>
                  <w:tcBorders>
                    <w:tl2br w:val="nil"/>
                    <w:tr2bl w:val="nil"/>
                  </w:tcBorders>
                  <w:noWrap w:val="0"/>
                  <w:vAlign w:val="center"/>
                </w:tcPr>
                <w:p w14:paraId="6218315E">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危废</w:t>
                  </w:r>
                </w:p>
                <w:p w14:paraId="6B15FF5A">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仓库</w:t>
                  </w:r>
                </w:p>
              </w:tc>
              <w:tc>
                <w:tcPr>
                  <w:tcW w:w="1109" w:type="dxa"/>
                  <w:tcBorders>
                    <w:tl2br w:val="nil"/>
                    <w:tr2bl w:val="nil"/>
                  </w:tcBorders>
                  <w:noWrap w:val="0"/>
                  <w:vAlign w:val="center"/>
                </w:tcPr>
                <w:p w14:paraId="2B5F4943">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废脱脂液</w:t>
                  </w:r>
                </w:p>
              </w:tc>
              <w:tc>
                <w:tcPr>
                  <w:tcW w:w="747" w:type="dxa"/>
                  <w:tcBorders>
                    <w:tl2br w:val="nil"/>
                    <w:tr2bl w:val="nil"/>
                  </w:tcBorders>
                  <w:noWrap w:val="0"/>
                  <w:vAlign w:val="center"/>
                </w:tcPr>
                <w:p w14:paraId="355E244D">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HW17</w:t>
                  </w:r>
                </w:p>
              </w:tc>
              <w:tc>
                <w:tcPr>
                  <w:tcW w:w="1356" w:type="dxa"/>
                  <w:tcBorders>
                    <w:tl2br w:val="nil"/>
                    <w:tr2bl w:val="nil"/>
                  </w:tcBorders>
                  <w:noWrap w:val="0"/>
                  <w:vAlign w:val="center"/>
                </w:tcPr>
                <w:p w14:paraId="20993C75">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336-064-17</w:t>
                  </w:r>
                </w:p>
              </w:tc>
              <w:tc>
                <w:tcPr>
                  <w:tcW w:w="436" w:type="dxa"/>
                  <w:vMerge w:val="restart"/>
                  <w:tcBorders>
                    <w:tl2br w:val="nil"/>
                    <w:tr2bl w:val="nil"/>
                  </w:tcBorders>
                  <w:noWrap w:val="0"/>
                  <w:vAlign w:val="center"/>
                </w:tcPr>
                <w:p w14:paraId="0E0A13CA">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厂区北侧</w:t>
                  </w:r>
                </w:p>
              </w:tc>
              <w:tc>
                <w:tcPr>
                  <w:tcW w:w="704" w:type="dxa"/>
                  <w:vMerge w:val="restart"/>
                  <w:tcBorders>
                    <w:tl2br w:val="nil"/>
                    <w:tr2bl w:val="nil"/>
                  </w:tcBorders>
                  <w:noWrap w:val="0"/>
                  <w:vAlign w:val="center"/>
                </w:tcPr>
                <w:p w14:paraId="2B6FE3D3">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20m</w:t>
                  </w:r>
                  <w:r>
                    <w:rPr>
                      <w:rFonts w:hint="eastAsia" w:ascii="宋体" w:hAnsi="宋体" w:eastAsia="宋体" w:cs="宋体"/>
                      <w:color w:val="auto"/>
                      <w:sz w:val="21"/>
                      <w:szCs w:val="21"/>
                      <w:vertAlign w:val="superscript"/>
                      <w:lang w:val="en-US" w:eastAsia="zh-CN"/>
                    </w:rPr>
                    <w:t>2</w:t>
                  </w:r>
                </w:p>
              </w:tc>
              <w:tc>
                <w:tcPr>
                  <w:tcW w:w="705" w:type="dxa"/>
                  <w:tcBorders>
                    <w:tl2br w:val="nil"/>
                    <w:tr2bl w:val="nil"/>
                  </w:tcBorders>
                  <w:noWrap w:val="0"/>
                  <w:vAlign w:val="center"/>
                </w:tcPr>
                <w:p w14:paraId="704022EA">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桶装</w:t>
                  </w:r>
                </w:p>
              </w:tc>
              <w:tc>
                <w:tcPr>
                  <w:tcW w:w="928" w:type="dxa"/>
                  <w:tcBorders>
                    <w:tl2br w:val="nil"/>
                    <w:tr2bl w:val="nil"/>
                  </w:tcBorders>
                  <w:noWrap w:val="0"/>
                  <w:vAlign w:val="center"/>
                </w:tcPr>
                <w:p w14:paraId="02DC81C8">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1.5t</w:t>
                  </w:r>
                </w:p>
              </w:tc>
              <w:tc>
                <w:tcPr>
                  <w:tcW w:w="945" w:type="dxa"/>
                  <w:tcBorders>
                    <w:tl2br w:val="nil"/>
                    <w:tr2bl w:val="nil"/>
                  </w:tcBorders>
                  <w:noWrap w:val="0"/>
                  <w:vAlign w:val="center"/>
                </w:tcPr>
                <w:p w14:paraId="08599978">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3个月</w:t>
                  </w:r>
                </w:p>
              </w:tc>
            </w:tr>
            <w:tr w14:paraId="0F4439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7" w:type="dxa"/>
                  <w:vMerge w:val="continue"/>
                  <w:tcBorders>
                    <w:tl2br w:val="nil"/>
                    <w:tr2bl w:val="nil"/>
                  </w:tcBorders>
                  <w:noWrap w:val="0"/>
                  <w:vAlign w:val="center"/>
                </w:tcPr>
                <w:p w14:paraId="3100AA98">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p>
              </w:tc>
              <w:tc>
                <w:tcPr>
                  <w:tcW w:w="818" w:type="dxa"/>
                  <w:vMerge w:val="continue"/>
                  <w:tcBorders>
                    <w:tl2br w:val="nil"/>
                    <w:tr2bl w:val="nil"/>
                  </w:tcBorders>
                  <w:noWrap w:val="0"/>
                  <w:vAlign w:val="center"/>
                </w:tcPr>
                <w:p w14:paraId="4FE6DAFA">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rPr>
                  </w:pPr>
                </w:p>
              </w:tc>
              <w:tc>
                <w:tcPr>
                  <w:tcW w:w="1109" w:type="dxa"/>
                  <w:tcBorders>
                    <w:tl2br w:val="nil"/>
                    <w:tr2bl w:val="nil"/>
                  </w:tcBorders>
                  <w:noWrap w:val="0"/>
                  <w:vAlign w:val="center"/>
                </w:tcPr>
                <w:p w14:paraId="2F96C4C5">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废硅烷处理剂</w:t>
                  </w:r>
                </w:p>
              </w:tc>
              <w:tc>
                <w:tcPr>
                  <w:tcW w:w="747" w:type="dxa"/>
                  <w:tcBorders>
                    <w:tl2br w:val="nil"/>
                    <w:tr2bl w:val="nil"/>
                  </w:tcBorders>
                  <w:noWrap w:val="0"/>
                  <w:vAlign w:val="center"/>
                </w:tcPr>
                <w:p w14:paraId="133F3927">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HW17</w:t>
                  </w:r>
                </w:p>
              </w:tc>
              <w:tc>
                <w:tcPr>
                  <w:tcW w:w="1356" w:type="dxa"/>
                  <w:tcBorders>
                    <w:tl2br w:val="nil"/>
                    <w:tr2bl w:val="nil"/>
                  </w:tcBorders>
                  <w:noWrap w:val="0"/>
                  <w:vAlign w:val="center"/>
                </w:tcPr>
                <w:p w14:paraId="36FD91B6">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336-064-17</w:t>
                  </w:r>
                </w:p>
              </w:tc>
              <w:tc>
                <w:tcPr>
                  <w:tcW w:w="436" w:type="dxa"/>
                  <w:vMerge w:val="continue"/>
                  <w:tcBorders>
                    <w:tl2br w:val="nil"/>
                    <w:tr2bl w:val="nil"/>
                  </w:tcBorders>
                  <w:noWrap w:val="0"/>
                  <w:vAlign w:val="center"/>
                </w:tcPr>
                <w:p w14:paraId="64C6F22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p>
              </w:tc>
              <w:tc>
                <w:tcPr>
                  <w:tcW w:w="704" w:type="dxa"/>
                  <w:vMerge w:val="continue"/>
                  <w:tcBorders>
                    <w:tl2br w:val="nil"/>
                    <w:tr2bl w:val="nil"/>
                  </w:tcBorders>
                  <w:noWrap w:val="0"/>
                  <w:vAlign w:val="center"/>
                </w:tcPr>
                <w:p w14:paraId="4583B58B">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p>
              </w:tc>
              <w:tc>
                <w:tcPr>
                  <w:tcW w:w="705" w:type="dxa"/>
                  <w:tcBorders>
                    <w:tl2br w:val="nil"/>
                    <w:tr2bl w:val="nil"/>
                  </w:tcBorders>
                  <w:noWrap w:val="0"/>
                  <w:vAlign w:val="center"/>
                </w:tcPr>
                <w:p w14:paraId="077EBBD0">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桶装</w:t>
                  </w:r>
                </w:p>
              </w:tc>
              <w:tc>
                <w:tcPr>
                  <w:tcW w:w="928" w:type="dxa"/>
                  <w:tcBorders>
                    <w:tl2br w:val="nil"/>
                    <w:tr2bl w:val="nil"/>
                  </w:tcBorders>
                  <w:noWrap w:val="0"/>
                  <w:vAlign w:val="center"/>
                </w:tcPr>
                <w:p w14:paraId="675D0EEE">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1.5t</w:t>
                  </w:r>
                </w:p>
              </w:tc>
              <w:tc>
                <w:tcPr>
                  <w:tcW w:w="945" w:type="dxa"/>
                  <w:tcBorders>
                    <w:tl2br w:val="nil"/>
                    <w:tr2bl w:val="nil"/>
                  </w:tcBorders>
                  <w:noWrap w:val="0"/>
                  <w:vAlign w:val="center"/>
                </w:tcPr>
                <w:p w14:paraId="567078A5">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3个月</w:t>
                  </w:r>
                </w:p>
              </w:tc>
            </w:tr>
            <w:tr w14:paraId="636835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7" w:type="dxa"/>
                  <w:vMerge w:val="continue"/>
                  <w:tcBorders>
                    <w:tl2br w:val="nil"/>
                    <w:tr2bl w:val="nil"/>
                  </w:tcBorders>
                  <w:noWrap w:val="0"/>
                  <w:vAlign w:val="center"/>
                </w:tcPr>
                <w:p w14:paraId="70AC4415">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p>
              </w:tc>
              <w:tc>
                <w:tcPr>
                  <w:tcW w:w="818" w:type="dxa"/>
                  <w:vMerge w:val="continue"/>
                  <w:tcBorders>
                    <w:tl2br w:val="nil"/>
                    <w:tr2bl w:val="nil"/>
                  </w:tcBorders>
                  <w:noWrap w:val="0"/>
                  <w:vAlign w:val="center"/>
                </w:tcPr>
                <w:p w14:paraId="30DBA5A2">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p>
              </w:tc>
              <w:tc>
                <w:tcPr>
                  <w:tcW w:w="1109" w:type="dxa"/>
                  <w:tcBorders>
                    <w:tl2br w:val="nil"/>
                    <w:tr2bl w:val="nil"/>
                  </w:tcBorders>
                  <w:noWrap w:val="0"/>
                  <w:vAlign w:val="center"/>
                </w:tcPr>
                <w:p w14:paraId="1B4E50CD">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color w:val="auto"/>
                      <w:sz w:val="21"/>
                      <w:szCs w:val="21"/>
                      <w:lang w:val="en-US" w:eastAsia="zh-CN"/>
                    </w:rPr>
                  </w:pPr>
                  <w:r>
                    <w:rPr>
                      <w:rFonts w:hint="eastAsia" w:ascii="宋体" w:hAnsi="宋体" w:eastAsia="宋体" w:cs="宋体"/>
                      <w:kern w:val="2"/>
                      <w:sz w:val="21"/>
                      <w:szCs w:val="21"/>
                      <w:lang w:val="en-US" w:eastAsia="zh-CN" w:bidi="ar-SA"/>
                    </w:rPr>
                    <w:t>水洗废液</w:t>
                  </w:r>
                </w:p>
              </w:tc>
              <w:tc>
                <w:tcPr>
                  <w:tcW w:w="747" w:type="dxa"/>
                  <w:tcBorders>
                    <w:tl2br w:val="nil"/>
                    <w:tr2bl w:val="nil"/>
                  </w:tcBorders>
                  <w:noWrap w:val="0"/>
                  <w:vAlign w:val="center"/>
                </w:tcPr>
                <w:p w14:paraId="4FD57B90">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HW17</w:t>
                  </w:r>
                </w:p>
              </w:tc>
              <w:tc>
                <w:tcPr>
                  <w:tcW w:w="1356" w:type="dxa"/>
                  <w:tcBorders>
                    <w:tl2br w:val="nil"/>
                    <w:tr2bl w:val="nil"/>
                  </w:tcBorders>
                  <w:noWrap w:val="0"/>
                  <w:vAlign w:val="center"/>
                </w:tcPr>
                <w:p w14:paraId="197A656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336-064-17</w:t>
                  </w:r>
                </w:p>
              </w:tc>
              <w:tc>
                <w:tcPr>
                  <w:tcW w:w="436" w:type="dxa"/>
                  <w:vMerge w:val="continue"/>
                  <w:tcBorders>
                    <w:tl2br w:val="nil"/>
                    <w:tr2bl w:val="nil"/>
                  </w:tcBorders>
                  <w:noWrap w:val="0"/>
                  <w:vAlign w:val="center"/>
                </w:tcPr>
                <w:p w14:paraId="5A12D2DD">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p>
              </w:tc>
              <w:tc>
                <w:tcPr>
                  <w:tcW w:w="704" w:type="dxa"/>
                  <w:vMerge w:val="continue"/>
                  <w:tcBorders>
                    <w:tl2br w:val="nil"/>
                    <w:tr2bl w:val="nil"/>
                  </w:tcBorders>
                  <w:noWrap w:val="0"/>
                  <w:vAlign w:val="center"/>
                </w:tcPr>
                <w:p w14:paraId="6FEC8911">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p>
              </w:tc>
              <w:tc>
                <w:tcPr>
                  <w:tcW w:w="705" w:type="dxa"/>
                  <w:tcBorders>
                    <w:tl2br w:val="nil"/>
                    <w:tr2bl w:val="nil"/>
                  </w:tcBorders>
                  <w:noWrap w:val="0"/>
                  <w:vAlign w:val="center"/>
                </w:tcPr>
                <w:p w14:paraId="143B2BE7">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桶装</w:t>
                  </w:r>
                </w:p>
              </w:tc>
              <w:tc>
                <w:tcPr>
                  <w:tcW w:w="928" w:type="dxa"/>
                  <w:tcBorders>
                    <w:tl2br w:val="nil"/>
                    <w:tr2bl w:val="nil"/>
                  </w:tcBorders>
                  <w:noWrap w:val="0"/>
                  <w:vAlign w:val="center"/>
                </w:tcPr>
                <w:p w14:paraId="7917972A">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3t</w:t>
                  </w:r>
                </w:p>
              </w:tc>
              <w:tc>
                <w:tcPr>
                  <w:tcW w:w="945" w:type="dxa"/>
                  <w:tcBorders>
                    <w:tl2br w:val="nil"/>
                    <w:tr2bl w:val="nil"/>
                  </w:tcBorders>
                  <w:noWrap w:val="0"/>
                  <w:vAlign w:val="center"/>
                </w:tcPr>
                <w:p w14:paraId="7A8DD39E">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3个月</w:t>
                  </w:r>
                </w:p>
              </w:tc>
            </w:tr>
            <w:tr w14:paraId="7FD61C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7" w:type="dxa"/>
                  <w:vMerge w:val="continue"/>
                  <w:tcBorders>
                    <w:tl2br w:val="nil"/>
                    <w:tr2bl w:val="nil"/>
                  </w:tcBorders>
                  <w:noWrap w:val="0"/>
                  <w:vAlign w:val="center"/>
                </w:tcPr>
                <w:p w14:paraId="479F1D3D">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p>
              </w:tc>
              <w:tc>
                <w:tcPr>
                  <w:tcW w:w="818" w:type="dxa"/>
                  <w:vMerge w:val="continue"/>
                  <w:tcBorders>
                    <w:tl2br w:val="nil"/>
                    <w:tr2bl w:val="nil"/>
                  </w:tcBorders>
                  <w:noWrap w:val="0"/>
                  <w:vAlign w:val="center"/>
                </w:tcPr>
                <w:p w14:paraId="123DF92C">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p>
              </w:tc>
              <w:tc>
                <w:tcPr>
                  <w:tcW w:w="1109" w:type="dxa"/>
                  <w:tcBorders>
                    <w:tl2br w:val="nil"/>
                    <w:tr2bl w:val="nil"/>
                  </w:tcBorders>
                  <w:noWrap w:val="0"/>
                  <w:vAlign w:val="center"/>
                </w:tcPr>
                <w:p w14:paraId="7A587B6C">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color w:val="auto"/>
                      <w:sz w:val="21"/>
                      <w:szCs w:val="21"/>
                      <w:lang w:val="en-US" w:eastAsia="zh-CN"/>
                    </w:rPr>
                  </w:pPr>
                  <w:r>
                    <w:rPr>
                      <w:rFonts w:hint="eastAsia" w:ascii="宋体" w:hAnsi="宋体" w:eastAsia="宋体" w:cs="宋体"/>
                      <w:sz w:val="21"/>
                      <w:szCs w:val="21"/>
                    </w:rPr>
                    <w:t>槽渣</w:t>
                  </w:r>
                </w:p>
              </w:tc>
              <w:tc>
                <w:tcPr>
                  <w:tcW w:w="747" w:type="dxa"/>
                  <w:tcBorders>
                    <w:tl2br w:val="nil"/>
                    <w:tr2bl w:val="nil"/>
                  </w:tcBorders>
                  <w:noWrap w:val="0"/>
                  <w:vAlign w:val="center"/>
                </w:tcPr>
                <w:p w14:paraId="552A9807">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HW17</w:t>
                  </w:r>
                </w:p>
              </w:tc>
              <w:tc>
                <w:tcPr>
                  <w:tcW w:w="1356" w:type="dxa"/>
                  <w:tcBorders>
                    <w:tl2br w:val="nil"/>
                    <w:tr2bl w:val="nil"/>
                  </w:tcBorders>
                  <w:noWrap w:val="0"/>
                  <w:vAlign w:val="center"/>
                </w:tcPr>
                <w:p w14:paraId="0F856874">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336-064-17</w:t>
                  </w:r>
                </w:p>
              </w:tc>
              <w:tc>
                <w:tcPr>
                  <w:tcW w:w="436" w:type="dxa"/>
                  <w:vMerge w:val="continue"/>
                  <w:tcBorders>
                    <w:tl2br w:val="nil"/>
                    <w:tr2bl w:val="nil"/>
                  </w:tcBorders>
                  <w:noWrap w:val="0"/>
                  <w:vAlign w:val="center"/>
                </w:tcPr>
                <w:p w14:paraId="5C671F69">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p>
              </w:tc>
              <w:tc>
                <w:tcPr>
                  <w:tcW w:w="704" w:type="dxa"/>
                  <w:vMerge w:val="continue"/>
                  <w:tcBorders>
                    <w:tl2br w:val="nil"/>
                    <w:tr2bl w:val="nil"/>
                  </w:tcBorders>
                  <w:noWrap w:val="0"/>
                  <w:vAlign w:val="center"/>
                </w:tcPr>
                <w:p w14:paraId="2C735344">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p>
              </w:tc>
              <w:tc>
                <w:tcPr>
                  <w:tcW w:w="705" w:type="dxa"/>
                  <w:tcBorders>
                    <w:tl2br w:val="nil"/>
                    <w:tr2bl w:val="nil"/>
                  </w:tcBorders>
                  <w:noWrap w:val="0"/>
                  <w:vAlign w:val="center"/>
                </w:tcPr>
                <w:p w14:paraId="45D530F3">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桶装</w:t>
                  </w:r>
                </w:p>
              </w:tc>
              <w:tc>
                <w:tcPr>
                  <w:tcW w:w="928" w:type="dxa"/>
                  <w:tcBorders>
                    <w:tl2br w:val="nil"/>
                    <w:tr2bl w:val="nil"/>
                  </w:tcBorders>
                  <w:noWrap w:val="0"/>
                  <w:vAlign w:val="center"/>
                </w:tcPr>
                <w:p w14:paraId="7223FFF9">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0.5t</w:t>
                  </w:r>
                </w:p>
              </w:tc>
              <w:tc>
                <w:tcPr>
                  <w:tcW w:w="945" w:type="dxa"/>
                  <w:tcBorders>
                    <w:tl2br w:val="nil"/>
                    <w:tr2bl w:val="nil"/>
                  </w:tcBorders>
                  <w:noWrap w:val="0"/>
                  <w:vAlign w:val="center"/>
                </w:tcPr>
                <w:p w14:paraId="518FFB67">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3个月</w:t>
                  </w:r>
                </w:p>
              </w:tc>
            </w:tr>
            <w:tr w14:paraId="4194A7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7" w:type="dxa"/>
                  <w:vMerge w:val="continue"/>
                  <w:tcBorders>
                    <w:tl2br w:val="nil"/>
                    <w:tr2bl w:val="nil"/>
                  </w:tcBorders>
                  <w:noWrap w:val="0"/>
                  <w:vAlign w:val="center"/>
                </w:tcPr>
                <w:p w14:paraId="579BE0B5">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p>
              </w:tc>
              <w:tc>
                <w:tcPr>
                  <w:tcW w:w="818" w:type="dxa"/>
                  <w:vMerge w:val="continue"/>
                  <w:tcBorders>
                    <w:tl2br w:val="nil"/>
                    <w:tr2bl w:val="nil"/>
                  </w:tcBorders>
                  <w:noWrap w:val="0"/>
                  <w:vAlign w:val="center"/>
                </w:tcPr>
                <w:p w14:paraId="4D65A3F7">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p>
              </w:tc>
              <w:tc>
                <w:tcPr>
                  <w:tcW w:w="1109" w:type="dxa"/>
                  <w:tcBorders>
                    <w:tl2br w:val="nil"/>
                    <w:tr2bl w:val="nil"/>
                  </w:tcBorders>
                  <w:noWrap w:val="0"/>
                  <w:vAlign w:val="center"/>
                </w:tcPr>
                <w:p w14:paraId="33F685BB">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color w:val="auto"/>
                      <w:sz w:val="21"/>
                      <w:szCs w:val="21"/>
                      <w:lang w:val="en-US" w:eastAsia="zh-CN"/>
                    </w:rPr>
                  </w:pPr>
                  <w:r>
                    <w:rPr>
                      <w:rFonts w:hint="eastAsia" w:ascii="宋体" w:hAnsi="宋体" w:eastAsia="宋体" w:cs="宋体"/>
                      <w:sz w:val="21"/>
                      <w:szCs w:val="21"/>
                      <w:lang w:val="en-US" w:eastAsia="zh-CN"/>
                    </w:rPr>
                    <w:t>污泥</w:t>
                  </w:r>
                </w:p>
              </w:tc>
              <w:tc>
                <w:tcPr>
                  <w:tcW w:w="747" w:type="dxa"/>
                  <w:tcBorders>
                    <w:tl2br w:val="nil"/>
                    <w:tr2bl w:val="nil"/>
                  </w:tcBorders>
                  <w:noWrap w:val="0"/>
                  <w:vAlign w:val="center"/>
                </w:tcPr>
                <w:p w14:paraId="1EEFEE13">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HW17</w:t>
                  </w:r>
                </w:p>
              </w:tc>
              <w:tc>
                <w:tcPr>
                  <w:tcW w:w="1356" w:type="dxa"/>
                  <w:tcBorders>
                    <w:tl2br w:val="nil"/>
                    <w:tr2bl w:val="nil"/>
                  </w:tcBorders>
                  <w:noWrap w:val="0"/>
                  <w:vAlign w:val="center"/>
                </w:tcPr>
                <w:p w14:paraId="04BC3DF0">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336-064-17</w:t>
                  </w:r>
                </w:p>
              </w:tc>
              <w:tc>
                <w:tcPr>
                  <w:tcW w:w="436" w:type="dxa"/>
                  <w:vMerge w:val="continue"/>
                  <w:tcBorders>
                    <w:tl2br w:val="nil"/>
                    <w:tr2bl w:val="nil"/>
                  </w:tcBorders>
                  <w:noWrap w:val="0"/>
                  <w:vAlign w:val="center"/>
                </w:tcPr>
                <w:p w14:paraId="269C99DA">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p>
              </w:tc>
              <w:tc>
                <w:tcPr>
                  <w:tcW w:w="704" w:type="dxa"/>
                  <w:vMerge w:val="continue"/>
                  <w:tcBorders>
                    <w:tl2br w:val="nil"/>
                    <w:tr2bl w:val="nil"/>
                  </w:tcBorders>
                  <w:noWrap w:val="0"/>
                  <w:vAlign w:val="center"/>
                </w:tcPr>
                <w:p w14:paraId="15F3E863">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p>
              </w:tc>
              <w:tc>
                <w:tcPr>
                  <w:tcW w:w="705" w:type="dxa"/>
                  <w:tcBorders>
                    <w:tl2br w:val="nil"/>
                    <w:tr2bl w:val="nil"/>
                  </w:tcBorders>
                  <w:noWrap w:val="0"/>
                  <w:vAlign w:val="center"/>
                </w:tcPr>
                <w:p w14:paraId="7C5B3D8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桶装</w:t>
                  </w:r>
                </w:p>
              </w:tc>
              <w:tc>
                <w:tcPr>
                  <w:tcW w:w="928" w:type="dxa"/>
                  <w:tcBorders>
                    <w:tl2br w:val="nil"/>
                    <w:tr2bl w:val="nil"/>
                  </w:tcBorders>
                  <w:noWrap w:val="0"/>
                  <w:vAlign w:val="center"/>
                </w:tcPr>
                <w:p w14:paraId="75DE9966">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5t</w:t>
                  </w:r>
                </w:p>
              </w:tc>
              <w:tc>
                <w:tcPr>
                  <w:tcW w:w="945" w:type="dxa"/>
                  <w:tcBorders>
                    <w:tl2br w:val="nil"/>
                    <w:tr2bl w:val="nil"/>
                  </w:tcBorders>
                  <w:noWrap w:val="0"/>
                  <w:vAlign w:val="center"/>
                </w:tcPr>
                <w:p w14:paraId="3C4F0D53">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3个月</w:t>
                  </w:r>
                </w:p>
              </w:tc>
            </w:tr>
            <w:tr w14:paraId="35C85C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407" w:type="dxa"/>
                  <w:vMerge w:val="continue"/>
                  <w:tcBorders>
                    <w:tl2br w:val="nil"/>
                    <w:tr2bl w:val="nil"/>
                  </w:tcBorders>
                  <w:noWrap w:val="0"/>
                  <w:vAlign w:val="center"/>
                </w:tcPr>
                <w:p w14:paraId="116D8747">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p>
              </w:tc>
              <w:tc>
                <w:tcPr>
                  <w:tcW w:w="818" w:type="dxa"/>
                  <w:vMerge w:val="continue"/>
                  <w:tcBorders>
                    <w:tl2br w:val="nil"/>
                    <w:tr2bl w:val="nil"/>
                  </w:tcBorders>
                  <w:noWrap w:val="0"/>
                  <w:vAlign w:val="center"/>
                </w:tcPr>
                <w:p w14:paraId="64F5541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p>
              </w:tc>
              <w:tc>
                <w:tcPr>
                  <w:tcW w:w="1109" w:type="dxa"/>
                  <w:tcBorders>
                    <w:tl2br w:val="nil"/>
                    <w:tr2bl w:val="nil"/>
                  </w:tcBorders>
                  <w:noWrap w:val="0"/>
                  <w:vAlign w:val="center"/>
                </w:tcPr>
                <w:p w14:paraId="0FEC9CAB">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color w:val="auto"/>
                      <w:sz w:val="21"/>
                      <w:szCs w:val="21"/>
                      <w:lang w:val="en-US" w:eastAsia="zh-CN"/>
                    </w:rPr>
                  </w:pPr>
                  <w:r>
                    <w:rPr>
                      <w:rFonts w:hint="eastAsia" w:ascii="宋体" w:hAnsi="宋体" w:eastAsia="宋体" w:cs="宋体"/>
                      <w:sz w:val="21"/>
                      <w:szCs w:val="21"/>
                    </w:rPr>
                    <w:t>废包装桶</w:t>
                  </w:r>
                </w:p>
              </w:tc>
              <w:tc>
                <w:tcPr>
                  <w:tcW w:w="747" w:type="dxa"/>
                  <w:tcBorders>
                    <w:tl2br w:val="nil"/>
                    <w:tr2bl w:val="nil"/>
                  </w:tcBorders>
                  <w:noWrap w:val="0"/>
                  <w:vAlign w:val="center"/>
                </w:tcPr>
                <w:p w14:paraId="4DE8A108">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HW49</w:t>
                  </w:r>
                </w:p>
              </w:tc>
              <w:tc>
                <w:tcPr>
                  <w:tcW w:w="1356" w:type="dxa"/>
                  <w:tcBorders>
                    <w:tl2br w:val="nil"/>
                    <w:tr2bl w:val="nil"/>
                  </w:tcBorders>
                  <w:noWrap w:val="0"/>
                  <w:vAlign w:val="center"/>
                </w:tcPr>
                <w:p w14:paraId="5BC8B52D">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900-041-49</w:t>
                  </w:r>
                </w:p>
              </w:tc>
              <w:tc>
                <w:tcPr>
                  <w:tcW w:w="436" w:type="dxa"/>
                  <w:vMerge w:val="continue"/>
                  <w:tcBorders>
                    <w:tl2br w:val="nil"/>
                    <w:tr2bl w:val="nil"/>
                  </w:tcBorders>
                  <w:noWrap w:val="0"/>
                  <w:vAlign w:val="center"/>
                </w:tcPr>
                <w:p w14:paraId="7BE7DA0A">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p>
              </w:tc>
              <w:tc>
                <w:tcPr>
                  <w:tcW w:w="704" w:type="dxa"/>
                  <w:vMerge w:val="continue"/>
                  <w:tcBorders>
                    <w:tl2br w:val="nil"/>
                    <w:tr2bl w:val="nil"/>
                  </w:tcBorders>
                  <w:noWrap w:val="0"/>
                  <w:vAlign w:val="center"/>
                </w:tcPr>
                <w:p w14:paraId="06DC3F2E">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p>
              </w:tc>
              <w:tc>
                <w:tcPr>
                  <w:tcW w:w="705" w:type="dxa"/>
                  <w:tcBorders>
                    <w:tl2br w:val="nil"/>
                    <w:tr2bl w:val="nil"/>
                  </w:tcBorders>
                  <w:noWrap w:val="0"/>
                  <w:vAlign w:val="center"/>
                </w:tcPr>
                <w:p w14:paraId="1900A1AD">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928" w:type="dxa"/>
                  <w:tcBorders>
                    <w:tl2br w:val="nil"/>
                    <w:tr2bl w:val="nil"/>
                  </w:tcBorders>
                  <w:noWrap w:val="0"/>
                  <w:vAlign w:val="center"/>
                </w:tcPr>
                <w:p w14:paraId="6619C9FB">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0.02t</w:t>
                  </w:r>
                </w:p>
              </w:tc>
              <w:tc>
                <w:tcPr>
                  <w:tcW w:w="945" w:type="dxa"/>
                  <w:tcBorders>
                    <w:tl2br w:val="nil"/>
                    <w:tr2bl w:val="nil"/>
                  </w:tcBorders>
                  <w:noWrap w:val="0"/>
                  <w:vAlign w:val="center"/>
                </w:tcPr>
                <w:p w14:paraId="3AA409FB">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3个月</w:t>
                  </w:r>
                </w:p>
              </w:tc>
            </w:tr>
            <w:tr w14:paraId="00BDC2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07" w:type="dxa"/>
                  <w:vMerge w:val="continue"/>
                  <w:tcBorders>
                    <w:tl2br w:val="nil"/>
                    <w:tr2bl w:val="nil"/>
                  </w:tcBorders>
                  <w:noWrap w:val="0"/>
                  <w:vAlign w:val="center"/>
                </w:tcPr>
                <w:p w14:paraId="3FE4A545">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p>
              </w:tc>
              <w:tc>
                <w:tcPr>
                  <w:tcW w:w="818" w:type="dxa"/>
                  <w:vMerge w:val="continue"/>
                  <w:tcBorders>
                    <w:tl2br w:val="nil"/>
                    <w:tr2bl w:val="nil"/>
                  </w:tcBorders>
                  <w:noWrap w:val="0"/>
                  <w:vAlign w:val="center"/>
                </w:tcPr>
                <w:p w14:paraId="7466FB3B">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p>
              </w:tc>
              <w:tc>
                <w:tcPr>
                  <w:tcW w:w="1109" w:type="dxa"/>
                  <w:tcBorders>
                    <w:tl2br w:val="nil"/>
                    <w:tr2bl w:val="nil"/>
                  </w:tcBorders>
                  <w:noWrap w:val="0"/>
                  <w:vAlign w:val="center"/>
                </w:tcPr>
                <w:p w14:paraId="2BCBEA23">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color w:val="auto"/>
                      <w:sz w:val="21"/>
                      <w:szCs w:val="21"/>
                      <w:lang w:val="en-US" w:eastAsia="zh-CN"/>
                    </w:rPr>
                  </w:pPr>
                  <w:r>
                    <w:rPr>
                      <w:rFonts w:hint="eastAsia" w:ascii="宋体" w:hAnsi="宋体" w:eastAsia="宋体" w:cs="宋体"/>
                      <w:sz w:val="21"/>
                      <w:szCs w:val="21"/>
                    </w:rPr>
                    <w:t>废活性炭</w:t>
                  </w:r>
                </w:p>
              </w:tc>
              <w:tc>
                <w:tcPr>
                  <w:tcW w:w="747" w:type="dxa"/>
                  <w:tcBorders>
                    <w:tl2br w:val="nil"/>
                    <w:tr2bl w:val="nil"/>
                  </w:tcBorders>
                  <w:noWrap w:val="0"/>
                  <w:vAlign w:val="center"/>
                </w:tcPr>
                <w:p w14:paraId="012E6082">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HW49</w:t>
                  </w:r>
                </w:p>
              </w:tc>
              <w:tc>
                <w:tcPr>
                  <w:tcW w:w="1356" w:type="dxa"/>
                  <w:tcBorders>
                    <w:tl2br w:val="nil"/>
                    <w:tr2bl w:val="nil"/>
                  </w:tcBorders>
                  <w:noWrap w:val="0"/>
                  <w:vAlign w:val="center"/>
                </w:tcPr>
                <w:p w14:paraId="494FFA54">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900-039-49</w:t>
                  </w:r>
                </w:p>
              </w:tc>
              <w:tc>
                <w:tcPr>
                  <w:tcW w:w="436" w:type="dxa"/>
                  <w:vMerge w:val="continue"/>
                  <w:tcBorders>
                    <w:tl2br w:val="nil"/>
                    <w:tr2bl w:val="nil"/>
                  </w:tcBorders>
                  <w:noWrap w:val="0"/>
                  <w:vAlign w:val="center"/>
                </w:tcPr>
                <w:p w14:paraId="1953AEB5">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p>
              </w:tc>
              <w:tc>
                <w:tcPr>
                  <w:tcW w:w="704" w:type="dxa"/>
                  <w:vMerge w:val="continue"/>
                  <w:tcBorders>
                    <w:tl2br w:val="nil"/>
                    <w:tr2bl w:val="nil"/>
                  </w:tcBorders>
                  <w:noWrap w:val="0"/>
                  <w:vAlign w:val="center"/>
                </w:tcPr>
                <w:p w14:paraId="5E5AFC49">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p>
              </w:tc>
              <w:tc>
                <w:tcPr>
                  <w:tcW w:w="705" w:type="dxa"/>
                  <w:tcBorders>
                    <w:tl2br w:val="nil"/>
                    <w:tr2bl w:val="nil"/>
                  </w:tcBorders>
                  <w:noWrap w:val="0"/>
                  <w:vAlign w:val="center"/>
                </w:tcPr>
                <w:p w14:paraId="5C415DD9">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袋装</w:t>
                  </w:r>
                </w:p>
              </w:tc>
              <w:tc>
                <w:tcPr>
                  <w:tcW w:w="928" w:type="dxa"/>
                  <w:tcBorders>
                    <w:tl2br w:val="nil"/>
                    <w:tr2bl w:val="nil"/>
                  </w:tcBorders>
                  <w:noWrap w:val="0"/>
                  <w:vAlign w:val="center"/>
                </w:tcPr>
                <w:p w14:paraId="15931746">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0.6t</w:t>
                  </w:r>
                </w:p>
              </w:tc>
              <w:tc>
                <w:tcPr>
                  <w:tcW w:w="945" w:type="dxa"/>
                  <w:tcBorders>
                    <w:tl2br w:val="nil"/>
                    <w:tr2bl w:val="nil"/>
                  </w:tcBorders>
                  <w:noWrap w:val="0"/>
                  <w:vAlign w:val="center"/>
                </w:tcPr>
                <w:p w14:paraId="4370F3E2">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2个月</w:t>
                  </w:r>
                </w:p>
              </w:tc>
            </w:tr>
          </w:tbl>
          <w:p w14:paraId="063EC746">
            <w:pPr>
              <w:keepNext w:val="0"/>
              <w:keepLines w:val="0"/>
              <w:suppressLineNumbers w:val="0"/>
              <w:adjustRightInd w:val="0"/>
              <w:snapToGrid w:val="0"/>
              <w:spacing w:before="0" w:beforeAutospacing="0" w:after="0" w:afterAutospacing="0"/>
              <w:ind w:left="0" w:right="0" w:firstLine="480"/>
              <w:jc w:val="left"/>
              <w:rPr>
                <w:rFonts w:hint="eastAsia" w:ascii="宋体" w:hAnsi="宋体" w:eastAsia="宋体" w:cs="宋体"/>
              </w:rPr>
            </w:pPr>
            <w:r>
              <w:rPr>
                <w:rFonts w:hint="eastAsia" w:ascii="宋体" w:hAnsi="宋体" w:eastAsia="宋体" w:cs="宋体"/>
                <w:lang w:eastAsia="zh-CN"/>
              </w:rPr>
              <w:t>危废暂存间</w:t>
            </w:r>
            <w:r>
              <w:rPr>
                <w:rFonts w:hint="eastAsia" w:ascii="宋体" w:hAnsi="宋体" w:eastAsia="宋体" w:cs="宋体"/>
              </w:rPr>
              <w:t>内配备通讯设备、照明设施和消防设施，本项目危废均密封储存，无挥发性气体产生。在出入口、设施内部、危险废物运输车辆通道等关键位置按照危险废物贮存设施视频监控布设要求设置视频监控，并与中控室联网。仓库内设置防雨、防火、防雷、防扬散、防渗漏装置及泄漏液体收集装置。</w:t>
            </w:r>
          </w:p>
          <w:p w14:paraId="5FE8FBE7">
            <w:pPr>
              <w:keepNext w:val="0"/>
              <w:keepLines w:val="0"/>
              <w:suppressLineNumbers w:val="0"/>
              <w:adjustRightInd w:val="0"/>
              <w:snapToGrid w:val="0"/>
              <w:spacing w:before="0" w:beforeAutospacing="0" w:after="0" w:afterAutospacing="0"/>
              <w:ind w:left="0" w:right="0" w:firstLine="480"/>
              <w:rPr>
                <w:rFonts w:hint="eastAsia" w:ascii="宋体" w:hAnsi="宋体" w:eastAsia="宋体" w:cs="宋体"/>
              </w:rPr>
            </w:pPr>
            <w:bookmarkStart w:id="177" w:name="_Hlk523475949"/>
            <w:r>
              <w:rPr>
                <w:rFonts w:hint="eastAsia" w:ascii="宋体" w:hAnsi="宋体" w:eastAsia="宋体" w:cs="宋体"/>
              </w:rPr>
              <w:t>根据国家环保总局和江苏省环保厅对排污口规范化整治的要求，建设单位按照《环境保护图形标志—固体废物贮存（处置）场》（GB15562.2-1995）、《危险废物识别标志设置技术规范》（HJ 1276-2022）和《省生态环境厅关于做好&lt;危险废物贮存污染控制标准&gt;等标准规范实施后危险废物环境管理衔接工作的通知》（苏环办</w:t>
            </w:r>
            <w:r>
              <w:rPr>
                <w:rFonts w:hint="eastAsia" w:ascii="宋体" w:hAnsi="宋体" w:eastAsia="宋体" w:cs="宋体"/>
                <w:lang w:eastAsia="zh-CN"/>
              </w:rPr>
              <w:t>〔</w:t>
            </w:r>
            <w:r>
              <w:rPr>
                <w:rFonts w:hint="eastAsia" w:ascii="宋体" w:hAnsi="宋体" w:eastAsia="宋体" w:cs="宋体"/>
              </w:rPr>
              <w:t>2023</w:t>
            </w:r>
            <w:r>
              <w:rPr>
                <w:rFonts w:hint="eastAsia" w:ascii="宋体" w:hAnsi="宋体" w:eastAsia="宋体" w:cs="宋体"/>
                <w:lang w:eastAsia="zh-CN"/>
              </w:rPr>
              <w:t>〕</w:t>
            </w:r>
            <w:r>
              <w:rPr>
                <w:rFonts w:hint="eastAsia" w:ascii="宋体" w:hAnsi="宋体" w:eastAsia="宋体" w:cs="宋体"/>
              </w:rPr>
              <w:t>154号），设置固体废物堆放场的环境保护图形标志，具体要求见表4-2</w:t>
            </w:r>
            <w:r>
              <w:rPr>
                <w:rFonts w:hint="eastAsia" w:ascii="宋体" w:hAnsi="宋体" w:eastAsia="宋体" w:cs="宋体"/>
                <w:lang w:val="en-US" w:eastAsia="zh-CN"/>
              </w:rPr>
              <w:t>4</w:t>
            </w:r>
            <w:r>
              <w:rPr>
                <w:rFonts w:hint="eastAsia" w:ascii="宋体" w:hAnsi="宋体" w:eastAsia="宋体" w:cs="宋体"/>
              </w:rPr>
              <w:t>、4-2</w:t>
            </w:r>
            <w:r>
              <w:rPr>
                <w:rFonts w:hint="eastAsia" w:ascii="宋体" w:hAnsi="宋体" w:eastAsia="宋体" w:cs="宋体"/>
                <w:lang w:val="en-US" w:eastAsia="zh-CN"/>
              </w:rPr>
              <w:t>5</w:t>
            </w:r>
            <w:r>
              <w:rPr>
                <w:rFonts w:hint="eastAsia" w:ascii="宋体" w:hAnsi="宋体" w:eastAsia="宋体" w:cs="宋体"/>
              </w:rPr>
              <w:t>。</w:t>
            </w:r>
            <w:bookmarkEnd w:id="177"/>
          </w:p>
          <w:p w14:paraId="59EEE614">
            <w:pPr>
              <w:keepNext w:val="0"/>
              <w:keepLines w:val="0"/>
              <w:suppressLineNumbers w:val="0"/>
              <w:spacing w:before="0" w:beforeAutospacing="0" w:after="0" w:afterAutospacing="0"/>
              <w:ind w:left="0" w:right="0" w:firstLine="480"/>
              <w:jc w:val="center"/>
              <w:rPr>
                <w:rFonts w:hint="eastAsia" w:ascii="宋体" w:hAnsi="宋体" w:eastAsia="宋体" w:cs="宋体"/>
                <w:b/>
                <w:bCs/>
              </w:rPr>
            </w:pPr>
            <w:r>
              <w:rPr>
                <w:rFonts w:hint="eastAsia" w:ascii="宋体" w:hAnsi="宋体" w:eastAsia="宋体" w:cs="宋体"/>
                <w:b/>
                <w:bCs/>
              </w:rPr>
              <w:t>表4-2</w:t>
            </w:r>
            <w:r>
              <w:rPr>
                <w:rFonts w:hint="eastAsia" w:ascii="宋体" w:hAnsi="宋体" w:eastAsia="宋体" w:cs="宋体"/>
                <w:b/>
                <w:bCs/>
                <w:lang w:val="en-US" w:eastAsia="zh-CN"/>
              </w:rPr>
              <w:t>4</w:t>
            </w:r>
            <w:r>
              <w:rPr>
                <w:rFonts w:hint="eastAsia" w:ascii="宋体" w:hAnsi="宋体" w:eastAsia="宋体" w:cs="宋体"/>
                <w:b/>
                <w:bCs/>
              </w:rPr>
              <w:t xml:space="preserve"> 一般固废暂存间的环境保护图形标志</w:t>
            </w:r>
          </w:p>
          <w:tbl>
            <w:tblPr>
              <w:tblStyle w:val="30"/>
              <w:tblW w:w="825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1"/>
              <w:gridCol w:w="1147"/>
              <w:gridCol w:w="1468"/>
              <w:gridCol w:w="1175"/>
              <w:gridCol w:w="1368"/>
              <w:gridCol w:w="1766"/>
            </w:tblGrid>
            <w:tr w14:paraId="266BF5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1" w:type="dxa"/>
                  <w:noWrap w:val="0"/>
                  <w:vAlign w:val="center"/>
                </w:tcPr>
                <w:p w14:paraId="0D44C989">
                  <w:pPr>
                    <w:pStyle w:val="13"/>
                    <w:keepNext w:val="0"/>
                    <w:keepLines w:val="0"/>
                    <w:suppressLineNumbers w:val="0"/>
                    <w:spacing w:before="0" w:beforeAutospacing="0" w:after="0" w:afterAutospacing="0" w:line="240" w:lineRule="auto"/>
                    <w:ind w:left="0" w:right="0" w:firstLine="0" w:firstLineChars="0"/>
                    <w:rPr>
                      <w:rFonts w:hint="eastAsia" w:ascii="宋体" w:hAnsi="宋体" w:eastAsia="宋体" w:cs="宋体"/>
                      <w:b/>
                      <w:szCs w:val="21"/>
                    </w:rPr>
                  </w:pPr>
                  <w:r>
                    <w:rPr>
                      <w:rFonts w:hint="eastAsia" w:ascii="宋体" w:hAnsi="宋体" w:eastAsia="宋体" w:cs="宋体"/>
                      <w:b/>
                      <w:szCs w:val="21"/>
                    </w:rPr>
                    <w:t>名称</w:t>
                  </w:r>
                </w:p>
              </w:tc>
              <w:tc>
                <w:tcPr>
                  <w:tcW w:w="1147" w:type="dxa"/>
                  <w:noWrap w:val="0"/>
                  <w:vAlign w:val="center"/>
                </w:tcPr>
                <w:p w14:paraId="56A053B4">
                  <w:pPr>
                    <w:pStyle w:val="13"/>
                    <w:keepNext w:val="0"/>
                    <w:keepLines w:val="0"/>
                    <w:suppressLineNumbers w:val="0"/>
                    <w:spacing w:before="0" w:beforeAutospacing="0" w:after="0" w:afterAutospacing="0" w:line="240" w:lineRule="auto"/>
                    <w:ind w:left="0" w:right="0" w:firstLine="0" w:firstLineChars="0"/>
                    <w:rPr>
                      <w:rFonts w:hint="eastAsia" w:ascii="宋体" w:hAnsi="宋体" w:eastAsia="宋体" w:cs="宋体"/>
                      <w:b/>
                      <w:szCs w:val="21"/>
                    </w:rPr>
                  </w:pPr>
                  <w:r>
                    <w:rPr>
                      <w:rFonts w:hint="eastAsia" w:ascii="宋体" w:hAnsi="宋体" w:eastAsia="宋体" w:cs="宋体"/>
                      <w:b/>
                      <w:szCs w:val="21"/>
                    </w:rPr>
                    <w:t>图形标志</w:t>
                  </w:r>
                </w:p>
              </w:tc>
              <w:tc>
                <w:tcPr>
                  <w:tcW w:w="1468" w:type="dxa"/>
                  <w:noWrap w:val="0"/>
                  <w:vAlign w:val="center"/>
                </w:tcPr>
                <w:p w14:paraId="69AB3EA1">
                  <w:pPr>
                    <w:pStyle w:val="13"/>
                    <w:keepNext w:val="0"/>
                    <w:keepLines w:val="0"/>
                    <w:suppressLineNumbers w:val="0"/>
                    <w:spacing w:before="0" w:beforeAutospacing="0" w:after="0" w:afterAutospacing="0" w:line="240" w:lineRule="auto"/>
                    <w:ind w:left="0" w:right="0" w:firstLine="0" w:firstLineChars="0"/>
                    <w:rPr>
                      <w:rFonts w:hint="eastAsia" w:ascii="宋体" w:hAnsi="宋体" w:eastAsia="宋体" w:cs="宋体"/>
                      <w:b/>
                      <w:szCs w:val="21"/>
                    </w:rPr>
                  </w:pPr>
                  <w:r>
                    <w:rPr>
                      <w:rFonts w:hint="eastAsia" w:ascii="宋体" w:hAnsi="宋体" w:eastAsia="宋体" w:cs="宋体"/>
                      <w:b/>
                      <w:szCs w:val="21"/>
                    </w:rPr>
                    <w:t>形状</w:t>
                  </w:r>
                </w:p>
              </w:tc>
              <w:tc>
                <w:tcPr>
                  <w:tcW w:w="1175" w:type="dxa"/>
                  <w:noWrap w:val="0"/>
                  <w:vAlign w:val="center"/>
                </w:tcPr>
                <w:p w14:paraId="2C566036">
                  <w:pPr>
                    <w:pStyle w:val="13"/>
                    <w:keepNext w:val="0"/>
                    <w:keepLines w:val="0"/>
                    <w:suppressLineNumbers w:val="0"/>
                    <w:spacing w:before="0" w:beforeAutospacing="0" w:after="0" w:afterAutospacing="0" w:line="240" w:lineRule="auto"/>
                    <w:ind w:left="0" w:right="0" w:firstLine="0" w:firstLineChars="0"/>
                    <w:rPr>
                      <w:rFonts w:hint="eastAsia" w:ascii="宋体" w:hAnsi="宋体" w:eastAsia="宋体" w:cs="宋体"/>
                      <w:b/>
                      <w:szCs w:val="21"/>
                    </w:rPr>
                  </w:pPr>
                  <w:r>
                    <w:rPr>
                      <w:rFonts w:hint="eastAsia" w:ascii="宋体" w:hAnsi="宋体" w:eastAsia="宋体" w:cs="宋体"/>
                      <w:b/>
                      <w:szCs w:val="21"/>
                    </w:rPr>
                    <w:t>背景颜色</w:t>
                  </w:r>
                </w:p>
              </w:tc>
              <w:tc>
                <w:tcPr>
                  <w:tcW w:w="1368" w:type="dxa"/>
                  <w:noWrap w:val="0"/>
                  <w:vAlign w:val="center"/>
                </w:tcPr>
                <w:p w14:paraId="57BD8C0E">
                  <w:pPr>
                    <w:pStyle w:val="13"/>
                    <w:keepNext w:val="0"/>
                    <w:keepLines w:val="0"/>
                    <w:suppressLineNumbers w:val="0"/>
                    <w:spacing w:before="0" w:beforeAutospacing="0" w:after="0" w:afterAutospacing="0" w:line="240" w:lineRule="auto"/>
                    <w:ind w:left="0" w:right="0" w:firstLine="0" w:firstLineChars="0"/>
                    <w:rPr>
                      <w:rFonts w:hint="eastAsia" w:ascii="宋体" w:hAnsi="宋体" w:eastAsia="宋体" w:cs="宋体"/>
                      <w:b/>
                      <w:szCs w:val="21"/>
                    </w:rPr>
                  </w:pPr>
                  <w:r>
                    <w:rPr>
                      <w:rFonts w:hint="eastAsia" w:ascii="宋体" w:hAnsi="宋体" w:eastAsia="宋体" w:cs="宋体"/>
                      <w:b/>
                      <w:szCs w:val="21"/>
                    </w:rPr>
                    <w:t>图形颜色</w:t>
                  </w:r>
                </w:p>
              </w:tc>
              <w:tc>
                <w:tcPr>
                  <w:tcW w:w="1766" w:type="dxa"/>
                  <w:noWrap w:val="0"/>
                  <w:vAlign w:val="center"/>
                </w:tcPr>
                <w:p w14:paraId="799BCBFF">
                  <w:pPr>
                    <w:pStyle w:val="13"/>
                    <w:keepNext w:val="0"/>
                    <w:keepLines w:val="0"/>
                    <w:suppressLineNumbers w:val="0"/>
                    <w:spacing w:before="0" w:beforeAutospacing="0" w:after="0" w:afterAutospacing="0" w:line="240" w:lineRule="auto"/>
                    <w:ind w:left="0" w:right="0" w:firstLine="0" w:firstLineChars="0"/>
                    <w:rPr>
                      <w:rFonts w:hint="eastAsia" w:ascii="宋体" w:hAnsi="宋体" w:eastAsia="宋体" w:cs="宋体"/>
                      <w:b/>
                      <w:szCs w:val="21"/>
                    </w:rPr>
                  </w:pPr>
                  <w:r>
                    <w:rPr>
                      <w:rFonts w:hint="eastAsia" w:ascii="宋体" w:hAnsi="宋体" w:eastAsia="宋体" w:cs="宋体"/>
                      <w:b/>
                      <w:szCs w:val="21"/>
                    </w:rPr>
                    <w:t>提示图形符号</w:t>
                  </w:r>
                </w:p>
              </w:tc>
            </w:tr>
            <w:tr w14:paraId="3B5F50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1" w:type="dxa"/>
                  <w:noWrap w:val="0"/>
                  <w:vAlign w:val="center"/>
                </w:tcPr>
                <w:p w14:paraId="74368D08">
                  <w:pPr>
                    <w:pStyle w:val="13"/>
                    <w:keepNext w:val="0"/>
                    <w:keepLines w:val="0"/>
                    <w:suppressLineNumbers w:val="0"/>
                    <w:spacing w:before="0" w:beforeAutospacing="0" w:after="0" w:afterAutospacing="0" w:line="240" w:lineRule="auto"/>
                    <w:ind w:left="0" w:right="0" w:firstLine="0" w:firstLineChars="0"/>
                    <w:rPr>
                      <w:rFonts w:hint="eastAsia" w:ascii="宋体" w:hAnsi="宋体" w:eastAsia="宋体" w:cs="宋体"/>
                      <w:bCs/>
                      <w:szCs w:val="21"/>
                    </w:rPr>
                  </w:pPr>
                  <w:r>
                    <w:rPr>
                      <w:rFonts w:hint="eastAsia" w:ascii="宋体" w:hAnsi="宋体" w:eastAsia="宋体" w:cs="宋体"/>
                      <w:bCs/>
                      <w:szCs w:val="21"/>
                    </w:rPr>
                    <w:t>一般固废</w:t>
                  </w:r>
                </w:p>
                <w:p w14:paraId="52A00E72">
                  <w:pPr>
                    <w:pStyle w:val="13"/>
                    <w:keepNext w:val="0"/>
                    <w:keepLines w:val="0"/>
                    <w:suppressLineNumbers w:val="0"/>
                    <w:spacing w:before="0" w:beforeAutospacing="0" w:after="0" w:afterAutospacing="0" w:line="240" w:lineRule="auto"/>
                    <w:ind w:left="0" w:right="0" w:firstLine="0" w:firstLineChars="0"/>
                    <w:rPr>
                      <w:rFonts w:hint="eastAsia" w:ascii="宋体" w:hAnsi="宋体" w:eastAsia="宋体" w:cs="宋体"/>
                      <w:bCs/>
                      <w:szCs w:val="21"/>
                    </w:rPr>
                  </w:pPr>
                  <w:r>
                    <w:rPr>
                      <w:rFonts w:hint="eastAsia" w:ascii="宋体" w:hAnsi="宋体" w:eastAsia="宋体" w:cs="宋体"/>
                      <w:bCs/>
                      <w:szCs w:val="21"/>
                    </w:rPr>
                    <w:t>暂堆场所</w:t>
                  </w:r>
                </w:p>
              </w:tc>
              <w:tc>
                <w:tcPr>
                  <w:tcW w:w="1147" w:type="dxa"/>
                  <w:noWrap w:val="0"/>
                  <w:vAlign w:val="center"/>
                </w:tcPr>
                <w:p w14:paraId="38F9AF41">
                  <w:pPr>
                    <w:pStyle w:val="13"/>
                    <w:keepNext w:val="0"/>
                    <w:keepLines w:val="0"/>
                    <w:suppressLineNumbers w:val="0"/>
                    <w:spacing w:before="0" w:beforeAutospacing="0" w:after="0" w:afterAutospacing="0" w:line="240" w:lineRule="auto"/>
                    <w:ind w:left="0" w:right="0" w:firstLine="0" w:firstLineChars="0"/>
                    <w:rPr>
                      <w:rFonts w:hint="eastAsia" w:ascii="宋体" w:hAnsi="宋体" w:eastAsia="宋体" w:cs="宋体"/>
                      <w:bCs/>
                      <w:szCs w:val="21"/>
                    </w:rPr>
                  </w:pPr>
                  <w:r>
                    <w:rPr>
                      <w:rFonts w:hint="eastAsia" w:ascii="宋体" w:hAnsi="宋体" w:eastAsia="宋体" w:cs="宋体"/>
                      <w:bCs/>
                      <w:szCs w:val="21"/>
                    </w:rPr>
                    <w:t>提示标志</w:t>
                  </w:r>
                </w:p>
              </w:tc>
              <w:tc>
                <w:tcPr>
                  <w:tcW w:w="1468" w:type="dxa"/>
                  <w:noWrap w:val="0"/>
                  <w:vAlign w:val="center"/>
                </w:tcPr>
                <w:p w14:paraId="67F91727">
                  <w:pPr>
                    <w:pStyle w:val="13"/>
                    <w:keepNext w:val="0"/>
                    <w:keepLines w:val="0"/>
                    <w:suppressLineNumbers w:val="0"/>
                    <w:spacing w:before="0" w:beforeAutospacing="0" w:after="0" w:afterAutospacing="0" w:line="240" w:lineRule="auto"/>
                    <w:ind w:left="0" w:right="0" w:firstLine="0" w:firstLineChars="0"/>
                    <w:rPr>
                      <w:rFonts w:hint="eastAsia" w:ascii="宋体" w:hAnsi="宋体" w:eastAsia="宋体" w:cs="宋体"/>
                      <w:bCs/>
                      <w:szCs w:val="21"/>
                    </w:rPr>
                  </w:pPr>
                  <w:r>
                    <w:rPr>
                      <w:rFonts w:hint="eastAsia" w:ascii="宋体" w:hAnsi="宋体" w:eastAsia="宋体" w:cs="宋体"/>
                      <w:bCs/>
                      <w:szCs w:val="21"/>
                    </w:rPr>
                    <w:t>正方形边框</w:t>
                  </w:r>
                </w:p>
              </w:tc>
              <w:tc>
                <w:tcPr>
                  <w:tcW w:w="1175" w:type="dxa"/>
                  <w:noWrap w:val="0"/>
                  <w:vAlign w:val="center"/>
                </w:tcPr>
                <w:p w14:paraId="22DD69A4">
                  <w:pPr>
                    <w:pStyle w:val="13"/>
                    <w:keepNext w:val="0"/>
                    <w:keepLines w:val="0"/>
                    <w:suppressLineNumbers w:val="0"/>
                    <w:spacing w:before="0" w:beforeAutospacing="0" w:after="0" w:afterAutospacing="0" w:line="240" w:lineRule="auto"/>
                    <w:ind w:left="0" w:right="0" w:firstLine="0" w:firstLineChars="0"/>
                    <w:rPr>
                      <w:rFonts w:hint="eastAsia" w:ascii="宋体" w:hAnsi="宋体" w:eastAsia="宋体" w:cs="宋体"/>
                      <w:bCs/>
                      <w:szCs w:val="21"/>
                    </w:rPr>
                  </w:pPr>
                  <w:r>
                    <w:rPr>
                      <w:rFonts w:hint="eastAsia" w:ascii="宋体" w:hAnsi="宋体" w:eastAsia="宋体" w:cs="宋体"/>
                      <w:bCs/>
                      <w:szCs w:val="21"/>
                    </w:rPr>
                    <w:t>绿色</w:t>
                  </w:r>
                </w:p>
              </w:tc>
              <w:tc>
                <w:tcPr>
                  <w:tcW w:w="1368" w:type="dxa"/>
                  <w:noWrap w:val="0"/>
                  <w:vAlign w:val="center"/>
                </w:tcPr>
                <w:p w14:paraId="2CABF40E">
                  <w:pPr>
                    <w:pStyle w:val="13"/>
                    <w:keepNext w:val="0"/>
                    <w:keepLines w:val="0"/>
                    <w:suppressLineNumbers w:val="0"/>
                    <w:spacing w:before="0" w:beforeAutospacing="0" w:after="0" w:afterAutospacing="0" w:line="240" w:lineRule="auto"/>
                    <w:ind w:left="0" w:right="0" w:firstLine="0" w:firstLineChars="0"/>
                    <w:rPr>
                      <w:rFonts w:hint="eastAsia" w:ascii="宋体" w:hAnsi="宋体" w:eastAsia="宋体" w:cs="宋体"/>
                      <w:bCs/>
                      <w:szCs w:val="21"/>
                    </w:rPr>
                  </w:pPr>
                  <w:r>
                    <w:rPr>
                      <w:rFonts w:hint="eastAsia" w:ascii="宋体" w:hAnsi="宋体" w:eastAsia="宋体" w:cs="宋体"/>
                      <w:bCs/>
                      <w:szCs w:val="21"/>
                    </w:rPr>
                    <w:t>白色</w:t>
                  </w:r>
                </w:p>
              </w:tc>
              <w:tc>
                <w:tcPr>
                  <w:tcW w:w="1766" w:type="dxa"/>
                  <w:noWrap w:val="0"/>
                  <w:vAlign w:val="top"/>
                </w:tcPr>
                <w:p w14:paraId="6DECA504">
                  <w:pPr>
                    <w:pStyle w:val="13"/>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Cs w:val="21"/>
                    </w:rPr>
                  </w:pPr>
                  <w:r>
                    <w:rPr>
                      <w:rFonts w:hint="eastAsia" w:ascii="宋体" w:hAnsi="宋体" w:eastAsia="宋体" w:cs="宋体"/>
                      <w:szCs w:val="21"/>
                    </w:rPr>
                    <w:drawing>
                      <wp:inline distT="0" distB="0" distL="114300" distR="114300">
                        <wp:extent cx="981075" cy="956945"/>
                        <wp:effectExtent l="0" t="0" r="0" b="0"/>
                        <wp:docPr id="1" name="图片 4" descr="一般固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一般固废"/>
                                <pic:cNvPicPr>
                                  <a:picLocks noChangeAspect="1"/>
                                </pic:cNvPicPr>
                              </pic:nvPicPr>
                              <pic:blipFill>
                                <a:blip r:embed="rId25"/>
                                <a:stretch>
                                  <a:fillRect/>
                                </a:stretch>
                              </pic:blipFill>
                              <pic:spPr>
                                <a:xfrm>
                                  <a:off x="0" y="0"/>
                                  <a:ext cx="981075" cy="956945"/>
                                </a:xfrm>
                                <a:prstGeom prst="rect">
                                  <a:avLst/>
                                </a:prstGeom>
                                <a:noFill/>
                                <a:ln>
                                  <a:noFill/>
                                </a:ln>
                              </pic:spPr>
                            </pic:pic>
                          </a:graphicData>
                        </a:graphic>
                      </wp:inline>
                    </w:drawing>
                  </w:r>
                </w:p>
              </w:tc>
            </w:tr>
          </w:tbl>
          <w:p w14:paraId="071ACE82">
            <w:pPr>
              <w:keepNext w:val="0"/>
              <w:keepLines w:val="0"/>
              <w:suppressLineNumbers w:val="0"/>
              <w:spacing w:before="0" w:beforeAutospacing="0" w:after="0" w:afterAutospacing="0"/>
              <w:ind w:left="0" w:right="0" w:firstLine="480"/>
              <w:jc w:val="center"/>
              <w:rPr>
                <w:rFonts w:hint="eastAsia" w:ascii="宋体" w:hAnsi="宋体" w:eastAsia="宋体" w:cs="宋体"/>
                <w:b/>
                <w:bCs/>
              </w:rPr>
            </w:pPr>
          </w:p>
          <w:p w14:paraId="4DBB516C">
            <w:pPr>
              <w:keepNext w:val="0"/>
              <w:keepLines w:val="0"/>
              <w:suppressLineNumbers w:val="0"/>
              <w:spacing w:before="0" w:beforeAutospacing="0" w:after="0" w:afterAutospacing="0"/>
              <w:ind w:left="0" w:right="0" w:firstLine="480"/>
              <w:jc w:val="center"/>
              <w:rPr>
                <w:rFonts w:hint="eastAsia" w:ascii="宋体" w:hAnsi="宋体" w:eastAsia="宋体" w:cs="宋体"/>
                <w:b/>
                <w:bCs/>
              </w:rPr>
            </w:pPr>
            <w:r>
              <w:rPr>
                <w:rFonts w:hint="eastAsia" w:ascii="宋体" w:hAnsi="宋体" w:eastAsia="宋体" w:cs="宋体"/>
                <w:b/>
                <w:bCs/>
              </w:rPr>
              <w:t>表4-2</w:t>
            </w:r>
            <w:r>
              <w:rPr>
                <w:rFonts w:hint="eastAsia" w:ascii="宋体" w:hAnsi="宋体" w:eastAsia="宋体" w:cs="宋体"/>
                <w:b/>
                <w:bCs/>
                <w:lang w:val="en-US" w:eastAsia="zh-CN"/>
              </w:rPr>
              <w:t>5</w:t>
            </w:r>
            <w:r>
              <w:rPr>
                <w:rFonts w:hint="eastAsia" w:ascii="宋体" w:hAnsi="宋体" w:eastAsia="宋体" w:cs="宋体"/>
                <w:b/>
                <w:bCs/>
              </w:rPr>
              <w:t xml:space="preserve"> 危险固废暂存间的环境保护图形标志</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09"/>
              <w:gridCol w:w="1196"/>
              <w:gridCol w:w="771"/>
              <w:gridCol w:w="970"/>
              <w:gridCol w:w="1267"/>
              <w:gridCol w:w="2667"/>
            </w:tblGrid>
            <w:tr w14:paraId="19AA91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48" w:type="pct"/>
                  <w:tcBorders>
                    <w:tl2br w:val="nil"/>
                    <w:tr2bl w:val="nil"/>
                  </w:tcBorders>
                  <w:vAlign w:val="center"/>
                </w:tcPr>
                <w:p w14:paraId="6697AED2">
                  <w:pPr>
                    <w:pStyle w:val="5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eastAsia" w:ascii="宋体" w:hAnsi="宋体" w:eastAsia="宋体" w:cs="宋体"/>
                      <w:sz w:val="21"/>
                      <w:szCs w:val="21"/>
                      <w:lang w:val="zh-CN"/>
                    </w:rPr>
                  </w:pPr>
                  <w:bookmarkStart w:id="178" w:name="_Hlk523475998"/>
                  <w:r>
                    <w:rPr>
                      <w:rFonts w:hint="eastAsia" w:ascii="宋体" w:hAnsi="宋体" w:eastAsia="宋体" w:cs="宋体"/>
                      <w:sz w:val="21"/>
                      <w:szCs w:val="21"/>
                    </w:rPr>
                    <w:t>排放口名称</w:t>
                  </w:r>
                </w:p>
              </w:tc>
              <w:tc>
                <w:tcPr>
                  <w:tcW w:w="740" w:type="pct"/>
                  <w:tcBorders>
                    <w:tl2br w:val="nil"/>
                    <w:tr2bl w:val="nil"/>
                  </w:tcBorders>
                  <w:vAlign w:val="center"/>
                </w:tcPr>
                <w:p w14:paraId="0492C4D3">
                  <w:pPr>
                    <w:pStyle w:val="5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eastAsia" w:ascii="宋体" w:hAnsi="宋体" w:eastAsia="宋体" w:cs="宋体"/>
                      <w:sz w:val="21"/>
                      <w:szCs w:val="21"/>
                      <w:lang w:val="zh-CN"/>
                    </w:rPr>
                  </w:pPr>
                  <w:r>
                    <w:rPr>
                      <w:rFonts w:hint="eastAsia" w:ascii="宋体" w:hAnsi="宋体" w:eastAsia="宋体" w:cs="宋体"/>
                      <w:sz w:val="21"/>
                      <w:szCs w:val="21"/>
                    </w:rPr>
                    <w:t>图形标志</w:t>
                  </w:r>
                </w:p>
              </w:tc>
              <w:tc>
                <w:tcPr>
                  <w:tcW w:w="477" w:type="pct"/>
                  <w:tcBorders>
                    <w:tl2br w:val="nil"/>
                    <w:tr2bl w:val="nil"/>
                  </w:tcBorders>
                  <w:vAlign w:val="center"/>
                </w:tcPr>
                <w:p w14:paraId="7201372A">
                  <w:pPr>
                    <w:pStyle w:val="5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eastAsia" w:ascii="宋体" w:hAnsi="宋体" w:eastAsia="宋体" w:cs="宋体"/>
                      <w:sz w:val="21"/>
                      <w:szCs w:val="21"/>
                      <w:lang w:val="zh-CN"/>
                    </w:rPr>
                  </w:pPr>
                  <w:r>
                    <w:rPr>
                      <w:rFonts w:hint="eastAsia" w:ascii="宋体" w:hAnsi="宋体" w:eastAsia="宋体" w:cs="宋体"/>
                      <w:sz w:val="21"/>
                      <w:szCs w:val="21"/>
                    </w:rPr>
                    <w:t>形状</w:t>
                  </w:r>
                </w:p>
              </w:tc>
              <w:tc>
                <w:tcPr>
                  <w:tcW w:w="600" w:type="pct"/>
                  <w:tcBorders>
                    <w:tl2br w:val="nil"/>
                    <w:tr2bl w:val="nil"/>
                  </w:tcBorders>
                  <w:vAlign w:val="center"/>
                </w:tcPr>
                <w:p w14:paraId="7C948B55">
                  <w:pPr>
                    <w:pStyle w:val="5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eastAsia" w:ascii="宋体" w:hAnsi="宋体" w:eastAsia="宋体" w:cs="宋体"/>
                      <w:sz w:val="21"/>
                      <w:szCs w:val="21"/>
                      <w:lang w:val="zh-CN"/>
                    </w:rPr>
                  </w:pPr>
                  <w:r>
                    <w:rPr>
                      <w:rFonts w:hint="eastAsia" w:ascii="宋体" w:hAnsi="宋体" w:eastAsia="宋体" w:cs="宋体"/>
                      <w:sz w:val="21"/>
                      <w:szCs w:val="21"/>
                    </w:rPr>
                    <w:t>背景颜色</w:t>
                  </w:r>
                </w:p>
              </w:tc>
              <w:tc>
                <w:tcPr>
                  <w:tcW w:w="784" w:type="pct"/>
                  <w:tcBorders>
                    <w:tl2br w:val="nil"/>
                    <w:tr2bl w:val="nil"/>
                  </w:tcBorders>
                  <w:vAlign w:val="center"/>
                </w:tcPr>
                <w:p w14:paraId="2F65A86A">
                  <w:pPr>
                    <w:pStyle w:val="5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eastAsia" w:ascii="宋体" w:hAnsi="宋体" w:eastAsia="宋体" w:cs="宋体"/>
                      <w:sz w:val="21"/>
                      <w:szCs w:val="21"/>
                      <w:lang w:val="zh-CN"/>
                    </w:rPr>
                  </w:pPr>
                  <w:r>
                    <w:rPr>
                      <w:rFonts w:hint="eastAsia" w:ascii="宋体" w:hAnsi="宋体" w:eastAsia="宋体" w:cs="宋体"/>
                      <w:sz w:val="21"/>
                      <w:szCs w:val="21"/>
                    </w:rPr>
                    <w:t>图形颜色</w:t>
                  </w:r>
                </w:p>
              </w:tc>
              <w:tc>
                <w:tcPr>
                  <w:tcW w:w="1649" w:type="pct"/>
                  <w:tcBorders>
                    <w:tl2br w:val="nil"/>
                    <w:tr2bl w:val="nil"/>
                  </w:tcBorders>
                  <w:vAlign w:val="center"/>
                </w:tcPr>
                <w:p w14:paraId="4CE91D94">
                  <w:pPr>
                    <w:pStyle w:val="5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eastAsia" w:ascii="宋体" w:hAnsi="宋体" w:eastAsia="宋体" w:cs="宋体"/>
                      <w:sz w:val="21"/>
                      <w:szCs w:val="21"/>
                      <w:lang w:val="zh-CN"/>
                    </w:rPr>
                  </w:pPr>
                  <w:r>
                    <w:rPr>
                      <w:rFonts w:hint="eastAsia" w:ascii="宋体" w:hAnsi="宋体" w:eastAsia="宋体" w:cs="宋体"/>
                      <w:sz w:val="21"/>
                      <w:szCs w:val="21"/>
                    </w:rPr>
                    <w:t>图形标志</w:t>
                  </w:r>
                </w:p>
              </w:tc>
            </w:tr>
            <w:tr w14:paraId="7F4B84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72" w:hRule="atLeast"/>
                <w:jc w:val="center"/>
              </w:trPr>
              <w:tc>
                <w:tcPr>
                  <w:tcW w:w="748" w:type="pct"/>
                  <w:vMerge w:val="restart"/>
                  <w:tcBorders>
                    <w:tl2br w:val="nil"/>
                    <w:tr2bl w:val="nil"/>
                  </w:tcBorders>
                  <w:vAlign w:val="center"/>
                </w:tcPr>
                <w:p w14:paraId="3C9DBADB">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危险废物暂存场所</w:t>
                  </w:r>
                </w:p>
              </w:tc>
              <w:tc>
                <w:tcPr>
                  <w:tcW w:w="740" w:type="pct"/>
                  <w:tcBorders>
                    <w:tl2br w:val="nil"/>
                    <w:tr2bl w:val="nil"/>
                  </w:tcBorders>
                  <w:vAlign w:val="center"/>
                </w:tcPr>
                <w:p w14:paraId="188F5060">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危险废物贮存分区标志</w:t>
                  </w:r>
                </w:p>
              </w:tc>
              <w:tc>
                <w:tcPr>
                  <w:tcW w:w="477" w:type="pct"/>
                  <w:tcBorders>
                    <w:tl2br w:val="nil"/>
                    <w:tr2bl w:val="nil"/>
                  </w:tcBorders>
                  <w:vAlign w:val="center"/>
                </w:tcPr>
                <w:p w14:paraId="767900BF">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正方形边框</w:t>
                  </w:r>
                </w:p>
              </w:tc>
              <w:tc>
                <w:tcPr>
                  <w:tcW w:w="600" w:type="pct"/>
                  <w:tcBorders>
                    <w:tl2br w:val="nil"/>
                    <w:tr2bl w:val="nil"/>
                  </w:tcBorders>
                  <w:vAlign w:val="center"/>
                </w:tcPr>
                <w:p w14:paraId="1CE43173">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黄色</w:t>
                  </w:r>
                </w:p>
              </w:tc>
              <w:tc>
                <w:tcPr>
                  <w:tcW w:w="784" w:type="pct"/>
                  <w:tcBorders>
                    <w:tl2br w:val="nil"/>
                    <w:tr2bl w:val="nil"/>
                  </w:tcBorders>
                  <w:vAlign w:val="center"/>
                </w:tcPr>
                <w:p w14:paraId="23355567">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橙色</w:t>
                  </w:r>
                </w:p>
              </w:tc>
              <w:tc>
                <w:tcPr>
                  <w:tcW w:w="1649" w:type="pct"/>
                  <w:tcBorders>
                    <w:tl2br w:val="nil"/>
                    <w:tr2bl w:val="nil"/>
                  </w:tcBorders>
                  <w:vAlign w:val="center"/>
                </w:tcPr>
                <w:p w14:paraId="366A25E7">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796290" cy="667385"/>
                        <wp:effectExtent l="0" t="0" r="3810" b="18415"/>
                        <wp:docPr id="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pic:cNvPicPr>
                                  <a:picLocks noChangeAspect="1"/>
                                </pic:cNvPicPr>
                              </pic:nvPicPr>
                              <pic:blipFill>
                                <a:blip r:embed="rId26" cstate="print"/>
                                <a:stretch>
                                  <a:fillRect/>
                                </a:stretch>
                              </pic:blipFill>
                              <pic:spPr>
                                <a:xfrm>
                                  <a:off x="0" y="0"/>
                                  <a:ext cx="796290" cy="667385"/>
                                </a:xfrm>
                                <a:prstGeom prst="rect">
                                  <a:avLst/>
                                </a:prstGeom>
                                <a:noFill/>
                                <a:ln>
                                  <a:noFill/>
                                </a:ln>
                              </pic:spPr>
                            </pic:pic>
                          </a:graphicData>
                        </a:graphic>
                      </wp:inline>
                    </w:drawing>
                  </w:r>
                </w:p>
              </w:tc>
            </w:tr>
            <w:tr w14:paraId="6203A5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748" w:type="pct"/>
                  <w:vMerge w:val="continue"/>
                  <w:tcBorders>
                    <w:tl2br w:val="nil"/>
                    <w:tr2bl w:val="nil"/>
                  </w:tcBorders>
                  <w:vAlign w:val="center"/>
                </w:tcPr>
                <w:p w14:paraId="28735D0A">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textAlignment w:val="auto"/>
                    <w:rPr>
                      <w:rFonts w:hint="eastAsia" w:ascii="宋体" w:hAnsi="宋体" w:eastAsia="宋体" w:cs="宋体"/>
                      <w:sz w:val="21"/>
                      <w:szCs w:val="21"/>
                    </w:rPr>
                  </w:pPr>
                </w:p>
              </w:tc>
              <w:tc>
                <w:tcPr>
                  <w:tcW w:w="740" w:type="pct"/>
                  <w:tcBorders>
                    <w:tl2br w:val="nil"/>
                    <w:tr2bl w:val="nil"/>
                  </w:tcBorders>
                  <w:vAlign w:val="center"/>
                </w:tcPr>
                <w:p w14:paraId="0627BCE0">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贮存设施标志</w:t>
                  </w:r>
                </w:p>
              </w:tc>
              <w:tc>
                <w:tcPr>
                  <w:tcW w:w="477" w:type="pct"/>
                  <w:tcBorders>
                    <w:tl2br w:val="nil"/>
                    <w:tr2bl w:val="nil"/>
                  </w:tcBorders>
                  <w:vAlign w:val="center"/>
                </w:tcPr>
                <w:p w14:paraId="17CE4014">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textAlignment w:val="auto"/>
                    <w:rPr>
                      <w:rFonts w:hint="eastAsia" w:ascii="宋体" w:hAnsi="宋体" w:eastAsia="宋体" w:cs="宋体"/>
                      <w:sz w:val="21"/>
                      <w:szCs w:val="21"/>
                      <w:lang w:val="zh-CN"/>
                    </w:rPr>
                  </w:pPr>
                  <w:r>
                    <w:rPr>
                      <w:rFonts w:hint="eastAsia" w:ascii="宋体" w:hAnsi="宋体" w:eastAsia="宋体" w:cs="宋体"/>
                      <w:sz w:val="21"/>
                      <w:szCs w:val="21"/>
                    </w:rPr>
                    <w:t>长方形边框</w:t>
                  </w:r>
                </w:p>
              </w:tc>
              <w:tc>
                <w:tcPr>
                  <w:tcW w:w="600" w:type="pct"/>
                  <w:tcBorders>
                    <w:tl2br w:val="nil"/>
                    <w:tr2bl w:val="nil"/>
                  </w:tcBorders>
                  <w:vAlign w:val="center"/>
                </w:tcPr>
                <w:p w14:paraId="17BDCE14">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textAlignment w:val="auto"/>
                    <w:rPr>
                      <w:rFonts w:hint="eastAsia" w:ascii="宋体" w:hAnsi="宋体" w:eastAsia="宋体" w:cs="宋体"/>
                      <w:sz w:val="21"/>
                      <w:szCs w:val="21"/>
                      <w:lang w:val="zh-CN"/>
                    </w:rPr>
                  </w:pPr>
                  <w:r>
                    <w:rPr>
                      <w:rFonts w:hint="eastAsia" w:ascii="宋体" w:hAnsi="宋体" w:eastAsia="宋体" w:cs="宋体"/>
                      <w:sz w:val="21"/>
                      <w:szCs w:val="21"/>
                    </w:rPr>
                    <w:t>黄色</w:t>
                  </w:r>
                </w:p>
              </w:tc>
              <w:tc>
                <w:tcPr>
                  <w:tcW w:w="784" w:type="pct"/>
                  <w:tcBorders>
                    <w:tl2br w:val="nil"/>
                    <w:tr2bl w:val="nil"/>
                  </w:tcBorders>
                  <w:vAlign w:val="center"/>
                </w:tcPr>
                <w:p w14:paraId="275FEE34">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textAlignment w:val="auto"/>
                    <w:rPr>
                      <w:rFonts w:hint="eastAsia" w:ascii="宋体" w:hAnsi="宋体" w:eastAsia="宋体" w:cs="宋体"/>
                      <w:sz w:val="21"/>
                      <w:szCs w:val="21"/>
                      <w:lang w:val="zh-CN"/>
                    </w:rPr>
                  </w:pPr>
                  <w:r>
                    <w:rPr>
                      <w:rFonts w:hint="eastAsia" w:ascii="宋体" w:hAnsi="宋体" w:eastAsia="宋体" w:cs="宋体"/>
                      <w:sz w:val="21"/>
                      <w:szCs w:val="21"/>
                    </w:rPr>
                    <w:t>黑色</w:t>
                  </w:r>
                </w:p>
              </w:tc>
              <w:tc>
                <w:tcPr>
                  <w:tcW w:w="1649" w:type="pct"/>
                  <w:tcBorders>
                    <w:tl2br w:val="nil"/>
                    <w:tr2bl w:val="nil"/>
                  </w:tcBorders>
                  <w:vAlign w:val="center"/>
                </w:tcPr>
                <w:p w14:paraId="36B28C0F">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textAlignment w:val="auto"/>
                    <w:rPr>
                      <w:rFonts w:hint="eastAsia" w:ascii="宋体" w:hAnsi="宋体" w:eastAsia="宋体" w:cs="宋体"/>
                      <w:sz w:val="21"/>
                      <w:szCs w:val="21"/>
                      <w:lang w:val="zh-CN"/>
                    </w:rPr>
                  </w:pPr>
                  <w:r>
                    <w:rPr>
                      <w:rFonts w:hint="eastAsia" w:ascii="宋体" w:hAnsi="宋体" w:eastAsia="宋体" w:cs="宋体"/>
                      <w:sz w:val="21"/>
                      <w:szCs w:val="21"/>
                    </w:rPr>
                    <w:drawing>
                      <wp:inline distT="0" distB="0" distL="114300" distR="114300">
                        <wp:extent cx="1320800" cy="833755"/>
                        <wp:effectExtent l="0" t="0" r="12700" b="4445"/>
                        <wp:docPr id="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pic:cNvPicPr>
                                  <a:picLocks noChangeAspect="1"/>
                                </pic:cNvPicPr>
                              </pic:nvPicPr>
                              <pic:blipFill>
                                <a:blip r:embed="rId27" cstate="print"/>
                                <a:stretch>
                                  <a:fillRect/>
                                </a:stretch>
                              </pic:blipFill>
                              <pic:spPr>
                                <a:xfrm>
                                  <a:off x="0" y="0"/>
                                  <a:ext cx="1320800" cy="833755"/>
                                </a:xfrm>
                                <a:prstGeom prst="rect">
                                  <a:avLst/>
                                </a:prstGeom>
                                <a:noFill/>
                                <a:ln>
                                  <a:noFill/>
                                </a:ln>
                              </pic:spPr>
                            </pic:pic>
                          </a:graphicData>
                        </a:graphic>
                      </wp:inline>
                    </w:drawing>
                  </w:r>
                </w:p>
              </w:tc>
            </w:tr>
            <w:tr w14:paraId="48DC2C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48" w:type="pct"/>
                  <w:vMerge w:val="continue"/>
                  <w:tcBorders>
                    <w:tl2br w:val="nil"/>
                    <w:tr2bl w:val="nil"/>
                  </w:tcBorders>
                  <w:vAlign w:val="center"/>
                </w:tcPr>
                <w:p w14:paraId="6662B9CB">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textAlignment w:val="auto"/>
                    <w:rPr>
                      <w:rFonts w:hint="eastAsia" w:ascii="宋体" w:hAnsi="宋体" w:eastAsia="宋体" w:cs="宋体"/>
                      <w:sz w:val="21"/>
                      <w:szCs w:val="21"/>
                    </w:rPr>
                  </w:pPr>
                </w:p>
              </w:tc>
              <w:tc>
                <w:tcPr>
                  <w:tcW w:w="740" w:type="pct"/>
                  <w:tcBorders>
                    <w:tl2br w:val="nil"/>
                    <w:tr2bl w:val="nil"/>
                  </w:tcBorders>
                  <w:vAlign w:val="center"/>
                </w:tcPr>
                <w:p w14:paraId="50A2139E">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包装识别标签</w:t>
                  </w:r>
                </w:p>
              </w:tc>
              <w:tc>
                <w:tcPr>
                  <w:tcW w:w="477" w:type="pct"/>
                  <w:tcBorders>
                    <w:tl2br w:val="nil"/>
                    <w:tr2bl w:val="nil"/>
                  </w:tcBorders>
                  <w:vAlign w:val="center"/>
                </w:tcPr>
                <w:p w14:paraId="1A85CF77">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w:t>
                  </w:r>
                </w:p>
              </w:tc>
              <w:tc>
                <w:tcPr>
                  <w:tcW w:w="600" w:type="pct"/>
                  <w:tcBorders>
                    <w:tl2br w:val="nil"/>
                    <w:tr2bl w:val="nil"/>
                  </w:tcBorders>
                  <w:vAlign w:val="center"/>
                </w:tcPr>
                <w:p w14:paraId="4FA826CE">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橘黄色</w:t>
                  </w:r>
                </w:p>
              </w:tc>
              <w:tc>
                <w:tcPr>
                  <w:tcW w:w="784" w:type="pct"/>
                  <w:tcBorders>
                    <w:tl2br w:val="nil"/>
                    <w:tr2bl w:val="nil"/>
                  </w:tcBorders>
                  <w:vAlign w:val="center"/>
                </w:tcPr>
                <w:p w14:paraId="484D979F">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黑色</w:t>
                  </w:r>
                </w:p>
              </w:tc>
              <w:tc>
                <w:tcPr>
                  <w:tcW w:w="1649" w:type="pct"/>
                  <w:tcBorders>
                    <w:tl2br w:val="nil"/>
                    <w:tr2bl w:val="nil"/>
                  </w:tcBorders>
                  <w:vAlign w:val="center"/>
                </w:tcPr>
                <w:p w14:paraId="7E277563">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843915" cy="843915"/>
                        <wp:effectExtent l="0" t="0" r="13335" b="13335"/>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pic:cNvPicPr>
                              </pic:nvPicPr>
                              <pic:blipFill>
                                <a:blip r:embed="rId28" cstate="print"/>
                                <a:stretch>
                                  <a:fillRect/>
                                </a:stretch>
                              </pic:blipFill>
                              <pic:spPr>
                                <a:xfrm>
                                  <a:off x="0" y="0"/>
                                  <a:ext cx="843915" cy="843915"/>
                                </a:xfrm>
                                <a:prstGeom prst="rect">
                                  <a:avLst/>
                                </a:prstGeom>
                                <a:noFill/>
                                <a:ln>
                                  <a:noFill/>
                                </a:ln>
                              </pic:spPr>
                            </pic:pic>
                          </a:graphicData>
                        </a:graphic>
                      </wp:inline>
                    </w:drawing>
                  </w:r>
                </w:p>
              </w:tc>
            </w:tr>
            <w:tr w14:paraId="0044FA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04" w:hRule="atLeast"/>
                <w:jc w:val="center"/>
              </w:trPr>
              <w:tc>
                <w:tcPr>
                  <w:tcW w:w="748" w:type="pct"/>
                  <w:vMerge w:val="continue"/>
                  <w:tcBorders>
                    <w:tl2br w:val="nil"/>
                    <w:tr2bl w:val="nil"/>
                  </w:tcBorders>
                  <w:vAlign w:val="center"/>
                </w:tcPr>
                <w:p w14:paraId="5D5F26D6">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textAlignment w:val="auto"/>
                    <w:rPr>
                      <w:rFonts w:hint="eastAsia" w:ascii="宋体" w:hAnsi="宋体" w:eastAsia="宋体" w:cs="宋体"/>
                      <w:sz w:val="21"/>
                      <w:szCs w:val="21"/>
                    </w:rPr>
                  </w:pPr>
                </w:p>
              </w:tc>
              <w:tc>
                <w:tcPr>
                  <w:tcW w:w="740" w:type="pct"/>
                  <w:tcBorders>
                    <w:tl2br w:val="nil"/>
                    <w:tr2bl w:val="nil"/>
                  </w:tcBorders>
                  <w:vAlign w:val="center"/>
                </w:tcPr>
                <w:p w14:paraId="502439D2">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危险特性警示图形</w:t>
                  </w:r>
                </w:p>
              </w:tc>
              <w:tc>
                <w:tcPr>
                  <w:tcW w:w="477" w:type="pct"/>
                  <w:tcBorders>
                    <w:tl2br w:val="nil"/>
                    <w:tr2bl w:val="nil"/>
                  </w:tcBorders>
                  <w:vAlign w:val="center"/>
                </w:tcPr>
                <w:p w14:paraId="68914FDE">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w:t>
                  </w:r>
                </w:p>
              </w:tc>
              <w:tc>
                <w:tcPr>
                  <w:tcW w:w="600" w:type="pct"/>
                  <w:tcBorders>
                    <w:tl2br w:val="nil"/>
                    <w:tr2bl w:val="nil"/>
                  </w:tcBorders>
                  <w:vAlign w:val="center"/>
                </w:tcPr>
                <w:p w14:paraId="7E9664CC">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见图</w:t>
                  </w:r>
                </w:p>
              </w:tc>
              <w:tc>
                <w:tcPr>
                  <w:tcW w:w="784" w:type="pct"/>
                  <w:tcBorders>
                    <w:tl2br w:val="nil"/>
                    <w:tr2bl w:val="nil"/>
                  </w:tcBorders>
                  <w:vAlign w:val="center"/>
                </w:tcPr>
                <w:p w14:paraId="618541C6">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见图</w:t>
                  </w:r>
                </w:p>
              </w:tc>
              <w:tc>
                <w:tcPr>
                  <w:tcW w:w="1649" w:type="pct"/>
                  <w:tcBorders>
                    <w:tl2br w:val="nil"/>
                    <w:tr2bl w:val="nil"/>
                  </w:tcBorders>
                  <w:vAlign w:val="center"/>
                </w:tcPr>
                <w:p w14:paraId="4A83E8EB">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85470" cy="593090"/>
                        <wp:effectExtent l="0" t="0" r="5080" b="1651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9" cstate="print"/>
                                <a:stretch>
                                  <a:fillRect/>
                                </a:stretch>
                              </pic:blipFill>
                              <pic:spPr>
                                <a:xfrm>
                                  <a:off x="0" y="0"/>
                                  <a:ext cx="585470" cy="593090"/>
                                </a:xfrm>
                                <a:prstGeom prst="rect">
                                  <a:avLst/>
                                </a:prstGeom>
                                <a:noFill/>
                                <a:ln>
                                  <a:noFill/>
                                </a:ln>
                              </pic:spPr>
                            </pic:pic>
                          </a:graphicData>
                        </a:graphic>
                      </wp:inline>
                    </w:drawing>
                  </w:r>
                  <w:r>
                    <w:rPr>
                      <w:rFonts w:hint="eastAsia" w:ascii="宋体" w:hAnsi="宋体" w:eastAsia="宋体" w:cs="宋体"/>
                      <w:sz w:val="21"/>
                      <w:szCs w:val="21"/>
                    </w:rPr>
                    <w:drawing>
                      <wp:inline distT="0" distB="0" distL="114300" distR="114300">
                        <wp:extent cx="619760" cy="603250"/>
                        <wp:effectExtent l="0" t="0" r="8890" b="635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30" cstate="print"/>
                                <a:stretch>
                                  <a:fillRect/>
                                </a:stretch>
                              </pic:blipFill>
                              <pic:spPr>
                                <a:xfrm>
                                  <a:off x="0" y="0"/>
                                  <a:ext cx="619760" cy="603250"/>
                                </a:xfrm>
                                <a:prstGeom prst="rect">
                                  <a:avLst/>
                                </a:prstGeom>
                                <a:noFill/>
                                <a:ln>
                                  <a:noFill/>
                                </a:ln>
                              </pic:spPr>
                            </pic:pic>
                          </a:graphicData>
                        </a:graphic>
                      </wp:inline>
                    </w:drawing>
                  </w:r>
                  <w:r>
                    <w:rPr>
                      <w:rFonts w:hint="eastAsia" w:ascii="宋体" w:hAnsi="宋体" w:eastAsia="宋体" w:cs="宋体"/>
                      <w:sz w:val="21"/>
                      <w:szCs w:val="21"/>
                    </w:rPr>
                    <w:drawing>
                      <wp:inline distT="0" distB="0" distL="114300" distR="114300">
                        <wp:extent cx="626110" cy="586740"/>
                        <wp:effectExtent l="0" t="0" r="2540" b="381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31" cstate="print"/>
                                <a:stretch>
                                  <a:fillRect/>
                                </a:stretch>
                              </pic:blipFill>
                              <pic:spPr>
                                <a:xfrm>
                                  <a:off x="0" y="0"/>
                                  <a:ext cx="626110" cy="586740"/>
                                </a:xfrm>
                                <a:prstGeom prst="rect">
                                  <a:avLst/>
                                </a:prstGeom>
                                <a:noFill/>
                                <a:ln>
                                  <a:noFill/>
                                </a:ln>
                              </pic:spPr>
                            </pic:pic>
                          </a:graphicData>
                        </a:graphic>
                      </wp:inline>
                    </w:drawing>
                  </w:r>
                  <w:r>
                    <w:rPr>
                      <w:rFonts w:hint="eastAsia" w:ascii="宋体" w:hAnsi="宋体" w:eastAsia="宋体" w:cs="宋体"/>
                      <w:sz w:val="21"/>
                      <w:szCs w:val="21"/>
                    </w:rPr>
                    <w:drawing>
                      <wp:inline distT="0" distB="0" distL="114300" distR="114300">
                        <wp:extent cx="577850" cy="576580"/>
                        <wp:effectExtent l="0" t="0" r="12700" b="1397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32" cstate="print"/>
                                <a:stretch>
                                  <a:fillRect/>
                                </a:stretch>
                              </pic:blipFill>
                              <pic:spPr>
                                <a:xfrm>
                                  <a:off x="0" y="0"/>
                                  <a:ext cx="577850" cy="576580"/>
                                </a:xfrm>
                                <a:prstGeom prst="rect">
                                  <a:avLst/>
                                </a:prstGeom>
                                <a:noFill/>
                                <a:ln>
                                  <a:noFill/>
                                </a:ln>
                              </pic:spPr>
                            </pic:pic>
                          </a:graphicData>
                        </a:graphic>
                      </wp:inline>
                    </w:drawing>
                  </w:r>
                </w:p>
              </w:tc>
            </w:tr>
          </w:tbl>
          <w:p w14:paraId="389DAEA9">
            <w:pPr>
              <w:pStyle w:val="75"/>
              <w:keepNext w:val="0"/>
              <w:keepLines w:val="0"/>
              <w:suppressLineNumbers w:val="0"/>
              <w:spacing w:before="0" w:beforeAutospacing="0" w:after="0" w:afterAutospacing="0"/>
              <w:ind w:left="0" w:right="0" w:firstLine="480"/>
              <w:jc w:val="center"/>
              <w:rPr>
                <w:rFonts w:hint="eastAsia" w:ascii="宋体" w:hAnsi="宋体" w:eastAsia="宋体" w:cs="宋体"/>
              </w:rPr>
            </w:pPr>
            <w:r>
              <w:rPr>
                <w:rFonts w:hint="eastAsia" w:ascii="宋体" w:hAnsi="宋体" w:eastAsia="宋体" w:cs="宋体"/>
              </w:rPr>
              <w:t>采取以上防治措施后，危险废物贮存场所（设施）对周围环境影响较小。</w:t>
            </w:r>
            <w:bookmarkEnd w:id="178"/>
          </w:p>
          <w:p w14:paraId="76DE121A">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kern w:val="10"/>
              </w:rPr>
            </w:pPr>
            <w:r>
              <w:rPr>
                <w:rFonts w:hint="eastAsia" w:ascii="宋体" w:hAnsi="宋体" w:eastAsia="宋体" w:cs="宋体"/>
                <w:kern w:val="10"/>
              </w:rPr>
              <w:t>⑶运输过程影响分析</w:t>
            </w:r>
          </w:p>
          <w:p w14:paraId="30D8263E">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kern w:val="10"/>
              </w:rPr>
            </w:pPr>
            <w:r>
              <w:rPr>
                <w:rFonts w:hint="eastAsia" w:ascii="宋体" w:hAnsi="宋体" w:eastAsia="宋体" w:cs="宋体"/>
                <w:kern w:val="10"/>
              </w:rPr>
              <w:t>本项目危废采用密闭容器贮存和运输，在运输过程中使用专业危废运输车辆进行运输，运输过程采取跑冒滴漏防治措施，发生散落概率极低。当发生散落时，可能情况有：</w:t>
            </w:r>
          </w:p>
          <w:p w14:paraId="16D7E13E">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kern w:val="10"/>
              </w:rPr>
            </w:pPr>
            <w:r>
              <w:rPr>
                <w:rFonts w:hint="eastAsia" w:ascii="宋体" w:hAnsi="宋体" w:eastAsia="宋体" w:cs="宋体"/>
                <w:kern w:val="10"/>
              </w:rPr>
              <w:t>①容器整个掉落，但容器未破损，司机发现后，及时返回将容器放回车上，由于容器未破损，没有废物泄漏出来，对周边环境基本无影响；</w:t>
            </w:r>
          </w:p>
          <w:p w14:paraId="1CC633CE">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kern w:val="10"/>
              </w:rPr>
            </w:pPr>
            <w:r>
              <w:rPr>
                <w:rFonts w:hint="eastAsia" w:ascii="宋体" w:hAnsi="宋体" w:eastAsia="宋体" w:cs="宋体"/>
                <w:kern w:val="10"/>
              </w:rPr>
              <w:t>②容器整个掉落，但容器由于重力作用，掉落在地上，导致容器破损或盖子打开，若发生泄漏应采取应急措施，采用吸附棉等吸附，危险废物产生量较少。</w:t>
            </w:r>
          </w:p>
          <w:p w14:paraId="45E67D46">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kern w:val="10"/>
              </w:rPr>
            </w:pPr>
            <w:r>
              <w:rPr>
                <w:rFonts w:hint="eastAsia" w:ascii="宋体" w:hAnsi="宋体" w:eastAsia="宋体" w:cs="宋体"/>
                <w:kern w:val="10"/>
              </w:rPr>
              <w:t>因此本项目的危废在运输过程中对周边环境影响较小。</w:t>
            </w:r>
          </w:p>
          <w:p w14:paraId="0CE06CF9">
            <w:pPr>
              <w:pStyle w:val="72"/>
              <w:keepNext w:val="0"/>
              <w:keepLines w:val="0"/>
              <w:suppressLineNumbers w:val="0"/>
              <w:spacing w:before="0" w:beforeAutospacing="0" w:after="0" w:afterAutospacing="0" w:line="360" w:lineRule="auto"/>
              <w:ind w:left="0" w:right="0" w:firstLine="480"/>
              <w:jc w:val="left"/>
              <w:rPr>
                <w:rFonts w:hint="eastAsia" w:ascii="宋体" w:hAnsi="宋体" w:eastAsia="宋体" w:cs="宋体"/>
              </w:rPr>
            </w:pPr>
            <w:r>
              <w:rPr>
                <w:rFonts w:hint="eastAsia" w:ascii="宋体" w:hAnsi="宋体" w:eastAsia="宋体" w:cs="宋体"/>
              </w:rPr>
              <w:t>综上，本项目通过采取措施后，处理措施和处置方案满足一般工业固体废物贮存和填埋污染控制标准》（GB18599-2020）、《危险废物贮存污染控制标准》（GB18597-2023）要求、《危险废物收集储存运输技术规范》（HJ 2025-2012）相关规定要求以及《江苏省固体废物全过程环境监管工作意见》（苏环办</w:t>
            </w:r>
            <w:r>
              <w:rPr>
                <w:rFonts w:hint="eastAsia" w:ascii="宋体" w:hAnsi="宋体" w:eastAsia="宋体" w:cs="宋体"/>
                <w:lang w:eastAsia="zh-CN"/>
              </w:rPr>
              <w:t>〔</w:t>
            </w:r>
            <w:r>
              <w:rPr>
                <w:rFonts w:hint="eastAsia" w:ascii="宋体" w:hAnsi="宋体" w:eastAsia="宋体" w:cs="宋体"/>
              </w:rPr>
              <w:t>2024</w:t>
            </w:r>
            <w:r>
              <w:rPr>
                <w:rFonts w:hint="eastAsia" w:ascii="宋体" w:hAnsi="宋体" w:eastAsia="宋体" w:cs="宋体"/>
                <w:lang w:eastAsia="zh-CN"/>
              </w:rPr>
              <w:t>〕</w:t>
            </w:r>
            <w:r>
              <w:rPr>
                <w:rFonts w:hint="eastAsia" w:ascii="宋体" w:hAnsi="宋体" w:eastAsia="宋体" w:cs="宋体"/>
              </w:rPr>
              <w:t>16号</w:t>
            </w:r>
            <w:r>
              <w:rPr>
                <w:rFonts w:hint="eastAsia" w:ascii="宋体" w:hAnsi="宋体" w:eastAsia="宋体" w:cs="宋体"/>
                <w:lang w:eastAsia="zh-CN"/>
              </w:rPr>
              <w:t>）</w:t>
            </w:r>
            <w:r>
              <w:rPr>
                <w:rFonts w:hint="eastAsia" w:ascii="宋体" w:hAnsi="宋体" w:eastAsia="宋体" w:cs="宋体"/>
              </w:rPr>
              <w:t>。根据以上分析以及落实本环评给出的环保措施后，项目产生的固废可以得到合理的处置，不会对环境造成影响。</w:t>
            </w:r>
          </w:p>
          <w:p w14:paraId="7B803ED4">
            <w:pPr>
              <w:pStyle w:val="72"/>
              <w:keepNext w:val="0"/>
              <w:keepLines w:val="0"/>
              <w:suppressLineNumbers w:val="0"/>
              <w:spacing w:before="0" w:beforeAutospacing="0" w:after="0" w:afterAutospacing="0" w:line="360" w:lineRule="auto"/>
              <w:ind w:left="0" w:right="0" w:firstLine="0" w:firstLineChars="0"/>
              <w:jc w:val="left"/>
              <w:rPr>
                <w:rFonts w:hint="eastAsia" w:ascii="宋体" w:hAnsi="宋体" w:eastAsia="宋体" w:cs="宋体"/>
                <w:b/>
                <w:bCs/>
              </w:rPr>
            </w:pPr>
            <w:r>
              <w:rPr>
                <w:rFonts w:hint="eastAsia" w:ascii="宋体" w:hAnsi="宋体" w:eastAsia="宋体" w:cs="宋体"/>
              </w:rPr>
              <w:t>五、地下水、土壤</w:t>
            </w:r>
          </w:p>
          <w:p w14:paraId="11B4108C">
            <w:pPr>
              <w:pStyle w:val="72"/>
              <w:keepNext w:val="0"/>
              <w:keepLines w:val="0"/>
              <w:suppressLineNumbers w:val="0"/>
              <w:spacing w:before="0" w:beforeAutospacing="0" w:after="0" w:afterAutospacing="0" w:line="360" w:lineRule="auto"/>
              <w:ind w:left="0" w:right="0" w:firstLine="480"/>
              <w:jc w:val="left"/>
              <w:rPr>
                <w:rFonts w:hint="default" w:ascii="宋体" w:hAnsi="宋体" w:eastAsia="宋体" w:cs="宋体"/>
              </w:rPr>
            </w:pPr>
            <w:r>
              <w:rPr>
                <w:rFonts w:hint="eastAsia" w:ascii="宋体" w:hAnsi="宋体" w:eastAsia="宋体" w:cs="宋体"/>
              </w:rPr>
              <w:t>⑴污染类型及途径</w:t>
            </w:r>
          </w:p>
          <w:p w14:paraId="7702DD0F">
            <w:pPr>
              <w:pStyle w:val="72"/>
              <w:keepNext w:val="0"/>
              <w:keepLines w:val="0"/>
              <w:suppressLineNumbers w:val="0"/>
              <w:spacing w:before="0" w:beforeAutospacing="0" w:after="0" w:afterAutospacing="0" w:line="360" w:lineRule="auto"/>
              <w:ind w:left="0" w:right="0" w:firstLine="480"/>
              <w:jc w:val="left"/>
              <w:rPr>
                <w:rFonts w:hint="eastAsia" w:ascii="宋体" w:hAnsi="宋体" w:eastAsia="宋体" w:cs="宋体"/>
              </w:rPr>
            </w:pPr>
            <w:r>
              <w:rPr>
                <w:rFonts w:hint="eastAsia" w:ascii="宋体" w:hAnsi="宋体" w:eastAsia="宋体" w:cs="宋体"/>
              </w:rPr>
              <w:t>本项目土壤、地下水污染类型主要包括</w:t>
            </w:r>
            <w:r>
              <w:rPr>
                <w:rFonts w:hint="eastAsia" w:ascii="宋体" w:hAnsi="宋体" w:eastAsia="宋体" w:cs="宋体"/>
                <w:lang w:eastAsia="zh-CN"/>
              </w:rPr>
              <w:t>预处理生产线</w:t>
            </w:r>
            <w:r>
              <w:rPr>
                <w:rFonts w:hint="eastAsia" w:ascii="宋体" w:hAnsi="宋体" w:eastAsia="宋体" w:cs="宋体"/>
              </w:rPr>
              <w:t>槽体，污水管网（槽体至</w:t>
            </w:r>
            <w:r>
              <w:rPr>
                <w:rFonts w:hint="eastAsia" w:ascii="宋体" w:hAnsi="宋体" w:eastAsia="宋体" w:cs="宋体"/>
                <w:lang w:val="en-US" w:eastAsia="zh-CN"/>
              </w:rPr>
              <w:t>沉淀池</w:t>
            </w:r>
            <w:r>
              <w:rPr>
                <w:rFonts w:hint="eastAsia" w:ascii="宋体" w:hAnsi="宋体" w:eastAsia="宋体" w:cs="宋体"/>
              </w:rPr>
              <w:t>）或</w:t>
            </w:r>
            <w:r>
              <w:rPr>
                <w:rFonts w:hint="eastAsia" w:ascii="宋体" w:hAnsi="宋体" w:eastAsia="宋体" w:cs="宋体"/>
                <w:lang w:val="en-US" w:eastAsia="zh-CN"/>
              </w:rPr>
              <w:t>沉淀池池体</w:t>
            </w:r>
            <w:r>
              <w:rPr>
                <w:rFonts w:hint="eastAsia" w:ascii="宋体" w:hAnsi="宋体" w:eastAsia="宋体" w:cs="宋体"/>
              </w:rPr>
              <w:t>破裂损坏，导致水洗废水渗漏；</w:t>
            </w:r>
            <w:r>
              <w:rPr>
                <w:rFonts w:hint="eastAsia" w:ascii="宋体" w:hAnsi="宋体" w:eastAsia="宋体" w:cs="宋体"/>
                <w:lang w:eastAsia="zh-CN"/>
              </w:rPr>
              <w:t>危废暂存间</w:t>
            </w:r>
            <w:r>
              <w:rPr>
                <w:rFonts w:hint="eastAsia" w:ascii="宋体" w:hAnsi="宋体" w:eastAsia="宋体" w:cs="宋体"/>
              </w:rPr>
              <w:t>中盛装废液的包装桶泄漏。</w:t>
            </w:r>
          </w:p>
          <w:p w14:paraId="7B4F12E7">
            <w:pPr>
              <w:pStyle w:val="72"/>
              <w:keepNext w:val="0"/>
              <w:keepLines w:val="0"/>
              <w:suppressLineNumbers w:val="0"/>
              <w:spacing w:before="0" w:beforeAutospacing="0" w:after="0" w:afterAutospacing="0" w:line="360" w:lineRule="auto"/>
              <w:ind w:left="0" w:right="0" w:firstLine="480"/>
              <w:jc w:val="left"/>
              <w:rPr>
                <w:rFonts w:hint="eastAsia" w:ascii="宋体" w:hAnsi="宋体" w:eastAsia="宋体" w:cs="宋体"/>
              </w:rPr>
            </w:pPr>
            <w:r>
              <w:rPr>
                <w:rFonts w:hint="eastAsia" w:ascii="宋体" w:hAnsi="宋体" w:eastAsia="宋体" w:cs="宋体"/>
              </w:rPr>
              <w:t>本项目表面预处理区、</w:t>
            </w:r>
            <w:r>
              <w:rPr>
                <w:rFonts w:hint="eastAsia" w:ascii="宋体" w:hAnsi="宋体" w:eastAsia="宋体" w:cs="宋体"/>
                <w:lang w:val="en-US" w:eastAsia="zh-CN"/>
              </w:rPr>
              <w:t>原料仓库</w:t>
            </w:r>
            <w:r>
              <w:rPr>
                <w:rFonts w:hint="eastAsia" w:ascii="宋体" w:hAnsi="宋体" w:eastAsia="宋体" w:cs="宋体"/>
              </w:rPr>
              <w:t>、</w:t>
            </w:r>
            <w:r>
              <w:rPr>
                <w:rFonts w:hint="eastAsia" w:ascii="宋体" w:hAnsi="宋体" w:eastAsia="宋体" w:cs="宋体"/>
                <w:lang w:eastAsia="zh-CN"/>
              </w:rPr>
              <w:t>危废暂存间</w:t>
            </w:r>
            <w:r>
              <w:rPr>
                <w:rFonts w:hint="eastAsia" w:ascii="宋体" w:hAnsi="宋体" w:eastAsia="宋体" w:cs="宋体"/>
              </w:rPr>
              <w:t>和</w:t>
            </w:r>
            <w:r>
              <w:rPr>
                <w:rFonts w:hint="eastAsia" w:ascii="宋体" w:hAnsi="宋体" w:eastAsia="宋体" w:cs="宋体"/>
                <w:lang w:val="en-US" w:eastAsia="zh-CN"/>
              </w:rPr>
              <w:t>污水处理站</w:t>
            </w:r>
            <w:r>
              <w:rPr>
                <w:rFonts w:hint="eastAsia" w:ascii="宋体" w:hAnsi="宋体" w:eastAsia="宋体" w:cs="宋体"/>
              </w:rPr>
              <w:t>均按照重点防渗区相关防渗技术要求进行防渗处理，其他生产区域和办公区按照一般防渗区相关防渗技术要求进行防渗处理，不存在土壤、地下水环境污染途径。</w:t>
            </w:r>
          </w:p>
          <w:p w14:paraId="7BF3D489">
            <w:pPr>
              <w:pStyle w:val="72"/>
              <w:keepNext w:val="0"/>
              <w:keepLines w:val="0"/>
              <w:suppressLineNumbers w:val="0"/>
              <w:spacing w:before="0" w:beforeAutospacing="0" w:after="0" w:afterAutospacing="0" w:line="360" w:lineRule="auto"/>
              <w:ind w:left="0" w:right="0" w:firstLine="480"/>
              <w:jc w:val="left"/>
              <w:rPr>
                <w:rFonts w:hint="eastAsia" w:ascii="宋体" w:hAnsi="宋体" w:eastAsia="宋体" w:cs="宋体"/>
              </w:rPr>
            </w:pPr>
            <w:r>
              <w:rPr>
                <w:rFonts w:hint="eastAsia" w:ascii="宋体" w:hAnsi="宋体" w:eastAsia="宋体" w:cs="宋体"/>
              </w:rPr>
              <w:t>⑵控制措施</w:t>
            </w:r>
          </w:p>
          <w:p w14:paraId="21AD1F64">
            <w:pPr>
              <w:pStyle w:val="72"/>
              <w:keepNext w:val="0"/>
              <w:keepLines w:val="0"/>
              <w:suppressLineNumbers w:val="0"/>
              <w:spacing w:before="0" w:beforeAutospacing="0" w:after="0" w:afterAutospacing="0" w:line="360" w:lineRule="auto"/>
              <w:ind w:left="0" w:right="0" w:firstLine="480"/>
              <w:jc w:val="left"/>
              <w:rPr>
                <w:rFonts w:hint="eastAsia" w:ascii="宋体" w:hAnsi="宋体" w:eastAsia="宋体" w:cs="宋体"/>
              </w:rPr>
            </w:pPr>
            <w:r>
              <w:rPr>
                <w:rFonts w:hint="eastAsia" w:ascii="宋体" w:hAnsi="宋体" w:eastAsia="宋体" w:cs="宋体"/>
              </w:rPr>
              <w:t>本项目表面预处理各槽体周边设置了围堰，地面均做了环氧地坪，因此，污水管网和</w:t>
            </w:r>
            <w:r>
              <w:rPr>
                <w:rFonts w:hint="eastAsia" w:ascii="宋体" w:hAnsi="宋体" w:eastAsia="宋体" w:cs="宋体"/>
                <w:lang w:val="en-US" w:eastAsia="zh-CN"/>
              </w:rPr>
              <w:t>沉淀池池体</w:t>
            </w:r>
            <w:r>
              <w:rPr>
                <w:rFonts w:hint="eastAsia" w:ascii="宋体" w:hAnsi="宋体" w:eastAsia="宋体" w:cs="宋体"/>
              </w:rPr>
              <w:t>破裂发生损坏后，废水被截留在围堰内；</w:t>
            </w:r>
            <w:r>
              <w:rPr>
                <w:rFonts w:hint="eastAsia" w:ascii="宋体" w:hAnsi="宋体" w:eastAsia="宋体" w:cs="宋体"/>
                <w:lang w:eastAsia="zh-CN"/>
              </w:rPr>
              <w:t>危废暂存间</w:t>
            </w:r>
            <w:r>
              <w:rPr>
                <w:rFonts w:hint="eastAsia" w:ascii="宋体" w:hAnsi="宋体" w:eastAsia="宋体" w:cs="宋体"/>
              </w:rPr>
              <w:t>中，废液包装桶下方设置了托盘，地面做了环氧地坪，均不会进入项目周边土壤和地下水，对周边地下水和土壤产生影响极小。</w:t>
            </w:r>
          </w:p>
          <w:p w14:paraId="222D4443">
            <w:pPr>
              <w:pStyle w:val="72"/>
              <w:keepNext w:val="0"/>
              <w:keepLines w:val="0"/>
              <w:suppressLineNumbers w:val="0"/>
              <w:spacing w:before="0" w:beforeAutospacing="0" w:after="0" w:afterAutospacing="0" w:line="360" w:lineRule="auto"/>
              <w:ind w:left="0" w:right="0" w:firstLine="480"/>
              <w:jc w:val="left"/>
              <w:rPr>
                <w:rFonts w:hint="eastAsia" w:ascii="宋体" w:hAnsi="宋体" w:eastAsia="宋体" w:cs="宋体"/>
              </w:rPr>
            </w:pPr>
            <w:r>
              <w:rPr>
                <w:rFonts w:hint="eastAsia" w:ascii="宋体" w:hAnsi="宋体" w:eastAsia="宋体" w:cs="宋体"/>
              </w:rPr>
              <w:t>为了更好的保护地下水资源，将本项目对土壤的影响降至最低限度，建议采取以下的污染防治措施：</w:t>
            </w:r>
          </w:p>
          <w:p w14:paraId="3868D35C">
            <w:pPr>
              <w:pStyle w:val="72"/>
              <w:keepNext w:val="0"/>
              <w:keepLines w:val="0"/>
              <w:suppressLineNumbers w:val="0"/>
              <w:spacing w:before="0" w:beforeAutospacing="0" w:after="0" w:afterAutospacing="0" w:line="360" w:lineRule="auto"/>
              <w:ind w:left="0" w:right="0" w:firstLine="480"/>
              <w:jc w:val="left"/>
              <w:rPr>
                <w:rFonts w:hint="eastAsia" w:ascii="宋体" w:hAnsi="宋体" w:eastAsia="宋体" w:cs="宋体"/>
              </w:rPr>
            </w:pPr>
            <w:r>
              <w:rPr>
                <w:rFonts w:hint="eastAsia" w:ascii="宋体" w:hAnsi="宋体" w:eastAsia="宋体" w:cs="宋体"/>
              </w:rPr>
              <w:t>①源头控制</w:t>
            </w:r>
          </w:p>
          <w:p w14:paraId="46E48878">
            <w:pPr>
              <w:pStyle w:val="72"/>
              <w:keepNext w:val="0"/>
              <w:keepLines w:val="0"/>
              <w:suppressLineNumbers w:val="0"/>
              <w:spacing w:before="0" w:beforeAutospacing="0" w:after="0" w:afterAutospacing="0" w:line="360" w:lineRule="auto"/>
              <w:ind w:left="0" w:right="0" w:firstLine="480"/>
              <w:jc w:val="left"/>
              <w:rPr>
                <w:rFonts w:hint="eastAsia" w:ascii="宋体" w:hAnsi="宋体" w:eastAsia="宋体" w:cs="宋体"/>
              </w:rPr>
            </w:pPr>
            <w:r>
              <w:rPr>
                <w:rFonts w:hint="eastAsia" w:ascii="宋体" w:hAnsi="宋体" w:eastAsia="宋体" w:cs="宋体"/>
              </w:rPr>
              <w:t>为了保护土壤环境，采取措施从源头上控制对土壤的污染，从设计、管理中防止和减少污染物料的跑、冒、滴、漏而采取的各种措施，主要措施如下：</w:t>
            </w:r>
          </w:p>
          <w:p w14:paraId="111A3E42">
            <w:pPr>
              <w:pStyle w:val="72"/>
              <w:keepNext w:val="0"/>
              <w:keepLines w:val="0"/>
              <w:suppressLineNumbers w:val="0"/>
              <w:spacing w:before="0" w:beforeAutospacing="0" w:after="0" w:afterAutospacing="0" w:line="360" w:lineRule="auto"/>
              <w:ind w:left="0" w:right="0" w:firstLine="480"/>
              <w:jc w:val="left"/>
              <w:rPr>
                <w:rFonts w:hint="eastAsia" w:ascii="宋体" w:hAnsi="宋体" w:eastAsia="宋体" w:cs="宋体"/>
              </w:rPr>
            </w:pPr>
            <w:r>
              <w:rPr>
                <w:rFonts w:hint="eastAsia" w:ascii="宋体" w:hAnsi="宋体" w:eastAsia="宋体" w:cs="宋体"/>
              </w:rPr>
              <w:t>1）严格按照国家相关规范要求，对场区内各仓库、表面预处理、</w:t>
            </w:r>
            <w:r>
              <w:rPr>
                <w:rFonts w:hint="eastAsia" w:ascii="宋体" w:hAnsi="宋体" w:eastAsia="宋体" w:cs="宋体"/>
                <w:lang w:val="en-US" w:eastAsia="zh-CN"/>
              </w:rPr>
              <w:t>沉淀池</w:t>
            </w:r>
            <w:r>
              <w:rPr>
                <w:rFonts w:hint="eastAsia" w:ascii="宋体" w:hAnsi="宋体" w:eastAsia="宋体" w:cs="宋体"/>
              </w:rPr>
              <w:t>、</w:t>
            </w:r>
            <w:r>
              <w:rPr>
                <w:rFonts w:hint="eastAsia" w:ascii="宋体" w:hAnsi="宋体" w:eastAsia="宋体" w:cs="宋体"/>
                <w:lang w:eastAsia="zh-CN"/>
              </w:rPr>
              <w:t>危废暂存间</w:t>
            </w:r>
            <w:r>
              <w:rPr>
                <w:rFonts w:hint="eastAsia" w:ascii="宋体" w:hAnsi="宋体" w:eastAsia="宋体" w:cs="宋体"/>
              </w:rPr>
              <w:t>等采取相应措施，以防止和降低污染物的跑、冒、滴、漏，将污染物泄漏的环境风险事故降到最低程度。</w:t>
            </w:r>
          </w:p>
          <w:p w14:paraId="530D64B2">
            <w:pPr>
              <w:pStyle w:val="72"/>
              <w:keepNext w:val="0"/>
              <w:keepLines w:val="0"/>
              <w:suppressLineNumbers w:val="0"/>
              <w:spacing w:before="0" w:beforeAutospacing="0" w:after="0" w:afterAutospacing="0" w:line="360" w:lineRule="auto"/>
              <w:ind w:left="0" w:right="0" w:firstLine="480"/>
              <w:jc w:val="left"/>
              <w:rPr>
                <w:rFonts w:hint="eastAsia" w:ascii="宋体" w:hAnsi="宋体" w:eastAsia="宋体" w:cs="宋体"/>
              </w:rPr>
            </w:pPr>
            <w:r>
              <w:rPr>
                <w:rFonts w:hint="eastAsia" w:ascii="宋体" w:hAnsi="宋体" w:eastAsia="宋体" w:cs="宋体"/>
              </w:rPr>
              <w:t>2）设备和管线尽量采用“可视化”原则，即尽可能地上敷设和放置，做到污染物“早发现、早处理”，以减少由于埋地泄漏而可能造成的污染。对各种地下管道，根据输送物质不同，采用不同类型的管道，管道内外均采用防腐处理，另建设控制站、截污阀、排污阀、流量、压力在线监测仪，购买超声及磁力检漏设备，定期对管道进行检漏，对出现泄漏处的土壤进行换土。</w:t>
            </w:r>
          </w:p>
          <w:p w14:paraId="08E9EDAC">
            <w:pPr>
              <w:pStyle w:val="72"/>
              <w:keepNext w:val="0"/>
              <w:keepLines w:val="0"/>
              <w:suppressLineNumbers w:val="0"/>
              <w:spacing w:before="0" w:beforeAutospacing="0" w:after="0" w:afterAutospacing="0" w:line="360" w:lineRule="auto"/>
              <w:ind w:left="0" w:right="0" w:firstLine="480"/>
              <w:jc w:val="left"/>
              <w:rPr>
                <w:rFonts w:hint="eastAsia" w:ascii="宋体" w:hAnsi="宋体" w:eastAsia="宋体" w:cs="宋体"/>
              </w:rPr>
            </w:pPr>
            <w:r>
              <w:rPr>
                <w:rFonts w:hint="eastAsia" w:ascii="宋体" w:hAnsi="宋体" w:eastAsia="宋体" w:cs="宋体"/>
              </w:rPr>
              <w:t>3）固废仓库按照国家相关规范要求，采取防泄漏措施。</w:t>
            </w:r>
          </w:p>
          <w:p w14:paraId="38824EBD">
            <w:pPr>
              <w:pStyle w:val="72"/>
              <w:keepNext w:val="0"/>
              <w:keepLines w:val="0"/>
              <w:suppressLineNumbers w:val="0"/>
              <w:spacing w:before="0" w:beforeAutospacing="0" w:after="0" w:afterAutospacing="0" w:line="360" w:lineRule="auto"/>
              <w:ind w:left="0" w:right="0" w:firstLine="480"/>
              <w:jc w:val="left"/>
              <w:rPr>
                <w:rFonts w:hint="eastAsia" w:ascii="宋体" w:hAnsi="宋体" w:eastAsia="宋体" w:cs="宋体"/>
              </w:rPr>
            </w:pPr>
            <w:r>
              <w:rPr>
                <w:rFonts w:hint="eastAsia" w:ascii="宋体" w:hAnsi="宋体" w:eastAsia="宋体" w:cs="宋体"/>
              </w:rPr>
              <w:t>4）严格固体废物管理，不接触外界降水，使其不产生淋滤液，严防污染物泄漏到地下水中。</w:t>
            </w:r>
          </w:p>
          <w:p w14:paraId="10505D27">
            <w:pPr>
              <w:pStyle w:val="72"/>
              <w:keepNext w:val="0"/>
              <w:keepLines w:val="0"/>
              <w:suppressLineNumbers w:val="0"/>
              <w:spacing w:before="0" w:beforeAutospacing="0" w:after="0" w:afterAutospacing="0" w:line="360" w:lineRule="auto"/>
              <w:ind w:left="0" w:right="0" w:firstLine="480"/>
              <w:jc w:val="left"/>
              <w:rPr>
                <w:rFonts w:hint="eastAsia" w:ascii="宋体" w:hAnsi="宋体" w:eastAsia="宋体" w:cs="宋体"/>
              </w:rPr>
            </w:pPr>
            <w:r>
              <w:rPr>
                <w:rFonts w:hint="eastAsia" w:ascii="宋体" w:hAnsi="宋体" w:eastAsia="宋体" w:cs="宋体"/>
              </w:rPr>
              <w:t>②分区防渗</w:t>
            </w:r>
          </w:p>
          <w:p w14:paraId="79D898DA">
            <w:pPr>
              <w:pStyle w:val="72"/>
              <w:keepNext w:val="0"/>
              <w:keepLines w:val="0"/>
              <w:suppressLineNumbers w:val="0"/>
              <w:spacing w:before="0" w:beforeAutospacing="0" w:after="0" w:afterAutospacing="0" w:line="360" w:lineRule="auto"/>
              <w:ind w:left="0" w:right="0" w:firstLine="480"/>
              <w:jc w:val="left"/>
              <w:rPr>
                <w:rFonts w:hint="eastAsia" w:ascii="宋体" w:hAnsi="宋体" w:eastAsia="宋体" w:cs="宋体"/>
              </w:rPr>
            </w:pPr>
            <w:r>
              <w:rPr>
                <w:rFonts w:hint="eastAsia" w:ascii="宋体" w:hAnsi="宋体" w:eastAsia="宋体" w:cs="宋体"/>
              </w:rPr>
              <w:t>1）重点防渗区</w:t>
            </w:r>
          </w:p>
          <w:p w14:paraId="534849E4">
            <w:pPr>
              <w:pStyle w:val="72"/>
              <w:keepNext w:val="0"/>
              <w:keepLines w:val="0"/>
              <w:suppressLineNumbers w:val="0"/>
              <w:spacing w:before="0" w:beforeAutospacing="0" w:after="0" w:afterAutospacing="0" w:line="360" w:lineRule="auto"/>
              <w:ind w:left="0" w:right="0" w:firstLine="480"/>
              <w:jc w:val="left"/>
              <w:rPr>
                <w:rFonts w:hint="eastAsia" w:ascii="宋体" w:hAnsi="宋体" w:eastAsia="宋体" w:cs="宋体"/>
              </w:rPr>
            </w:pPr>
            <w:r>
              <w:rPr>
                <w:rFonts w:hint="eastAsia" w:ascii="宋体" w:hAnsi="宋体" w:eastAsia="宋体" w:cs="宋体"/>
              </w:rPr>
              <w:t>加强重点污染防治区的防渗漏措施，对污染防治区进行划分，本项目</w:t>
            </w:r>
            <w:r>
              <w:rPr>
                <w:rFonts w:hint="eastAsia" w:ascii="宋体" w:hAnsi="宋体" w:eastAsia="宋体" w:cs="宋体"/>
                <w:lang w:eastAsia="zh-CN"/>
              </w:rPr>
              <w:t>危废暂存间</w:t>
            </w:r>
            <w:r>
              <w:rPr>
                <w:rFonts w:hint="eastAsia" w:ascii="宋体" w:hAnsi="宋体" w:eastAsia="宋体" w:cs="宋体"/>
              </w:rPr>
              <w:t>、</w:t>
            </w:r>
            <w:r>
              <w:rPr>
                <w:rFonts w:hint="eastAsia" w:ascii="宋体" w:hAnsi="宋体" w:eastAsia="宋体" w:cs="宋体"/>
                <w:lang w:eastAsia="zh-CN"/>
              </w:rPr>
              <w:t>预处理线各</w:t>
            </w:r>
            <w:r>
              <w:rPr>
                <w:rFonts w:hint="eastAsia" w:ascii="宋体" w:hAnsi="宋体" w:eastAsia="宋体" w:cs="宋体"/>
              </w:rPr>
              <w:t>槽</w:t>
            </w:r>
            <w:r>
              <w:rPr>
                <w:rFonts w:hint="eastAsia" w:ascii="宋体" w:hAnsi="宋体" w:eastAsia="宋体" w:cs="宋体"/>
                <w:lang w:eastAsia="zh-CN"/>
              </w:rPr>
              <w:t>体</w:t>
            </w:r>
            <w:r>
              <w:rPr>
                <w:rFonts w:hint="eastAsia" w:ascii="宋体" w:hAnsi="宋体" w:eastAsia="宋体" w:cs="宋体"/>
              </w:rPr>
              <w:t>、</w:t>
            </w:r>
            <w:r>
              <w:rPr>
                <w:rFonts w:hint="eastAsia" w:ascii="宋体" w:hAnsi="宋体" w:eastAsia="宋体" w:cs="宋体"/>
                <w:lang w:val="en-US" w:eastAsia="zh-CN"/>
              </w:rPr>
              <w:t>污水处理站</w:t>
            </w:r>
            <w:r>
              <w:rPr>
                <w:rFonts w:hint="eastAsia" w:ascii="宋体" w:hAnsi="宋体" w:eastAsia="宋体" w:cs="宋体"/>
              </w:rPr>
              <w:t>和</w:t>
            </w:r>
            <w:r>
              <w:rPr>
                <w:rFonts w:hint="eastAsia" w:ascii="宋体" w:hAnsi="宋体" w:eastAsia="宋体" w:cs="宋体"/>
                <w:lang w:val="en-US" w:eastAsia="zh-CN"/>
              </w:rPr>
              <w:t>原</w:t>
            </w:r>
            <w:r>
              <w:rPr>
                <w:rFonts w:hint="eastAsia" w:ascii="宋体" w:hAnsi="宋体" w:eastAsia="宋体" w:cs="宋体"/>
                <w:lang w:eastAsia="zh-CN"/>
              </w:rPr>
              <w:t>料</w:t>
            </w:r>
            <w:r>
              <w:rPr>
                <w:rFonts w:hint="eastAsia" w:ascii="宋体" w:hAnsi="宋体" w:eastAsia="宋体" w:cs="宋体"/>
              </w:rPr>
              <w:t>仓库为重点污染防治区。重点防渗区防渗设计要求等效黏土防渗层Mb≥6.0m，K≤1×10</w:t>
            </w:r>
            <w:r>
              <w:rPr>
                <w:rFonts w:hint="eastAsia" w:ascii="宋体" w:hAnsi="宋体" w:eastAsia="宋体" w:cs="宋体"/>
                <w:vertAlign w:val="superscript"/>
              </w:rPr>
              <w:t>-7</w:t>
            </w:r>
            <w:r>
              <w:rPr>
                <w:rFonts w:hint="eastAsia" w:ascii="宋体" w:hAnsi="宋体" w:eastAsia="宋体" w:cs="宋体"/>
              </w:rPr>
              <w:t>cm/s。</w:t>
            </w:r>
          </w:p>
          <w:p w14:paraId="447B5B39">
            <w:pPr>
              <w:pStyle w:val="72"/>
              <w:keepNext w:val="0"/>
              <w:keepLines w:val="0"/>
              <w:suppressLineNumbers w:val="0"/>
              <w:spacing w:before="0" w:beforeAutospacing="0" w:after="0" w:afterAutospacing="0" w:line="360" w:lineRule="auto"/>
              <w:ind w:left="0" w:right="0" w:firstLine="480"/>
              <w:jc w:val="left"/>
              <w:rPr>
                <w:rFonts w:hint="eastAsia" w:ascii="宋体" w:hAnsi="宋体" w:eastAsia="宋体" w:cs="宋体"/>
              </w:rPr>
            </w:pPr>
            <w:r>
              <w:rPr>
                <w:rFonts w:hint="eastAsia" w:ascii="宋体" w:hAnsi="宋体" w:eastAsia="宋体" w:cs="宋体"/>
              </w:rPr>
              <w:t>重点防渗区域建议地面防渗方案自上而下：①40mm厚细石砼；②水泥砂浆结合层一道；③100mm厚C15混凝土随打随抹光；④50mm厚级配砂石垫层；⑤3:7水泥土夯实。</w:t>
            </w:r>
          </w:p>
          <w:p w14:paraId="13174147">
            <w:pPr>
              <w:pStyle w:val="72"/>
              <w:keepNext w:val="0"/>
              <w:keepLines w:val="0"/>
              <w:suppressLineNumbers w:val="0"/>
              <w:spacing w:before="0" w:beforeAutospacing="0" w:after="0" w:afterAutospacing="0" w:line="360" w:lineRule="auto"/>
              <w:ind w:left="0" w:right="0" w:firstLine="480"/>
              <w:jc w:val="left"/>
              <w:rPr>
                <w:rFonts w:hint="eastAsia" w:ascii="宋体" w:hAnsi="宋体" w:eastAsia="宋体" w:cs="宋体"/>
              </w:rPr>
            </w:pPr>
            <w:r>
              <w:rPr>
                <w:rFonts w:hint="eastAsia" w:ascii="宋体" w:hAnsi="宋体" w:eastAsia="宋体" w:cs="宋体"/>
              </w:rPr>
              <w:t>这些建筑物均为地上建筑，其混凝土地坪以下设计采用单层防渗结构，建议其层次自上而下为600g/m</w:t>
            </w:r>
            <w:r>
              <w:rPr>
                <w:rFonts w:hint="eastAsia" w:ascii="宋体" w:hAnsi="宋体" w:eastAsia="宋体" w:cs="宋体"/>
                <w:vertAlign w:val="superscript"/>
              </w:rPr>
              <w:t>2</w:t>
            </w:r>
            <w:r>
              <w:rPr>
                <w:rFonts w:hint="eastAsia" w:ascii="宋体" w:hAnsi="宋体" w:eastAsia="宋体" w:cs="宋体"/>
              </w:rPr>
              <w:t>非织造土工布（膜上保护层）+2.0mm厚HDPE膜+4800g/m</w:t>
            </w:r>
            <w:r>
              <w:rPr>
                <w:rFonts w:hint="eastAsia" w:ascii="宋体" w:hAnsi="宋体" w:eastAsia="宋体" w:cs="宋体"/>
                <w:vertAlign w:val="superscript"/>
              </w:rPr>
              <w:t>2</w:t>
            </w:r>
            <w:r>
              <w:rPr>
                <w:rFonts w:hint="eastAsia" w:ascii="宋体" w:hAnsi="宋体" w:eastAsia="宋体" w:cs="宋体"/>
              </w:rPr>
              <w:t>膨润土防水毯+1.5m厚压实粘土层+地基土（见</w:t>
            </w:r>
            <w:r>
              <w:rPr>
                <w:rFonts w:hint="eastAsia" w:ascii="宋体" w:hAnsi="宋体" w:eastAsia="宋体" w:cs="宋体"/>
              </w:rPr>
              <w:fldChar w:fldCharType="begin"/>
            </w:r>
            <w:r>
              <w:rPr>
                <w:rFonts w:hint="eastAsia" w:ascii="宋体" w:hAnsi="宋体" w:eastAsia="宋体" w:cs="宋体"/>
              </w:rPr>
              <w:instrText xml:space="preserve"> REF _Ref500145475 \h  \* MERGEFORMAT </w:instrText>
            </w:r>
            <w:r>
              <w:rPr>
                <w:rFonts w:hint="eastAsia" w:ascii="宋体" w:hAnsi="宋体" w:eastAsia="宋体" w:cs="宋体"/>
              </w:rPr>
              <w:fldChar w:fldCharType="separate"/>
            </w:r>
            <w:r>
              <w:rPr>
                <w:rFonts w:hint="eastAsia" w:ascii="宋体" w:hAnsi="宋体" w:eastAsia="宋体" w:cs="宋体"/>
              </w:rPr>
              <w:t>图</w:t>
            </w:r>
            <w:r>
              <w:rPr>
                <w:rFonts w:hint="eastAsia" w:ascii="宋体" w:hAnsi="宋体" w:eastAsia="宋体" w:cs="宋体"/>
              </w:rPr>
              <w:fldChar w:fldCharType="end"/>
            </w:r>
            <w:r>
              <w:rPr>
                <w:rFonts w:hint="eastAsia" w:ascii="宋体" w:hAnsi="宋体" w:eastAsia="宋体" w:cs="宋体"/>
              </w:rPr>
              <w:t>4-</w:t>
            </w:r>
            <w:r>
              <w:rPr>
                <w:rFonts w:hint="eastAsia" w:ascii="宋体" w:hAnsi="宋体" w:eastAsia="宋体" w:cs="宋体"/>
                <w:lang w:val="en-US" w:eastAsia="zh-CN"/>
              </w:rPr>
              <w:t>3</w:t>
            </w:r>
            <w:r>
              <w:rPr>
                <w:rFonts w:hint="eastAsia" w:ascii="宋体" w:hAnsi="宋体" w:eastAsia="宋体" w:cs="宋体"/>
              </w:rPr>
              <w:t>）。其中非织造土工布采用热粘连接，搭接宽度200±25mm；HDPE膜采用热熔焊接，搭接宽度100±20mm；GCL采用自然搭接，搭接宽度200±50mm。</w:t>
            </w:r>
          </w:p>
          <w:p w14:paraId="05E7DEC7">
            <w:pPr>
              <w:pStyle w:val="74"/>
              <w:keepNext w:val="0"/>
              <w:keepLines w:val="0"/>
              <w:suppressLineNumbers w:val="0"/>
              <w:adjustRightInd w:val="0"/>
              <w:snapToGrid w:val="0"/>
              <w:spacing w:before="0" w:beforeAutospacing="0" w:after="0" w:afterAutospacing="0" w:line="360" w:lineRule="auto"/>
              <w:ind w:left="0" w:right="0" w:firstLine="0" w:firstLineChars="0"/>
              <w:jc w:val="center"/>
              <w:rPr>
                <w:rFonts w:hint="eastAsia" w:ascii="宋体" w:hAnsi="宋体" w:eastAsia="宋体" w:cs="宋体"/>
              </w:rPr>
            </w:pPr>
            <w:r>
              <w:rPr>
                <w:rFonts w:hint="eastAsia" w:ascii="宋体" w:hAnsi="宋体" w:eastAsia="宋体" w:cs="宋体"/>
              </w:rPr>
              <w:drawing>
                <wp:inline distT="0" distB="0" distL="114300" distR="114300">
                  <wp:extent cx="3324225" cy="1675130"/>
                  <wp:effectExtent l="0" t="0" r="9525" b="1270"/>
                  <wp:docPr id="16" name="图片 19" descr="地坪防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descr="地坪防渗2"/>
                          <pic:cNvPicPr>
                            <a:picLocks noChangeAspect="1"/>
                          </pic:cNvPicPr>
                        </pic:nvPicPr>
                        <pic:blipFill>
                          <a:blip r:embed="rId33"/>
                          <a:stretch>
                            <a:fillRect/>
                          </a:stretch>
                        </pic:blipFill>
                        <pic:spPr>
                          <a:xfrm>
                            <a:off x="0" y="0"/>
                            <a:ext cx="3324225" cy="1675130"/>
                          </a:xfrm>
                          <a:prstGeom prst="rect">
                            <a:avLst/>
                          </a:prstGeom>
                          <a:noFill/>
                          <a:ln>
                            <a:noFill/>
                          </a:ln>
                        </pic:spPr>
                      </pic:pic>
                    </a:graphicData>
                  </a:graphic>
                </wp:inline>
              </w:drawing>
            </w:r>
          </w:p>
          <w:p w14:paraId="1D739BB3">
            <w:pPr>
              <w:keepNext w:val="0"/>
              <w:keepLines w:val="0"/>
              <w:suppressLineNumbers w:val="0"/>
              <w:adjustRightInd w:val="0"/>
              <w:snapToGrid w:val="0"/>
              <w:spacing w:before="0" w:beforeAutospacing="0" w:after="0" w:afterAutospacing="0"/>
              <w:ind w:left="0" w:right="0"/>
              <w:jc w:val="center"/>
              <w:outlineLvl w:val="5"/>
              <w:rPr>
                <w:rFonts w:hint="eastAsia" w:ascii="宋体" w:hAnsi="宋体" w:eastAsia="宋体" w:cs="宋体"/>
              </w:rPr>
            </w:pPr>
            <w:bookmarkStart w:id="179" w:name="_Ref500145475"/>
            <w:r>
              <w:rPr>
                <w:rFonts w:hint="eastAsia" w:ascii="宋体" w:hAnsi="宋体" w:eastAsia="宋体" w:cs="宋体"/>
                <w:b/>
                <w:bCs/>
              </w:rPr>
              <w:t>图</w:t>
            </w:r>
            <w:bookmarkEnd w:id="179"/>
            <w:r>
              <w:rPr>
                <w:rFonts w:hint="eastAsia" w:ascii="宋体" w:hAnsi="宋体" w:eastAsia="宋体" w:cs="宋体"/>
                <w:b/>
                <w:bCs/>
              </w:rPr>
              <w:t>4-</w:t>
            </w:r>
            <w:r>
              <w:rPr>
                <w:rFonts w:hint="eastAsia" w:ascii="宋体" w:hAnsi="宋体" w:eastAsia="宋体" w:cs="宋体"/>
                <w:b/>
                <w:bCs/>
                <w:lang w:val="en-US" w:eastAsia="zh-CN"/>
              </w:rPr>
              <w:t>4</w:t>
            </w:r>
            <w:r>
              <w:rPr>
                <w:rFonts w:hint="eastAsia" w:ascii="宋体" w:hAnsi="宋体" w:eastAsia="宋体" w:cs="宋体"/>
                <w:b/>
                <w:bCs/>
              </w:rPr>
              <w:t xml:space="preserve"> 设计HDPE膜单层防渗结构示意图</w:t>
            </w:r>
          </w:p>
          <w:p w14:paraId="1D4BFD3D">
            <w:pPr>
              <w:pStyle w:val="72"/>
              <w:keepNext w:val="0"/>
              <w:keepLines w:val="0"/>
              <w:suppressLineNumbers w:val="0"/>
              <w:spacing w:before="0" w:beforeAutospacing="0" w:after="0" w:afterAutospacing="0" w:line="360" w:lineRule="auto"/>
              <w:ind w:left="0" w:right="0" w:firstLine="480"/>
              <w:jc w:val="left"/>
              <w:rPr>
                <w:rFonts w:hint="eastAsia" w:ascii="宋体" w:hAnsi="宋体" w:eastAsia="宋体" w:cs="宋体"/>
              </w:rPr>
            </w:pPr>
            <w:r>
              <w:rPr>
                <w:rFonts w:hint="eastAsia" w:ascii="宋体" w:hAnsi="宋体" w:eastAsia="宋体" w:cs="宋体"/>
              </w:rPr>
              <w:t>当地坪与建筑物基础相连时，需采取防渗措施，从混凝土基础往外为橡胶沥青自粘卷材+600g/m</w:t>
            </w:r>
            <w:r>
              <w:rPr>
                <w:rFonts w:hint="eastAsia" w:ascii="宋体" w:hAnsi="宋体" w:eastAsia="宋体" w:cs="宋体"/>
                <w:vertAlign w:val="superscript"/>
              </w:rPr>
              <w:t>2</w:t>
            </w:r>
            <w:r>
              <w:rPr>
                <w:rFonts w:hint="eastAsia" w:ascii="宋体" w:hAnsi="宋体" w:eastAsia="宋体" w:cs="宋体"/>
              </w:rPr>
              <w:t>非织造土工布+2.0mm厚HDPE膜+不锈钢扁钢压条+M8膨胀螺栓+1.0mm厚HDPE膜罩，螺栓高度在地坪以上150mm。</w:t>
            </w:r>
          </w:p>
          <w:p w14:paraId="24C926B3">
            <w:pPr>
              <w:keepNext w:val="0"/>
              <w:keepLines w:val="0"/>
              <w:suppressLineNumbers w:val="0"/>
              <w:adjustRightInd w:val="0"/>
              <w:snapToGrid w:val="0"/>
              <w:spacing w:before="0" w:beforeAutospacing="0" w:after="0" w:afterAutospacing="0"/>
              <w:ind w:left="0" w:right="0" w:firstLine="420"/>
              <w:jc w:val="center"/>
              <w:rPr>
                <w:rFonts w:hint="eastAsia" w:ascii="宋体" w:hAnsi="宋体" w:eastAsia="宋体" w:cs="宋体"/>
              </w:rPr>
            </w:pPr>
            <w:r>
              <w:rPr>
                <w:rFonts w:hint="eastAsia" w:ascii="宋体" w:hAnsi="宋体" w:eastAsia="宋体" w:cs="宋体"/>
              </w:rPr>
              <w:drawing>
                <wp:inline distT="0" distB="0" distL="114300" distR="114300">
                  <wp:extent cx="2771140" cy="1500505"/>
                  <wp:effectExtent l="0" t="0" r="10160" b="4445"/>
                  <wp:docPr id="1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0"/>
                          <pic:cNvPicPr>
                            <a:picLocks noChangeAspect="1"/>
                          </pic:cNvPicPr>
                        </pic:nvPicPr>
                        <pic:blipFill>
                          <a:blip r:embed="rId34"/>
                          <a:stretch>
                            <a:fillRect/>
                          </a:stretch>
                        </pic:blipFill>
                        <pic:spPr>
                          <a:xfrm>
                            <a:off x="0" y="0"/>
                            <a:ext cx="2771140" cy="1500505"/>
                          </a:xfrm>
                          <a:prstGeom prst="rect">
                            <a:avLst/>
                          </a:prstGeom>
                          <a:noFill/>
                          <a:ln>
                            <a:noFill/>
                          </a:ln>
                        </pic:spPr>
                      </pic:pic>
                    </a:graphicData>
                  </a:graphic>
                </wp:inline>
              </w:drawing>
            </w:r>
          </w:p>
          <w:p w14:paraId="45088617">
            <w:pPr>
              <w:keepNext w:val="0"/>
              <w:keepLines w:val="0"/>
              <w:suppressLineNumbers w:val="0"/>
              <w:adjustRightInd w:val="0"/>
              <w:snapToGrid w:val="0"/>
              <w:spacing w:before="0" w:beforeAutospacing="0" w:after="0" w:afterAutospacing="0"/>
              <w:ind w:left="0" w:right="0"/>
              <w:jc w:val="center"/>
              <w:outlineLvl w:val="5"/>
              <w:rPr>
                <w:rFonts w:hint="eastAsia" w:ascii="宋体" w:hAnsi="宋体" w:eastAsia="宋体" w:cs="宋体"/>
              </w:rPr>
            </w:pPr>
            <w:bookmarkStart w:id="180" w:name="_Ref500145485"/>
            <w:r>
              <w:rPr>
                <w:rFonts w:hint="eastAsia" w:ascii="宋体" w:hAnsi="宋体" w:eastAsia="宋体" w:cs="宋体"/>
                <w:b/>
                <w:bCs/>
              </w:rPr>
              <w:t>图</w:t>
            </w:r>
            <w:bookmarkEnd w:id="180"/>
            <w:r>
              <w:rPr>
                <w:rFonts w:hint="eastAsia" w:ascii="宋体" w:hAnsi="宋体" w:eastAsia="宋体" w:cs="宋体"/>
                <w:b/>
                <w:bCs/>
              </w:rPr>
              <w:t>4-</w:t>
            </w:r>
            <w:r>
              <w:rPr>
                <w:rFonts w:hint="eastAsia" w:ascii="宋体" w:hAnsi="宋体" w:eastAsia="宋体" w:cs="宋体"/>
                <w:b/>
                <w:bCs/>
                <w:lang w:val="en-US" w:eastAsia="zh-CN"/>
              </w:rPr>
              <w:t>5</w:t>
            </w:r>
            <w:r>
              <w:rPr>
                <w:rFonts w:hint="eastAsia" w:ascii="宋体" w:hAnsi="宋体" w:eastAsia="宋体" w:cs="宋体"/>
                <w:b/>
                <w:bCs/>
              </w:rPr>
              <w:t xml:space="preserve">  HDPE膜与基础连接示意图</w:t>
            </w:r>
          </w:p>
          <w:p w14:paraId="0778C69A">
            <w:pPr>
              <w:pStyle w:val="72"/>
              <w:keepNext w:val="0"/>
              <w:keepLines w:val="0"/>
              <w:suppressLineNumbers w:val="0"/>
              <w:spacing w:before="0" w:beforeAutospacing="0" w:after="0" w:afterAutospacing="0" w:line="360" w:lineRule="auto"/>
              <w:ind w:left="0" w:right="0" w:firstLine="480"/>
              <w:jc w:val="left"/>
              <w:rPr>
                <w:rFonts w:hint="eastAsia" w:ascii="宋体" w:hAnsi="宋体" w:eastAsia="宋体" w:cs="宋体"/>
              </w:rPr>
            </w:pPr>
            <w:r>
              <w:rPr>
                <w:rFonts w:hint="eastAsia" w:ascii="宋体" w:hAnsi="宋体" w:eastAsia="宋体" w:cs="宋体"/>
              </w:rPr>
              <w:t>2）一般防渗区</w:t>
            </w:r>
          </w:p>
          <w:p w14:paraId="6E2EC832">
            <w:pPr>
              <w:pStyle w:val="72"/>
              <w:keepNext w:val="0"/>
              <w:keepLines w:val="0"/>
              <w:suppressLineNumbers w:val="0"/>
              <w:spacing w:before="0" w:beforeAutospacing="0" w:after="0" w:afterAutospacing="0" w:line="360" w:lineRule="auto"/>
              <w:ind w:left="0" w:right="0" w:firstLine="480"/>
              <w:jc w:val="left"/>
              <w:rPr>
                <w:rFonts w:hint="eastAsia" w:ascii="宋体" w:hAnsi="宋体" w:eastAsia="宋体" w:cs="宋体"/>
              </w:rPr>
            </w:pPr>
            <w:r>
              <w:rPr>
                <w:rFonts w:hint="eastAsia" w:ascii="宋体" w:hAnsi="宋体" w:eastAsia="宋体" w:cs="宋体"/>
              </w:rPr>
              <w:t>加强一般污染区防治区的防渗漏措施，对污染防治区进行划分，本项目重点污染防治区以外的地方为一般污染防治区。一般防渗区防渗设计要求等效黏土防渗层Mb≥1.5m，K≤1×10</w:t>
            </w:r>
            <w:r>
              <w:rPr>
                <w:rFonts w:hint="eastAsia" w:ascii="宋体" w:hAnsi="宋体" w:eastAsia="宋体" w:cs="宋体"/>
                <w:vertAlign w:val="superscript"/>
              </w:rPr>
              <w:t>-7</w:t>
            </w:r>
            <w:r>
              <w:rPr>
                <w:rFonts w:hint="eastAsia" w:ascii="宋体" w:hAnsi="宋体" w:eastAsia="宋体" w:cs="宋体"/>
              </w:rPr>
              <w:t>cm/s。根据标准要求，当天然基础层的渗透系数大于1.0×10</w:t>
            </w:r>
            <w:r>
              <w:rPr>
                <w:rFonts w:hint="eastAsia" w:ascii="宋体" w:hAnsi="宋体" w:eastAsia="宋体" w:cs="宋体"/>
                <w:vertAlign w:val="superscript"/>
              </w:rPr>
              <w:t>-7</w:t>
            </w:r>
            <w:r>
              <w:rPr>
                <w:rFonts w:hint="eastAsia" w:ascii="宋体" w:hAnsi="宋体" w:eastAsia="宋体" w:cs="宋体"/>
              </w:rPr>
              <w:t>cm/s时，采用天然或人工材料构筑防渗层，防渗层的厚度相当于渗透系数1.0×10</w:t>
            </w:r>
            <w:r>
              <w:rPr>
                <w:rFonts w:hint="eastAsia" w:ascii="宋体" w:hAnsi="宋体" w:eastAsia="宋体" w:cs="宋体"/>
                <w:vertAlign w:val="superscript"/>
              </w:rPr>
              <w:t>-7</w:t>
            </w:r>
            <w:r>
              <w:rPr>
                <w:rFonts w:hint="eastAsia" w:ascii="宋体" w:hAnsi="宋体" w:eastAsia="宋体" w:cs="宋体"/>
              </w:rPr>
              <w:t>cm/s和厚度1.5m的粘土层的防渗性能。</w:t>
            </w:r>
          </w:p>
          <w:p w14:paraId="58D66787">
            <w:pPr>
              <w:pStyle w:val="16"/>
              <w:keepNext w:val="0"/>
              <w:keepLines w:val="0"/>
              <w:numPr>
                <w:ilvl w:val="0"/>
                <w:numId w:val="0"/>
              </w:numPr>
              <w:suppressLineNumbers w:val="0"/>
              <w:adjustRightInd w:val="0"/>
              <w:snapToGrid w:val="0"/>
              <w:spacing w:before="0" w:beforeAutospacing="0" w:after="0" w:afterAutospacing="0"/>
              <w:ind w:left="0" w:right="0"/>
              <w:jc w:val="center"/>
              <w:rPr>
                <w:rFonts w:hint="eastAsia" w:ascii="宋体" w:hAnsi="宋体" w:eastAsia="宋体" w:cs="宋体"/>
              </w:rPr>
            </w:pPr>
            <w:r>
              <w:rPr>
                <w:rFonts w:hint="eastAsia" w:ascii="宋体" w:hAnsi="宋体" w:eastAsia="宋体" w:cs="宋体"/>
                <w:b/>
                <w:bCs/>
              </w:rPr>
              <w:t>表4-2</w:t>
            </w:r>
            <w:r>
              <w:rPr>
                <w:rFonts w:hint="eastAsia" w:ascii="宋体" w:hAnsi="宋体" w:eastAsia="宋体" w:cs="宋体"/>
                <w:b/>
                <w:bCs/>
                <w:lang w:val="en-US" w:eastAsia="zh-CN"/>
              </w:rPr>
              <w:t>6</w:t>
            </w:r>
            <w:r>
              <w:rPr>
                <w:rFonts w:hint="eastAsia" w:ascii="宋体" w:hAnsi="宋体" w:eastAsia="宋体" w:cs="宋体"/>
                <w:b/>
                <w:bCs/>
              </w:rPr>
              <w:t xml:space="preserve">  本项目防渗分区表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2"/>
              <w:gridCol w:w="2369"/>
              <w:gridCol w:w="1283"/>
              <w:gridCol w:w="3770"/>
            </w:tblGrid>
            <w:tr w14:paraId="3D86E2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09" w:type="pct"/>
                  <w:noWrap w:val="0"/>
                  <w:vAlign w:val="center"/>
                </w:tcPr>
                <w:p w14:paraId="583F4466">
                  <w:pPr>
                    <w:pStyle w:val="16"/>
                    <w:keepNext w:val="0"/>
                    <w:keepLines w:val="0"/>
                    <w:numPr>
                      <w:ilvl w:val="0"/>
                      <w:numId w:val="0"/>
                    </w:numPr>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1465" w:type="pct"/>
                  <w:noWrap w:val="0"/>
                  <w:vAlign w:val="center"/>
                </w:tcPr>
                <w:p w14:paraId="1B6F57F7">
                  <w:pPr>
                    <w:pStyle w:val="16"/>
                    <w:keepNext w:val="0"/>
                    <w:keepLines w:val="0"/>
                    <w:numPr>
                      <w:ilvl w:val="0"/>
                      <w:numId w:val="0"/>
                    </w:numPr>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防渗单元</w:t>
                  </w:r>
                </w:p>
              </w:tc>
              <w:tc>
                <w:tcPr>
                  <w:tcW w:w="793" w:type="pct"/>
                  <w:noWrap w:val="0"/>
                  <w:vAlign w:val="center"/>
                </w:tcPr>
                <w:p w14:paraId="2BF7BE49">
                  <w:pPr>
                    <w:pStyle w:val="16"/>
                    <w:keepNext w:val="0"/>
                    <w:keepLines w:val="0"/>
                    <w:numPr>
                      <w:ilvl w:val="0"/>
                      <w:numId w:val="0"/>
                    </w:numPr>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防渗分区</w:t>
                  </w:r>
                </w:p>
              </w:tc>
              <w:tc>
                <w:tcPr>
                  <w:tcW w:w="2331" w:type="pct"/>
                  <w:noWrap w:val="0"/>
                  <w:vAlign w:val="center"/>
                </w:tcPr>
                <w:p w14:paraId="3379FEC0">
                  <w:pPr>
                    <w:pStyle w:val="16"/>
                    <w:keepNext w:val="0"/>
                    <w:keepLines w:val="0"/>
                    <w:numPr>
                      <w:ilvl w:val="0"/>
                      <w:numId w:val="0"/>
                    </w:numPr>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防渗技术要求</w:t>
                  </w:r>
                </w:p>
              </w:tc>
            </w:tr>
            <w:tr w14:paraId="40AF6F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9" w:type="pct"/>
                  <w:noWrap w:val="0"/>
                  <w:vAlign w:val="center"/>
                </w:tcPr>
                <w:p w14:paraId="67013D34">
                  <w:pPr>
                    <w:pStyle w:val="16"/>
                    <w:keepNext w:val="0"/>
                    <w:keepLines w:val="0"/>
                    <w:numPr>
                      <w:ilvl w:val="0"/>
                      <w:numId w:val="0"/>
                    </w:numPr>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1</w:t>
                  </w:r>
                </w:p>
              </w:tc>
              <w:tc>
                <w:tcPr>
                  <w:tcW w:w="1465" w:type="pct"/>
                  <w:noWrap w:val="0"/>
                  <w:vAlign w:val="center"/>
                </w:tcPr>
                <w:p w14:paraId="0DB10B18">
                  <w:pPr>
                    <w:pStyle w:val="16"/>
                    <w:keepNext w:val="0"/>
                    <w:keepLines w:val="0"/>
                    <w:numPr>
                      <w:ilvl w:val="0"/>
                      <w:numId w:val="0"/>
                    </w:numPr>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表面预处理线</w:t>
                  </w:r>
                </w:p>
                <w:p w14:paraId="4B6BC9E2">
                  <w:pPr>
                    <w:pStyle w:val="16"/>
                    <w:keepNext w:val="0"/>
                    <w:keepLines w:val="0"/>
                    <w:numPr>
                      <w:ilvl w:val="0"/>
                      <w:numId w:val="0"/>
                    </w:numPr>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车间二层</w:t>
                  </w:r>
                  <w:r>
                    <w:rPr>
                      <w:rFonts w:hint="eastAsia" w:ascii="宋体" w:hAnsi="宋体" w:eastAsia="宋体" w:cs="宋体"/>
                      <w:sz w:val="21"/>
                      <w:szCs w:val="21"/>
                      <w:lang w:eastAsia="zh-CN"/>
                    </w:rPr>
                    <w:t>）</w:t>
                  </w:r>
                </w:p>
              </w:tc>
              <w:tc>
                <w:tcPr>
                  <w:tcW w:w="793" w:type="pct"/>
                  <w:noWrap w:val="0"/>
                  <w:vAlign w:val="center"/>
                </w:tcPr>
                <w:p w14:paraId="1C540862">
                  <w:pPr>
                    <w:pStyle w:val="16"/>
                    <w:keepNext w:val="0"/>
                    <w:keepLines w:val="0"/>
                    <w:numPr>
                      <w:ilvl w:val="0"/>
                      <w:numId w:val="0"/>
                    </w:numPr>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重点防渗区</w:t>
                  </w:r>
                </w:p>
              </w:tc>
              <w:tc>
                <w:tcPr>
                  <w:tcW w:w="2331" w:type="pct"/>
                  <w:vMerge w:val="restart"/>
                  <w:noWrap w:val="0"/>
                  <w:vAlign w:val="center"/>
                </w:tcPr>
                <w:p w14:paraId="5ED87A20">
                  <w:pPr>
                    <w:pStyle w:val="16"/>
                    <w:keepNext w:val="0"/>
                    <w:keepLines w:val="0"/>
                    <w:numPr>
                      <w:ilvl w:val="0"/>
                      <w:numId w:val="0"/>
                    </w:numPr>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基础必须防渗，防渗层为至少1m厚黏土层（渗透系数≤10</w:t>
                  </w:r>
                  <w:r>
                    <w:rPr>
                      <w:rFonts w:hint="eastAsia" w:ascii="宋体" w:hAnsi="宋体" w:eastAsia="宋体" w:cs="宋体"/>
                      <w:sz w:val="21"/>
                      <w:szCs w:val="21"/>
                      <w:vertAlign w:val="superscript"/>
                    </w:rPr>
                    <w:t>-7</w:t>
                  </w:r>
                  <w:r>
                    <w:rPr>
                      <w:rFonts w:hint="eastAsia" w:ascii="宋体" w:hAnsi="宋体" w:eastAsia="宋体" w:cs="宋体"/>
                      <w:sz w:val="21"/>
                      <w:szCs w:val="21"/>
                    </w:rPr>
                    <w:t>cm/s），或2mm厚高密度聚乙烯，或至少2mm厚的其他人工材料，渗透系数≤10</w:t>
                  </w:r>
                  <w:r>
                    <w:rPr>
                      <w:rFonts w:hint="eastAsia" w:ascii="宋体" w:hAnsi="宋体" w:eastAsia="宋体" w:cs="宋体"/>
                      <w:sz w:val="21"/>
                      <w:szCs w:val="21"/>
                      <w:vertAlign w:val="superscript"/>
                    </w:rPr>
                    <w:t>-7</w:t>
                  </w:r>
                  <w:r>
                    <w:rPr>
                      <w:rFonts w:hint="eastAsia" w:ascii="宋体" w:hAnsi="宋体" w:eastAsia="宋体" w:cs="宋体"/>
                      <w:sz w:val="21"/>
                      <w:szCs w:val="21"/>
                    </w:rPr>
                    <w:t>cm/s</w:t>
                  </w:r>
                </w:p>
              </w:tc>
            </w:tr>
            <w:tr w14:paraId="4D153F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9" w:type="pct"/>
                  <w:noWrap w:val="0"/>
                  <w:vAlign w:val="center"/>
                </w:tcPr>
                <w:p w14:paraId="4B198C68">
                  <w:pPr>
                    <w:pStyle w:val="16"/>
                    <w:keepNext w:val="0"/>
                    <w:keepLines w:val="0"/>
                    <w:numPr>
                      <w:ilvl w:val="0"/>
                      <w:numId w:val="0"/>
                    </w:numPr>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2</w:t>
                  </w:r>
                </w:p>
              </w:tc>
              <w:tc>
                <w:tcPr>
                  <w:tcW w:w="1465" w:type="pct"/>
                  <w:noWrap w:val="0"/>
                  <w:vAlign w:val="center"/>
                </w:tcPr>
                <w:p w14:paraId="5D62C2D8">
                  <w:pPr>
                    <w:pStyle w:val="16"/>
                    <w:keepNext w:val="0"/>
                    <w:keepLines w:val="0"/>
                    <w:numPr>
                      <w:ilvl w:val="0"/>
                      <w:numId w:val="0"/>
                    </w:numPr>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eastAsia="zh-CN"/>
                    </w:rPr>
                  </w:pPr>
                  <w:r>
                    <w:rPr>
                      <w:rFonts w:hint="eastAsia" w:ascii="宋体" w:hAnsi="宋体" w:eastAsia="宋体" w:cs="宋体"/>
                      <w:sz w:val="21"/>
                      <w:szCs w:val="21"/>
                    </w:rPr>
                    <w:t>喷</w:t>
                  </w:r>
                  <w:r>
                    <w:rPr>
                      <w:rFonts w:hint="eastAsia" w:ascii="宋体" w:hAnsi="宋体" w:eastAsia="宋体" w:cs="宋体"/>
                      <w:sz w:val="21"/>
                      <w:szCs w:val="21"/>
                      <w:lang w:val="en-US" w:eastAsia="zh-CN"/>
                    </w:rPr>
                    <w:t>塑</w:t>
                  </w:r>
                  <w:r>
                    <w:rPr>
                      <w:rFonts w:hint="eastAsia" w:ascii="宋体" w:hAnsi="宋体" w:eastAsia="宋体" w:cs="宋体"/>
                      <w:sz w:val="21"/>
                      <w:szCs w:val="21"/>
                    </w:rPr>
                    <w:t>房</w:t>
                  </w:r>
                  <w:r>
                    <w:rPr>
                      <w:rFonts w:hint="eastAsia" w:ascii="宋体" w:hAnsi="宋体" w:eastAsia="宋体" w:cs="宋体"/>
                      <w:sz w:val="21"/>
                      <w:szCs w:val="21"/>
                      <w:lang w:eastAsia="zh-CN"/>
                    </w:rPr>
                    <w:t>（车间一层）</w:t>
                  </w:r>
                </w:p>
              </w:tc>
              <w:tc>
                <w:tcPr>
                  <w:tcW w:w="793" w:type="pct"/>
                  <w:noWrap w:val="0"/>
                  <w:vAlign w:val="center"/>
                </w:tcPr>
                <w:p w14:paraId="36099F2F">
                  <w:pPr>
                    <w:pStyle w:val="16"/>
                    <w:keepNext w:val="0"/>
                    <w:keepLines w:val="0"/>
                    <w:numPr>
                      <w:ilvl w:val="0"/>
                      <w:numId w:val="0"/>
                    </w:numPr>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重点防渗区</w:t>
                  </w:r>
                </w:p>
              </w:tc>
              <w:tc>
                <w:tcPr>
                  <w:tcW w:w="2331" w:type="pct"/>
                  <w:vMerge w:val="continue"/>
                  <w:noWrap w:val="0"/>
                  <w:vAlign w:val="center"/>
                </w:tcPr>
                <w:p w14:paraId="20C1E6A7">
                  <w:pPr>
                    <w:pStyle w:val="16"/>
                    <w:keepNext w:val="0"/>
                    <w:keepLines w:val="0"/>
                    <w:numPr>
                      <w:ilvl w:val="0"/>
                      <w:numId w:val="0"/>
                    </w:numPr>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r>
            <w:tr w14:paraId="40CD1E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9" w:type="pct"/>
                  <w:noWrap w:val="0"/>
                  <w:vAlign w:val="center"/>
                </w:tcPr>
                <w:p w14:paraId="67B44337">
                  <w:pPr>
                    <w:pStyle w:val="16"/>
                    <w:keepNext w:val="0"/>
                    <w:keepLines w:val="0"/>
                    <w:numPr>
                      <w:ilvl w:val="0"/>
                      <w:numId w:val="0"/>
                    </w:numPr>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1465" w:type="pct"/>
                  <w:noWrap w:val="0"/>
                  <w:vAlign w:val="center"/>
                </w:tcPr>
                <w:p w14:paraId="049793DF">
                  <w:pPr>
                    <w:pStyle w:val="16"/>
                    <w:keepNext w:val="0"/>
                    <w:keepLines w:val="0"/>
                    <w:numPr>
                      <w:ilvl w:val="0"/>
                      <w:numId w:val="0"/>
                    </w:numPr>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危废暂存间</w:t>
                  </w:r>
                </w:p>
              </w:tc>
              <w:tc>
                <w:tcPr>
                  <w:tcW w:w="793" w:type="pct"/>
                  <w:noWrap w:val="0"/>
                  <w:vAlign w:val="center"/>
                </w:tcPr>
                <w:p w14:paraId="4046CBEB">
                  <w:pPr>
                    <w:pStyle w:val="16"/>
                    <w:keepNext w:val="0"/>
                    <w:keepLines w:val="0"/>
                    <w:numPr>
                      <w:ilvl w:val="0"/>
                      <w:numId w:val="0"/>
                    </w:numPr>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重点防渗区</w:t>
                  </w:r>
                </w:p>
              </w:tc>
              <w:tc>
                <w:tcPr>
                  <w:tcW w:w="2331" w:type="pct"/>
                  <w:vMerge w:val="continue"/>
                  <w:noWrap w:val="0"/>
                  <w:vAlign w:val="center"/>
                </w:tcPr>
                <w:p w14:paraId="232E71D3">
                  <w:pPr>
                    <w:pStyle w:val="16"/>
                    <w:keepNext w:val="0"/>
                    <w:keepLines w:val="0"/>
                    <w:numPr>
                      <w:ilvl w:val="0"/>
                      <w:numId w:val="0"/>
                    </w:numPr>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r>
            <w:tr w14:paraId="44CDA0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9" w:type="pct"/>
                  <w:noWrap w:val="0"/>
                  <w:vAlign w:val="center"/>
                </w:tcPr>
                <w:p w14:paraId="3B1CC96F">
                  <w:pPr>
                    <w:pStyle w:val="16"/>
                    <w:keepNext w:val="0"/>
                    <w:keepLines w:val="0"/>
                    <w:numPr>
                      <w:ilvl w:val="0"/>
                      <w:numId w:val="0"/>
                    </w:numPr>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1465" w:type="pct"/>
                  <w:noWrap w:val="0"/>
                  <w:vAlign w:val="center"/>
                </w:tcPr>
                <w:p w14:paraId="7DEE2120">
                  <w:pPr>
                    <w:pStyle w:val="16"/>
                    <w:keepNext w:val="0"/>
                    <w:keepLines w:val="0"/>
                    <w:numPr>
                      <w:ilvl w:val="0"/>
                      <w:numId w:val="0"/>
                    </w:numPr>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污水处理站</w:t>
                  </w:r>
                </w:p>
              </w:tc>
              <w:tc>
                <w:tcPr>
                  <w:tcW w:w="793" w:type="pct"/>
                  <w:noWrap w:val="0"/>
                  <w:vAlign w:val="center"/>
                </w:tcPr>
                <w:p w14:paraId="61DF43FC">
                  <w:pPr>
                    <w:pStyle w:val="16"/>
                    <w:keepNext w:val="0"/>
                    <w:keepLines w:val="0"/>
                    <w:numPr>
                      <w:ilvl w:val="0"/>
                      <w:numId w:val="0"/>
                    </w:numPr>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重点防渗区</w:t>
                  </w:r>
                </w:p>
              </w:tc>
              <w:tc>
                <w:tcPr>
                  <w:tcW w:w="2331" w:type="pct"/>
                  <w:vMerge w:val="continue"/>
                  <w:noWrap w:val="0"/>
                  <w:vAlign w:val="center"/>
                </w:tcPr>
                <w:p w14:paraId="765A8DEF">
                  <w:pPr>
                    <w:pStyle w:val="16"/>
                    <w:keepNext w:val="0"/>
                    <w:keepLines w:val="0"/>
                    <w:numPr>
                      <w:ilvl w:val="0"/>
                      <w:numId w:val="0"/>
                    </w:numPr>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r>
            <w:tr w14:paraId="3C697B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9" w:type="pct"/>
                  <w:noWrap w:val="0"/>
                  <w:vAlign w:val="center"/>
                </w:tcPr>
                <w:p w14:paraId="731D24F5">
                  <w:pPr>
                    <w:pStyle w:val="16"/>
                    <w:keepNext w:val="0"/>
                    <w:keepLines w:val="0"/>
                    <w:numPr>
                      <w:ilvl w:val="0"/>
                      <w:numId w:val="0"/>
                    </w:numPr>
                    <w:suppressLineNumbers w:val="0"/>
                    <w:adjustRightInd w:val="0"/>
                    <w:snapToGrid w:val="0"/>
                    <w:spacing w:before="0" w:beforeAutospacing="0" w:after="0" w:afterAutospacing="0" w:line="240" w:lineRule="atLeast"/>
                    <w:ind w:left="0" w:leftChars="0" w:right="0" w:firstLine="0" w:firstLineChars="0"/>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w:t>
                  </w:r>
                </w:p>
              </w:tc>
              <w:tc>
                <w:tcPr>
                  <w:tcW w:w="1465" w:type="pct"/>
                  <w:noWrap w:val="0"/>
                  <w:vAlign w:val="center"/>
                </w:tcPr>
                <w:p w14:paraId="1F361F94">
                  <w:pPr>
                    <w:pStyle w:val="16"/>
                    <w:keepNext w:val="0"/>
                    <w:keepLines w:val="0"/>
                    <w:numPr>
                      <w:ilvl w:val="0"/>
                      <w:numId w:val="0"/>
                    </w:numPr>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原</w:t>
                  </w:r>
                  <w:r>
                    <w:rPr>
                      <w:rFonts w:hint="eastAsia" w:ascii="宋体" w:hAnsi="宋体" w:eastAsia="宋体" w:cs="宋体"/>
                      <w:sz w:val="21"/>
                      <w:szCs w:val="21"/>
                    </w:rPr>
                    <w:t>料仓库</w:t>
                  </w:r>
                </w:p>
              </w:tc>
              <w:tc>
                <w:tcPr>
                  <w:tcW w:w="793" w:type="pct"/>
                  <w:noWrap w:val="0"/>
                  <w:vAlign w:val="center"/>
                </w:tcPr>
                <w:p w14:paraId="346C3E3D">
                  <w:pPr>
                    <w:pStyle w:val="16"/>
                    <w:keepNext w:val="0"/>
                    <w:keepLines w:val="0"/>
                    <w:numPr>
                      <w:ilvl w:val="0"/>
                      <w:numId w:val="0"/>
                    </w:numPr>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重点防渗区</w:t>
                  </w:r>
                </w:p>
              </w:tc>
              <w:tc>
                <w:tcPr>
                  <w:tcW w:w="2331" w:type="pct"/>
                  <w:vMerge w:val="continue"/>
                  <w:noWrap w:val="0"/>
                  <w:vAlign w:val="center"/>
                </w:tcPr>
                <w:p w14:paraId="0D549C12">
                  <w:pPr>
                    <w:pStyle w:val="16"/>
                    <w:keepNext w:val="0"/>
                    <w:keepLines w:val="0"/>
                    <w:numPr>
                      <w:ilvl w:val="0"/>
                      <w:numId w:val="0"/>
                    </w:numPr>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r>
            <w:tr w14:paraId="4B757D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409" w:type="pct"/>
                  <w:noWrap w:val="0"/>
                  <w:vAlign w:val="center"/>
                </w:tcPr>
                <w:p w14:paraId="49E2C4B4">
                  <w:pPr>
                    <w:pStyle w:val="16"/>
                    <w:keepNext w:val="0"/>
                    <w:keepLines w:val="0"/>
                    <w:numPr>
                      <w:ilvl w:val="0"/>
                      <w:numId w:val="0"/>
                    </w:numPr>
                    <w:suppressLineNumbers w:val="0"/>
                    <w:adjustRightInd w:val="0"/>
                    <w:snapToGrid w:val="0"/>
                    <w:spacing w:before="0" w:beforeAutospacing="0" w:after="0" w:afterAutospacing="0" w:line="240" w:lineRule="atLeast"/>
                    <w:ind w:left="0" w:leftChars="0" w:right="0" w:firstLine="0" w:firstLineChars="0"/>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w:t>
                  </w:r>
                </w:p>
              </w:tc>
              <w:tc>
                <w:tcPr>
                  <w:tcW w:w="1465" w:type="pct"/>
                  <w:noWrap w:val="0"/>
                  <w:vAlign w:val="center"/>
                </w:tcPr>
                <w:p w14:paraId="40CCE14B">
                  <w:pPr>
                    <w:pStyle w:val="16"/>
                    <w:keepNext w:val="0"/>
                    <w:keepLines w:val="0"/>
                    <w:numPr>
                      <w:ilvl w:val="0"/>
                      <w:numId w:val="0"/>
                    </w:numPr>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喷砂、打磨</w:t>
                  </w:r>
                  <w:r>
                    <w:rPr>
                      <w:rFonts w:hint="eastAsia" w:ascii="宋体" w:hAnsi="宋体" w:eastAsia="宋体" w:cs="宋体"/>
                      <w:sz w:val="21"/>
                      <w:szCs w:val="21"/>
                    </w:rPr>
                    <w:t>区</w:t>
                  </w:r>
                </w:p>
              </w:tc>
              <w:tc>
                <w:tcPr>
                  <w:tcW w:w="793" w:type="pct"/>
                  <w:noWrap w:val="0"/>
                  <w:vAlign w:val="center"/>
                </w:tcPr>
                <w:p w14:paraId="033DAA74">
                  <w:pPr>
                    <w:pStyle w:val="16"/>
                    <w:keepNext w:val="0"/>
                    <w:keepLines w:val="0"/>
                    <w:numPr>
                      <w:ilvl w:val="0"/>
                      <w:numId w:val="0"/>
                    </w:numPr>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一般防渗区</w:t>
                  </w:r>
                </w:p>
              </w:tc>
              <w:tc>
                <w:tcPr>
                  <w:tcW w:w="2331" w:type="pct"/>
                  <w:vMerge w:val="restart"/>
                  <w:noWrap w:val="0"/>
                  <w:vAlign w:val="center"/>
                </w:tcPr>
                <w:p w14:paraId="4314EBA0">
                  <w:pPr>
                    <w:pStyle w:val="16"/>
                    <w:keepNext w:val="0"/>
                    <w:keepLines w:val="0"/>
                    <w:numPr>
                      <w:ilvl w:val="0"/>
                      <w:numId w:val="0"/>
                    </w:numPr>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等效黏土防渗层Mb≥1.5m，K≤1×10</w:t>
                  </w:r>
                  <w:r>
                    <w:rPr>
                      <w:rFonts w:hint="eastAsia" w:ascii="宋体" w:hAnsi="宋体" w:eastAsia="宋体" w:cs="宋体"/>
                      <w:sz w:val="21"/>
                      <w:szCs w:val="21"/>
                      <w:vertAlign w:val="superscript"/>
                    </w:rPr>
                    <w:t>-7</w:t>
                  </w:r>
                  <w:r>
                    <w:rPr>
                      <w:rFonts w:hint="eastAsia" w:ascii="宋体" w:hAnsi="宋体" w:eastAsia="宋体" w:cs="宋体"/>
                      <w:sz w:val="21"/>
                      <w:szCs w:val="21"/>
                    </w:rPr>
                    <w:t>cm/s，或参照 GB 16889 执行</w:t>
                  </w:r>
                </w:p>
              </w:tc>
            </w:tr>
            <w:tr w14:paraId="1F01F7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409" w:type="pct"/>
                  <w:noWrap w:val="0"/>
                  <w:vAlign w:val="center"/>
                </w:tcPr>
                <w:p w14:paraId="72C1FC45">
                  <w:pPr>
                    <w:pStyle w:val="16"/>
                    <w:keepNext w:val="0"/>
                    <w:keepLines w:val="0"/>
                    <w:numPr>
                      <w:ilvl w:val="0"/>
                      <w:numId w:val="0"/>
                    </w:numPr>
                    <w:suppressLineNumbers w:val="0"/>
                    <w:adjustRightInd w:val="0"/>
                    <w:snapToGrid w:val="0"/>
                    <w:spacing w:before="0" w:beforeAutospacing="0" w:after="0" w:afterAutospacing="0" w:line="240" w:lineRule="atLeast"/>
                    <w:ind w:left="0" w:leftChars="0" w:right="0" w:firstLine="0" w:firstLineChars="0"/>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7</w:t>
                  </w:r>
                </w:p>
              </w:tc>
              <w:tc>
                <w:tcPr>
                  <w:tcW w:w="1465" w:type="pct"/>
                  <w:noWrap w:val="0"/>
                  <w:vAlign w:val="center"/>
                </w:tcPr>
                <w:p w14:paraId="7AF5F633">
                  <w:pPr>
                    <w:pStyle w:val="16"/>
                    <w:keepNext w:val="0"/>
                    <w:keepLines w:val="0"/>
                    <w:numPr>
                      <w:ilvl w:val="0"/>
                      <w:numId w:val="0"/>
                    </w:numPr>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原料堆场</w:t>
                  </w:r>
                </w:p>
              </w:tc>
              <w:tc>
                <w:tcPr>
                  <w:tcW w:w="793" w:type="pct"/>
                  <w:noWrap w:val="0"/>
                  <w:vAlign w:val="center"/>
                </w:tcPr>
                <w:p w14:paraId="76DAFD5E">
                  <w:pPr>
                    <w:pStyle w:val="16"/>
                    <w:keepNext w:val="0"/>
                    <w:keepLines w:val="0"/>
                    <w:numPr>
                      <w:ilvl w:val="0"/>
                      <w:numId w:val="0"/>
                    </w:numPr>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一般防渗区</w:t>
                  </w:r>
                </w:p>
              </w:tc>
              <w:tc>
                <w:tcPr>
                  <w:tcW w:w="2331" w:type="pct"/>
                  <w:vMerge w:val="continue"/>
                  <w:noWrap w:val="0"/>
                  <w:vAlign w:val="center"/>
                </w:tcPr>
                <w:p w14:paraId="640B7F9F">
                  <w:pPr>
                    <w:pStyle w:val="16"/>
                    <w:keepNext w:val="0"/>
                    <w:keepLines w:val="0"/>
                    <w:numPr>
                      <w:ilvl w:val="0"/>
                      <w:numId w:val="0"/>
                    </w:numPr>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r>
            <w:tr w14:paraId="4BEAC7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9" w:type="pct"/>
                  <w:noWrap w:val="0"/>
                  <w:vAlign w:val="center"/>
                </w:tcPr>
                <w:p w14:paraId="0E799308">
                  <w:pPr>
                    <w:pStyle w:val="16"/>
                    <w:keepNext w:val="0"/>
                    <w:keepLines w:val="0"/>
                    <w:numPr>
                      <w:ilvl w:val="0"/>
                      <w:numId w:val="0"/>
                    </w:numPr>
                    <w:suppressLineNumbers w:val="0"/>
                    <w:adjustRightInd w:val="0"/>
                    <w:snapToGrid w:val="0"/>
                    <w:spacing w:before="0" w:beforeAutospacing="0" w:after="0" w:afterAutospacing="0" w:line="240" w:lineRule="atLeast"/>
                    <w:ind w:left="0" w:leftChars="0" w:right="0" w:firstLine="0" w:firstLineChars="0"/>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w:t>
                  </w:r>
                </w:p>
              </w:tc>
              <w:tc>
                <w:tcPr>
                  <w:tcW w:w="1465" w:type="pct"/>
                  <w:noWrap w:val="0"/>
                  <w:vAlign w:val="center"/>
                </w:tcPr>
                <w:p w14:paraId="1C24E333">
                  <w:pPr>
                    <w:pStyle w:val="16"/>
                    <w:keepNext w:val="0"/>
                    <w:keepLines w:val="0"/>
                    <w:numPr>
                      <w:ilvl w:val="0"/>
                      <w:numId w:val="0"/>
                    </w:numPr>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lang w:eastAsia="zh-CN"/>
                    </w:rPr>
                    <w:t>成</w:t>
                  </w:r>
                  <w:r>
                    <w:rPr>
                      <w:rFonts w:hint="eastAsia" w:ascii="宋体" w:hAnsi="宋体" w:eastAsia="宋体" w:cs="宋体"/>
                      <w:sz w:val="21"/>
                      <w:szCs w:val="21"/>
                    </w:rPr>
                    <w:t>品堆场</w:t>
                  </w:r>
                </w:p>
              </w:tc>
              <w:tc>
                <w:tcPr>
                  <w:tcW w:w="793" w:type="pct"/>
                  <w:noWrap w:val="0"/>
                  <w:vAlign w:val="center"/>
                </w:tcPr>
                <w:p w14:paraId="1B3DFF86">
                  <w:pPr>
                    <w:pStyle w:val="16"/>
                    <w:keepNext w:val="0"/>
                    <w:keepLines w:val="0"/>
                    <w:numPr>
                      <w:ilvl w:val="0"/>
                      <w:numId w:val="0"/>
                    </w:numPr>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一般防渗区</w:t>
                  </w:r>
                </w:p>
              </w:tc>
              <w:tc>
                <w:tcPr>
                  <w:tcW w:w="2331" w:type="pct"/>
                  <w:vMerge w:val="continue"/>
                  <w:noWrap w:val="0"/>
                  <w:vAlign w:val="center"/>
                </w:tcPr>
                <w:p w14:paraId="3E2D2685">
                  <w:pPr>
                    <w:pStyle w:val="16"/>
                    <w:keepNext w:val="0"/>
                    <w:keepLines w:val="0"/>
                    <w:numPr>
                      <w:ilvl w:val="0"/>
                      <w:numId w:val="0"/>
                    </w:numPr>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r>
            <w:tr w14:paraId="5A56C0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9" w:type="pct"/>
                  <w:noWrap w:val="0"/>
                  <w:vAlign w:val="center"/>
                </w:tcPr>
                <w:p w14:paraId="36057105">
                  <w:pPr>
                    <w:pStyle w:val="16"/>
                    <w:keepNext w:val="0"/>
                    <w:keepLines w:val="0"/>
                    <w:numPr>
                      <w:ilvl w:val="0"/>
                      <w:numId w:val="0"/>
                    </w:numPr>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9</w:t>
                  </w:r>
                </w:p>
              </w:tc>
              <w:tc>
                <w:tcPr>
                  <w:tcW w:w="1465" w:type="pct"/>
                  <w:noWrap w:val="0"/>
                  <w:vAlign w:val="center"/>
                </w:tcPr>
                <w:p w14:paraId="7F4DC545">
                  <w:pPr>
                    <w:pStyle w:val="16"/>
                    <w:keepNext w:val="0"/>
                    <w:keepLines w:val="0"/>
                    <w:numPr>
                      <w:ilvl w:val="0"/>
                      <w:numId w:val="0"/>
                    </w:numPr>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办公室</w:t>
                  </w:r>
                </w:p>
              </w:tc>
              <w:tc>
                <w:tcPr>
                  <w:tcW w:w="793" w:type="pct"/>
                  <w:noWrap w:val="0"/>
                  <w:vAlign w:val="center"/>
                </w:tcPr>
                <w:p w14:paraId="412F5CFE">
                  <w:pPr>
                    <w:pStyle w:val="16"/>
                    <w:keepNext w:val="0"/>
                    <w:keepLines w:val="0"/>
                    <w:numPr>
                      <w:ilvl w:val="0"/>
                      <w:numId w:val="0"/>
                    </w:numPr>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一般防渗区</w:t>
                  </w:r>
                </w:p>
              </w:tc>
              <w:tc>
                <w:tcPr>
                  <w:tcW w:w="2331" w:type="pct"/>
                  <w:vMerge w:val="continue"/>
                  <w:noWrap w:val="0"/>
                  <w:vAlign w:val="center"/>
                </w:tcPr>
                <w:p w14:paraId="6FA14719">
                  <w:pPr>
                    <w:pStyle w:val="16"/>
                    <w:keepNext w:val="0"/>
                    <w:keepLines w:val="0"/>
                    <w:numPr>
                      <w:ilvl w:val="0"/>
                      <w:numId w:val="0"/>
                    </w:numPr>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p>
              </w:tc>
            </w:tr>
          </w:tbl>
          <w:p w14:paraId="0975BF9A">
            <w:pPr>
              <w:pStyle w:val="72"/>
              <w:keepNext w:val="0"/>
              <w:keepLines w:val="0"/>
              <w:suppressLineNumbers w:val="0"/>
              <w:spacing w:before="0" w:beforeAutospacing="0" w:after="0" w:afterAutospacing="0" w:line="360" w:lineRule="auto"/>
              <w:ind w:left="0" w:right="0" w:firstLine="480"/>
              <w:jc w:val="left"/>
              <w:rPr>
                <w:rFonts w:hint="eastAsia" w:ascii="宋体" w:hAnsi="宋体" w:eastAsia="宋体" w:cs="宋体"/>
              </w:rPr>
            </w:pPr>
            <w:r>
              <w:rPr>
                <w:rFonts w:hint="eastAsia" w:ascii="宋体" w:hAnsi="宋体" w:eastAsia="宋体" w:cs="宋体"/>
              </w:rPr>
              <w:t>通过以上防治措施，可将土壤污染的风险降到最低。企业在实际生产过程中，需严格控制污染物排放，采取严格的防渗措施，加强土壤及地下水监控。因此，本项目采用的土壤、地下水污染防治措施是可行的。</w:t>
            </w:r>
          </w:p>
          <w:p w14:paraId="44AD339D">
            <w:pPr>
              <w:pStyle w:val="72"/>
              <w:keepNext w:val="0"/>
              <w:keepLines w:val="0"/>
              <w:suppressLineNumbers w:val="0"/>
              <w:spacing w:before="0" w:beforeAutospacing="0" w:after="0" w:afterAutospacing="0" w:line="360" w:lineRule="auto"/>
              <w:ind w:left="0" w:leftChars="0" w:right="0" w:firstLine="0" w:firstLineChars="0"/>
              <w:jc w:val="center"/>
              <w:rPr>
                <w:rFonts w:hint="eastAsia" w:ascii="宋体" w:hAnsi="宋体" w:eastAsia="宋体" w:cs="宋体"/>
                <w:lang w:eastAsia="zh-CN"/>
              </w:rPr>
            </w:pPr>
          </w:p>
          <w:p w14:paraId="5D4D3402">
            <w:pPr>
              <w:pStyle w:val="72"/>
              <w:keepNext w:val="0"/>
              <w:keepLines w:val="0"/>
              <w:suppressLineNumbers w:val="0"/>
              <w:spacing w:before="0" w:beforeAutospacing="0" w:after="0" w:afterAutospacing="0" w:line="360" w:lineRule="auto"/>
              <w:ind w:left="0" w:leftChars="0" w:right="0" w:firstLine="0" w:firstLineChars="0"/>
              <w:jc w:val="center"/>
              <w:rPr>
                <w:rFonts w:hint="default" w:ascii="宋体" w:hAnsi="宋体" w:eastAsia="宋体" w:cs="宋体"/>
                <w:lang w:val="en-US" w:eastAsia="zh-CN"/>
              </w:rPr>
            </w:pPr>
          </w:p>
          <w:p w14:paraId="3A872F40">
            <w:pPr>
              <w:keepNext w:val="0"/>
              <w:keepLines w:val="0"/>
              <w:suppressLineNumbers w:val="0"/>
              <w:spacing w:before="0" w:beforeAutospacing="0" w:after="0" w:afterAutospacing="0"/>
              <w:ind w:left="0" w:right="0" w:firstLine="480" w:firstLineChars="200"/>
              <w:rPr>
                <w:rFonts w:hint="eastAsia" w:ascii="宋体" w:hAnsi="宋体" w:eastAsia="宋体" w:cs="宋体"/>
              </w:rPr>
            </w:pPr>
          </w:p>
          <w:p w14:paraId="766F6BB4">
            <w:pPr>
              <w:keepNext w:val="0"/>
              <w:keepLines w:val="0"/>
              <w:suppressLineNumbers w:val="0"/>
              <w:spacing w:before="0" w:beforeAutospacing="0" w:after="0" w:afterAutospacing="0"/>
              <w:ind w:left="0" w:right="0" w:firstLine="480" w:firstLineChars="200"/>
              <w:rPr>
                <w:rFonts w:hint="eastAsia" w:ascii="宋体" w:hAnsi="宋体" w:eastAsia="宋体" w:cs="宋体"/>
              </w:rPr>
            </w:pPr>
          </w:p>
          <w:p w14:paraId="50E7A7A7">
            <w:pPr>
              <w:keepNext w:val="0"/>
              <w:keepLines w:val="0"/>
              <w:suppressLineNumbers w:val="0"/>
              <w:spacing w:before="0" w:beforeAutospacing="0" w:after="0" w:afterAutospacing="0"/>
              <w:ind w:left="0" w:right="0"/>
              <w:rPr>
                <w:rFonts w:hint="eastAsia" w:ascii="宋体" w:hAnsi="宋体" w:eastAsia="宋体" w:cs="宋体"/>
              </w:rPr>
            </w:pPr>
          </w:p>
        </w:tc>
      </w:tr>
    </w:tbl>
    <w:p w14:paraId="16DCB7C9">
      <w:pPr>
        <w:pStyle w:val="2"/>
        <w:bidi w:val="0"/>
        <w:jc w:val="left"/>
        <w:rPr>
          <w:rFonts w:hint="eastAsia"/>
        </w:rPr>
        <w:sectPr>
          <w:pgSz w:w="11906" w:h="16838"/>
          <w:pgMar w:top="1440" w:right="1800" w:bottom="1440" w:left="1800" w:header="851" w:footer="851" w:gutter="0"/>
          <w:pgBorders>
            <w:top w:val="none" w:sz="0" w:space="0"/>
            <w:left w:val="none" w:sz="0" w:space="0"/>
            <w:bottom w:val="none" w:sz="0" w:space="0"/>
            <w:right w:val="none" w:sz="0" w:space="0"/>
          </w:pgBorders>
          <w:cols w:space="720" w:num="1"/>
          <w:docGrid w:linePitch="312" w:charSpace="0"/>
        </w:sectPr>
      </w:pPr>
    </w:p>
    <w:tbl>
      <w:tblPr>
        <w:tblStyle w:val="3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485"/>
        <w:gridCol w:w="13689"/>
      </w:tblGrid>
      <w:tr w14:paraId="71BAFD86">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485" w:type="dxa"/>
            <w:tcBorders>
              <w:tl2br w:val="nil"/>
              <w:tr2bl w:val="nil"/>
            </w:tcBorders>
            <w:vAlign w:val="top"/>
          </w:tcPr>
          <w:p w14:paraId="2378B6C7">
            <w:pPr>
              <w:pStyle w:val="2"/>
              <w:keepLines w:val="0"/>
              <w:suppressLineNumbers w:val="0"/>
              <w:bidi w:val="0"/>
              <w:spacing w:before="0" w:beforeAutospacing="0" w:after="0" w:afterAutospacing="0"/>
              <w:ind w:right="0"/>
              <w:jc w:val="left"/>
              <w:rPr>
                <w:rFonts w:hint="eastAsia"/>
                <w:vertAlign w:val="baseline"/>
              </w:rPr>
            </w:pPr>
          </w:p>
        </w:tc>
        <w:tc>
          <w:tcPr>
            <w:tcW w:w="13689" w:type="dxa"/>
            <w:tcBorders>
              <w:tl2br w:val="nil"/>
              <w:tr2bl w:val="nil"/>
            </w:tcBorders>
            <w:vAlign w:val="top"/>
          </w:tcPr>
          <w:p w14:paraId="1928C418">
            <w:pPr>
              <w:pStyle w:val="2"/>
              <w:keepLines w:val="0"/>
              <w:suppressLineNumbers w:val="0"/>
              <w:bidi w:val="0"/>
              <w:spacing w:before="0" w:beforeAutospacing="0" w:after="0" w:afterAutospacing="0"/>
              <w:ind w:right="0"/>
              <w:jc w:val="center"/>
              <w:rPr>
                <w:rFonts w:hint="eastAsia" w:eastAsia="宋体"/>
                <w:vertAlign w:val="baseline"/>
                <w:lang w:eastAsia="zh-CN"/>
              </w:rPr>
            </w:pPr>
            <w:r>
              <w:rPr>
                <w:rFonts w:hint="default"/>
              </w:rPr>
              <w:object>
                <v:shape id="_x0000_i1031" o:spt="75" type="#_x0000_t75" style="height:373.8pt;width:582.9pt;" o:ole="t" filled="f" o:preferrelative="t" stroked="f" coordsize="21600,21600">
                  <v:path/>
                  <v:fill on="f" focussize="0,0"/>
                  <v:stroke on="f"/>
                  <v:imagedata r:id="rId36" o:title=""/>
                  <o:lock v:ext="edit" aspectratio="f"/>
                  <w10:wrap type="none"/>
                  <w10:anchorlock/>
                </v:shape>
                <o:OLEObject Type="Embed" ProgID="Visio.Drawing.11" ShapeID="_x0000_i1031" DrawAspect="Content" ObjectID="_1468075731" r:id="rId35">
                  <o:LockedField>false</o:LockedField>
                </o:OLEObject>
              </w:object>
            </w:r>
          </w:p>
          <w:p w14:paraId="60DEC8E1">
            <w:pPr>
              <w:keepNext w:val="0"/>
              <w:keepLines w:val="0"/>
              <w:suppressLineNumbers w:val="0"/>
              <w:spacing w:before="0" w:beforeAutospacing="0" w:after="0" w:afterAutospacing="0"/>
              <w:ind w:left="0" w:right="0"/>
              <w:jc w:val="center"/>
              <w:rPr>
                <w:rFonts w:hint="eastAsia"/>
              </w:rPr>
            </w:pPr>
            <w:r>
              <w:rPr>
                <w:rFonts w:hint="eastAsia" w:ascii="宋体" w:hAnsi="宋体" w:eastAsia="宋体" w:cs="宋体"/>
                <w:b/>
                <w:bCs/>
                <w:lang w:val="en-US" w:eastAsia="zh-CN"/>
              </w:rPr>
              <w:t>图4-6 本项目分区防渗图</w:t>
            </w:r>
          </w:p>
        </w:tc>
      </w:tr>
    </w:tbl>
    <w:p w14:paraId="669C2802">
      <w:pPr>
        <w:pStyle w:val="2"/>
        <w:bidi w:val="0"/>
        <w:jc w:val="left"/>
        <w:rPr>
          <w:rFonts w:hint="eastAsia"/>
        </w:rPr>
        <w:sectPr>
          <w:pgSz w:w="16838" w:h="11906" w:orient="landscape"/>
          <w:pgMar w:top="1803" w:right="1440" w:bottom="1803" w:left="1440" w:header="851" w:footer="850" w:gutter="0"/>
          <w:pgBorders>
            <w:top w:val="none" w:sz="0" w:space="0"/>
            <w:left w:val="none" w:sz="0" w:space="0"/>
            <w:bottom w:val="none" w:sz="0" w:space="0"/>
            <w:right w:val="none" w:sz="0" w:space="0"/>
          </w:pgBorders>
          <w:cols w:space="0" w:num="1"/>
          <w:rtlGutter w:val="0"/>
          <w:docGrid w:linePitch="312" w:charSpace="0"/>
        </w:sectPr>
      </w:pPr>
    </w:p>
    <w:tbl>
      <w:tblPr>
        <w:tblStyle w:val="31"/>
        <w:tblW w:w="9019" w:type="dxa"/>
        <w:tblInd w:w="-25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460"/>
        <w:gridCol w:w="8559"/>
      </w:tblGrid>
      <w:tr w14:paraId="76ACD056">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460" w:type="dxa"/>
            <w:tcBorders>
              <w:tl2br w:val="nil"/>
              <w:tr2bl w:val="nil"/>
            </w:tcBorders>
            <w:vAlign w:val="top"/>
          </w:tcPr>
          <w:p w14:paraId="2D09FF75">
            <w:pPr>
              <w:pStyle w:val="2"/>
              <w:keepLines w:val="0"/>
              <w:suppressLineNumbers w:val="0"/>
              <w:bidi w:val="0"/>
              <w:spacing w:before="0" w:beforeAutospacing="0" w:after="0" w:afterAutospacing="0"/>
              <w:ind w:right="0"/>
              <w:jc w:val="left"/>
              <w:rPr>
                <w:rFonts w:hint="eastAsia"/>
                <w:vertAlign w:val="baseline"/>
              </w:rPr>
            </w:pPr>
          </w:p>
        </w:tc>
        <w:tc>
          <w:tcPr>
            <w:tcW w:w="8559" w:type="dxa"/>
            <w:tcBorders>
              <w:tl2br w:val="nil"/>
              <w:tr2bl w:val="nil"/>
            </w:tcBorders>
            <w:vAlign w:val="top"/>
          </w:tcPr>
          <w:p w14:paraId="3C1E262B">
            <w:pPr>
              <w:pStyle w:val="10"/>
              <w:keepNext w:val="0"/>
              <w:keepLines w:val="0"/>
              <w:suppressLineNumbers w:val="0"/>
              <w:adjustRightInd w:val="0"/>
              <w:snapToGrid w:val="0"/>
              <w:spacing w:before="0" w:beforeAutospacing="0" w:after="0" w:afterAutospacing="0"/>
              <w:ind w:left="0" w:right="0"/>
              <w:jc w:val="left"/>
              <w:rPr>
                <w:rFonts w:hint="eastAsia" w:ascii="宋体" w:hAnsi="宋体" w:eastAsia="宋体" w:cs="宋体"/>
              </w:rPr>
            </w:pPr>
            <w:r>
              <w:rPr>
                <w:rFonts w:hint="eastAsia" w:ascii="宋体" w:hAnsi="宋体" w:eastAsia="宋体" w:cs="宋体"/>
              </w:rPr>
              <w:t>六、环境风险</w:t>
            </w:r>
          </w:p>
          <w:p w14:paraId="45C645CD">
            <w:pPr>
              <w:pStyle w:val="10"/>
              <w:keepNext w:val="0"/>
              <w:keepLines w:val="0"/>
              <w:suppressLineNumbers w:val="0"/>
              <w:adjustRightInd w:val="0"/>
              <w:snapToGrid w:val="0"/>
              <w:spacing w:before="0" w:beforeAutospacing="0" w:after="0" w:afterAutospacing="0"/>
              <w:ind w:left="0" w:right="0"/>
              <w:jc w:val="left"/>
              <w:rPr>
                <w:rFonts w:hint="eastAsia" w:ascii="宋体" w:hAnsi="宋体" w:eastAsia="宋体" w:cs="宋体"/>
              </w:rPr>
            </w:pPr>
            <w:r>
              <w:rPr>
                <w:rFonts w:hint="eastAsia" w:ascii="宋体" w:hAnsi="宋体" w:eastAsia="宋体" w:cs="宋体"/>
              </w:rPr>
              <w:t>1、风险物质识别</w:t>
            </w:r>
          </w:p>
          <w:p w14:paraId="65A7D1B0">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rPr>
            </w:pPr>
            <w:r>
              <w:rPr>
                <w:rFonts w:hint="eastAsia" w:ascii="宋体" w:hAnsi="宋体" w:eastAsia="宋体" w:cs="宋体"/>
              </w:rPr>
              <w:t>当只涉及一种危险物质时，计算该物质的总量与其临界量比值，即为Q；当存在多种危险物质时，则按下列公式计算物质总量与其临界量比值（Q）：</w:t>
            </w:r>
          </w:p>
          <w:p w14:paraId="095C0CCC">
            <w:pPr>
              <w:keepNext w:val="0"/>
              <w:keepLines w:val="0"/>
              <w:suppressLineNumbers w:val="0"/>
              <w:adjustRightInd w:val="0"/>
              <w:snapToGrid w:val="0"/>
              <w:spacing w:before="0" w:beforeAutospacing="0" w:after="0" w:afterAutospacing="0"/>
              <w:ind w:left="0" w:right="0" w:firstLine="1920" w:firstLineChars="800"/>
              <w:jc w:val="left"/>
              <w:rPr>
                <w:rFonts w:hint="eastAsia" w:ascii="宋体" w:hAnsi="宋体" w:eastAsia="宋体" w:cs="宋体"/>
              </w:rPr>
            </w:pPr>
            <w:r>
              <w:rPr>
                <w:rFonts w:hint="eastAsia" w:ascii="宋体" w:hAnsi="宋体" w:eastAsia="宋体" w:cs="宋体"/>
              </w:rPr>
              <w:object>
                <v:shape id="_x0000_i1032" o:spt="75" type="#_x0000_t75" style="height:34pt;width:101pt;" o:ole="t" filled="f" o:preferrelative="t" stroked="f" coordsize="21600,21600">
                  <v:path/>
                  <v:fill on="f" focussize="0,0"/>
                  <v:stroke on="f"/>
                  <v:imagedata r:id="rId38" o:title=""/>
                  <o:lock v:ext="edit" aspectratio="t"/>
                  <w10:wrap type="none"/>
                  <w10:anchorlock/>
                </v:shape>
                <o:OLEObject Type="Embed" ProgID="Equation.KSEE3" ShapeID="_x0000_i1032" DrawAspect="Content" ObjectID="_1468075732" r:id="rId37">
                  <o:LockedField>false</o:LockedField>
                </o:OLEObject>
              </w:object>
            </w:r>
          </w:p>
          <w:p w14:paraId="63304F69">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rPr>
            </w:pPr>
            <w:r>
              <w:rPr>
                <w:rFonts w:hint="eastAsia" w:ascii="宋体" w:hAnsi="宋体" w:eastAsia="宋体" w:cs="宋体"/>
              </w:rPr>
              <w:t>式中：q1，q2，...，qn——每种危险物质的最大存在总量，t；</w:t>
            </w:r>
          </w:p>
          <w:p w14:paraId="6044CD23">
            <w:pPr>
              <w:keepNext w:val="0"/>
              <w:keepLines w:val="0"/>
              <w:suppressLineNumbers w:val="0"/>
              <w:adjustRightInd w:val="0"/>
              <w:snapToGrid w:val="0"/>
              <w:spacing w:before="0" w:beforeAutospacing="0" w:after="0" w:afterAutospacing="0"/>
              <w:ind w:left="0" w:right="0" w:firstLine="1200" w:firstLineChars="500"/>
              <w:jc w:val="left"/>
              <w:rPr>
                <w:rFonts w:hint="eastAsia" w:ascii="宋体" w:hAnsi="宋体" w:eastAsia="宋体" w:cs="宋体"/>
              </w:rPr>
            </w:pPr>
            <w:r>
              <w:rPr>
                <w:rFonts w:hint="eastAsia" w:ascii="宋体" w:hAnsi="宋体" w:eastAsia="宋体" w:cs="宋体"/>
              </w:rPr>
              <w:t>Q1,Q2,...,Qn——每种危险物质的临界量，t。</w:t>
            </w:r>
          </w:p>
          <w:p w14:paraId="7906FF6E">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rPr>
            </w:pPr>
            <w:r>
              <w:rPr>
                <w:rFonts w:hint="eastAsia" w:ascii="宋体" w:hAnsi="宋体" w:eastAsia="宋体" w:cs="宋体"/>
              </w:rPr>
              <w:t>当Q＜1时，该项目环境风险潜势为Ⅰ。</w:t>
            </w:r>
          </w:p>
          <w:p w14:paraId="45A23570">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rPr>
            </w:pPr>
            <w:r>
              <w:rPr>
                <w:rFonts w:hint="eastAsia" w:ascii="宋体" w:hAnsi="宋体" w:eastAsia="宋体" w:cs="宋体"/>
              </w:rPr>
              <w:t>当Q≥1时，将Q值划分为：⑴1≤Q＜10；⑵10≤Q＜100；⑶Q≥100。</w:t>
            </w:r>
          </w:p>
          <w:p w14:paraId="782B96CC">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rPr>
            </w:pPr>
            <w:r>
              <w:rPr>
                <w:rFonts w:hint="eastAsia" w:ascii="宋体" w:hAnsi="宋体" w:eastAsia="宋体" w:cs="宋体"/>
              </w:rPr>
              <w:t>根据《建设项目环境风险评价技术导则》（HJ169-2018），本项目危险物质储存情况与临界量见表4-2</w:t>
            </w:r>
            <w:r>
              <w:rPr>
                <w:rFonts w:hint="eastAsia" w:ascii="宋体" w:hAnsi="宋体" w:eastAsia="宋体" w:cs="宋体"/>
                <w:lang w:val="en-US" w:eastAsia="zh-CN"/>
              </w:rPr>
              <w:t>7</w:t>
            </w:r>
            <w:r>
              <w:rPr>
                <w:rFonts w:hint="eastAsia" w:ascii="宋体" w:hAnsi="宋体" w:eastAsia="宋体" w:cs="宋体"/>
              </w:rPr>
              <w:t>。</w:t>
            </w:r>
          </w:p>
          <w:p w14:paraId="79F9642E">
            <w:pPr>
              <w:keepNext w:val="0"/>
              <w:keepLines w:val="0"/>
              <w:suppressLineNumbers w:val="0"/>
              <w:adjustRightInd w:val="0"/>
              <w:snapToGrid w:val="0"/>
              <w:spacing w:before="0" w:beforeAutospacing="0" w:after="0" w:afterAutospacing="0"/>
              <w:ind w:left="0" w:right="0" w:firstLine="482" w:firstLineChars="200"/>
              <w:jc w:val="center"/>
              <w:rPr>
                <w:rFonts w:hint="eastAsia" w:ascii="宋体" w:hAnsi="宋体" w:eastAsia="宋体" w:cs="宋体"/>
                <w:b/>
                <w:bCs/>
              </w:rPr>
            </w:pPr>
            <w:r>
              <w:rPr>
                <w:rFonts w:hint="eastAsia" w:ascii="宋体" w:hAnsi="宋体" w:eastAsia="宋体" w:cs="宋体"/>
                <w:b/>
                <w:bCs/>
              </w:rPr>
              <w:t>表4-2</w:t>
            </w:r>
            <w:r>
              <w:rPr>
                <w:rFonts w:hint="eastAsia" w:ascii="宋体" w:hAnsi="宋体" w:eastAsia="宋体" w:cs="宋体"/>
                <w:b/>
                <w:bCs/>
                <w:lang w:val="en-US" w:eastAsia="zh-CN"/>
              </w:rPr>
              <w:t>7</w:t>
            </w:r>
            <w:r>
              <w:rPr>
                <w:rFonts w:hint="eastAsia" w:ascii="宋体" w:hAnsi="宋体" w:eastAsia="宋体" w:cs="宋体"/>
                <w:b/>
                <w:bCs/>
              </w:rPr>
              <w:t xml:space="preserve"> 原料储存与标准比较表</w:t>
            </w:r>
          </w:p>
          <w:tbl>
            <w:tblPr>
              <w:tblStyle w:val="3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07"/>
              <w:gridCol w:w="1737"/>
              <w:gridCol w:w="1927"/>
              <w:gridCol w:w="1870"/>
            </w:tblGrid>
            <w:tr w14:paraId="7BBC21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2307" w:type="dxa"/>
                  <w:vMerge w:val="restart"/>
                  <w:noWrap w:val="0"/>
                  <w:vAlign w:val="center"/>
                </w:tcPr>
                <w:p w14:paraId="5560A2E3">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b/>
                      <w:bCs/>
                      <w:sz w:val="21"/>
                      <w:szCs w:val="21"/>
                    </w:rPr>
                  </w:pPr>
                  <w:r>
                    <w:rPr>
                      <w:rFonts w:hint="eastAsia" w:ascii="宋体" w:hAnsi="宋体" w:eastAsia="宋体" w:cs="宋体"/>
                      <w:b/>
                      <w:bCs/>
                      <w:sz w:val="21"/>
                      <w:szCs w:val="21"/>
                    </w:rPr>
                    <w:t>名称</w:t>
                  </w:r>
                </w:p>
              </w:tc>
              <w:tc>
                <w:tcPr>
                  <w:tcW w:w="5534" w:type="dxa"/>
                  <w:gridSpan w:val="3"/>
                  <w:noWrap w:val="0"/>
                  <w:vAlign w:val="center"/>
                </w:tcPr>
                <w:p w14:paraId="67BEC14C">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b/>
                      <w:bCs/>
                      <w:sz w:val="21"/>
                      <w:szCs w:val="21"/>
                    </w:rPr>
                  </w:pPr>
                  <w:r>
                    <w:rPr>
                      <w:rFonts w:hint="eastAsia" w:ascii="宋体" w:hAnsi="宋体" w:eastAsia="宋体" w:cs="宋体"/>
                      <w:b/>
                      <w:bCs/>
                      <w:sz w:val="21"/>
                      <w:szCs w:val="21"/>
                    </w:rPr>
                    <w:t>储存场所，t</w:t>
                  </w:r>
                </w:p>
              </w:tc>
            </w:tr>
            <w:tr w14:paraId="3550E7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2307" w:type="dxa"/>
                  <w:vMerge w:val="continue"/>
                  <w:noWrap w:val="0"/>
                  <w:vAlign w:val="center"/>
                </w:tcPr>
                <w:p w14:paraId="69FD292B">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b/>
                      <w:bCs/>
                      <w:sz w:val="21"/>
                      <w:szCs w:val="21"/>
                    </w:rPr>
                  </w:pPr>
                </w:p>
              </w:tc>
              <w:tc>
                <w:tcPr>
                  <w:tcW w:w="1737" w:type="dxa"/>
                  <w:noWrap w:val="0"/>
                  <w:vAlign w:val="center"/>
                </w:tcPr>
                <w:p w14:paraId="1906191F">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b/>
                      <w:bCs/>
                      <w:sz w:val="21"/>
                      <w:szCs w:val="21"/>
                    </w:rPr>
                  </w:pPr>
                  <w:r>
                    <w:rPr>
                      <w:rFonts w:hint="eastAsia" w:ascii="宋体" w:hAnsi="宋体" w:eastAsia="宋体" w:cs="宋体"/>
                      <w:b/>
                      <w:bCs/>
                      <w:sz w:val="21"/>
                      <w:szCs w:val="21"/>
                    </w:rPr>
                    <w:t>储存量,q</w:t>
                  </w:r>
                </w:p>
              </w:tc>
              <w:tc>
                <w:tcPr>
                  <w:tcW w:w="1927" w:type="dxa"/>
                  <w:noWrap w:val="0"/>
                  <w:vAlign w:val="center"/>
                </w:tcPr>
                <w:p w14:paraId="28D07A10">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b/>
                      <w:bCs/>
                      <w:sz w:val="21"/>
                      <w:szCs w:val="21"/>
                    </w:rPr>
                  </w:pPr>
                  <w:r>
                    <w:rPr>
                      <w:rFonts w:hint="eastAsia" w:ascii="宋体" w:hAnsi="宋体" w:eastAsia="宋体" w:cs="宋体"/>
                      <w:b/>
                      <w:bCs/>
                      <w:sz w:val="21"/>
                      <w:szCs w:val="21"/>
                    </w:rPr>
                    <w:t>临界量，Q</w:t>
                  </w:r>
                </w:p>
              </w:tc>
              <w:tc>
                <w:tcPr>
                  <w:tcW w:w="1870" w:type="dxa"/>
                  <w:noWrap w:val="0"/>
                  <w:vAlign w:val="center"/>
                </w:tcPr>
                <w:p w14:paraId="0946140E">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b/>
                      <w:bCs/>
                      <w:sz w:val="21"/>
                      <w:szCs w:val="21"/>
                    </w:rPr>
                  </w:pPr>
                  <w:r>
                    <w:rPr>
                      <w:rFonts w:hint="eastAsia" w:ascii="宋体" w:hAnsi="宋体" w:eastAsia="宋体" w:cs="宋体"/>
                      <w:b/>
                      <w:bCs/>
                      <w:sz w:val="21"/>
                      <w:szCs w:val="21"/>
                    </w:rPr>
                    <w:t>q/Q</w:t>
                  </w:r>
                </w:p>
              </w:tc>
            </w:tr>
            <w:tr w14:paraId="0C6DBB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2307" w:type="dxa"/>
                  <w:noWrap w:val="0"/>
                  <w:vAlign w:val="center"/>
                </w:tcPr>
                <w:p w14:paraId="2A545735">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危险废物</w:t>
                  </w:r>
                </w:p>
              </w:tc>
              <w:tc>
                <w:tcPr>
                  <w:tcW w:w="1737" w:type="dxa"/>
                  <w:noWrap w:val="0"/>
                  <w:vAlign w:val="center"/>
                </w:tcPr>
                <w:p w14:paraId="304389E9">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6.616</w:t>
                  </w:r>
                </w:p>
              </w:tc>
              <w:tc>
                <w:tcPr>
                  <w:tcW w:w="1927" w:type="dxa"/>
                  <w:noWrap w:val="0"/>
                  <w:vAlign w:val="center"/>
                </w:tcPr>
                <w:p w14:paraId="6866BA7B">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0</w:t>
                  </w:r>
                  <w:r>
                    <w:rPr>
                      <w:rFonts w:hint="eastAsia" w:ascii="宋体" w:hAnsi="宋体" w:eastAsia="宋体" w:cs="宋体"/>
                      <w:sz w:val="21"/>
                      <w:szCs w:val="21"/>
                      <w:vertAlign w:val="superscript"/>
                    </w:rPr>
                    <w:t>①</w:t>
                  </w:r>
                </w:p>
              </w:tc>
              <w:tc>
                <w:tcPr>
                  <w:tcW w:w="1870" w:type="dxa"/>
                  <w:noWrap w:val="0"/>
                  <w:vAlign w:val="center"/>
                </w:tcPr>
                <w:p w14:paraId="61990A68">
                  <w:pPr>
                    <w:keepNext w:val="0"/>
                    <w:keepLines w:val="0"/>
                    <w:widowControl/>
                    <w:suppressLineNumbers w:val="0"/>
                    <w:adjustRightInd w:val="0"/>
                    <w:snapToGrid w:val="0"/>
                    <w:spacing w:before="0" w:beforeAutospacing="0" w:after="0" w:afterAutospacing="0" w:line="240" w:lineRule="atLeast"/>
                    <w:ind w:left="0" w:right="0"/>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0.13232</w:t>
                  </w:r>
                </w:p>
              </w:tc>
            </w:tr>
            <w:tr w14:paraId="623592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2307" w:type="dxa"/>
                  <w:noWrap w:val="0"/>
                  <w:vAlign w:val="center"/>
                </w:tcPr>
                <w:p w14:paraId="07A0C35F">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硅烷处理剂</w:t>
                  </w:r>
                </w:p>
              </w:tc>
              <w:tc>
                <w:tcPr>
                  <w:tcW w:w="1737" w:type="dxa"/>
                  <w:noWrap w:val="0"/>
                  <w:vAlign w:val="center"/>
                </w:tcPr>
                <w:p w14:paraId="383CF560">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0.1</w:t>
                  </w:r>
                </w:p>
              </w:tc>
              <w:tc>
                <w:tcPr>
                  <w:tcW w:w="1927" w:type="dxa"/>
                  <w:noWrap w:val="0"/>
                  <w:vAlign w:val="center"/>
                </w:tcPr>
                <w:p w14:paraId="5A5CBEF6">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100</w:t>
                  </w:r>
                </w:p>
              </w:tc>
              <w:tc>
                <w:tcPr>
                  <w:tcW w:w="1870" w:type="dxa"/>
                  <w:noWrap w:val="0"/>
                  <w:vAlign w:val="center"/>
                </w:tcPr>
                <w:p w14:paraId="19DE6F6E">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0.001</w:t>
                  </w:r>
                </w:p>
              </w:tc>
            </w:tr>
            <w:tr w14:paraId="680E03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2307" w:type="dxa"/>
                  <w:noWrap w:val="0"/>
                  <w:vAlign w:val="center"/>
                </w:tcPr>
                <w:p w14:paraId="07309015">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脱脂剂</w:t>
                  </w:r>
                </w:p>
              </w:tc>
              <w:tc>
                <w:tcPr>
                  <w:tcW w:w="1737" w:type="dxa"/>
                  <w:noWrap w:val="0"/>
                  <w:vAlign w:val="center"/>
                </w:tcPr>
                <w:p w14:paraId="05033294">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0.1</w:t>
                  </w:r>
                </w:p>
              </w:tc>
              <w:tc>
                <w:tcPr>
                  <w:tcW w:w="1927" w:type="dxa"/>
                  <w:noWrap w:val="0"/>
                  <w:vAlign w:val="center"/>
                </w:tcPr>
                <w:p w14:paraId="4090E70E">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100</w:t>
                  </w:r>
                </w:p>
              </w:tc>
              <w:tc>
                <w:tcPr>
                  <w:tcW w:w="1870" w:type="dxa"/>
                  <w:noWrap w:val="0"/>
                  <w:vAlign w:val="center"/>
                </w:tcPr>
                <w:p w14:paraId="76FEA178">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0.001</w:t>
                  </w:r>
                </w:p>
              </w:tc>
            </w:tr>
            <w:tr w14:paraId="2C3646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2307" w:type="dxa"/>
                  <w:noWrap w:val="0"/>
                  <w:vAlign w:val="center"/>
                </w:tcPr>
                <w:p w14:paraId="2CEEBED3">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天然气（甲烷，</w:t>
                  </w:r>
                  <w:r>
                    <w:rPr>
                      <w:rFonts w:hint="eastAsia" w:ascii="宋体" w:hAnsi="宋体" w:eastAsia="宋体" w:cs="宋体"/>
                      <w:sz w:val="21"/>
                      <w:szCs w:val="21"/>
                      <w:lang w:val="en-US" w:eastAsia="zh-CN"/>
                    </w:rPr>
                    <w:t>管道</w:t>
                  </w:r>
                  <w:r>
                    <w:rPr>
                      <w:rFonts w:hint="eastAsia" w:ascii="宋体" w:hAnsi="宋体" w:eastAsia="宋体" w:cs="宋体"/>
                      <w:sz w:val="21"/>
                      <w:szCs w:val="21"/>
                      <w:lang w:eastAsia="zh-CN"/>
                    </w:rPr>
                    <w:t>）</w:t>
                  </w:r>
                </w:p>
              </w:tc>
              <w:tc>
                <w:tcPr>
                  <w:tcW w:w="1737" w:type="dxa"/>
                  <w:noWrap w:val="0"/>
                  <w:vAlign w:val="center"/>
                </w:tcPr>
                <w:p w14:paraId="2B79676E">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0.1</w:t>
                  </w:r>
                </w:p>
              </w:tc>
              <w:tc>
                <w:tcPr>
                  <w:tcW w:w="1927" w:type="dxa"/>
                  <w:noWrap w:val="0"/>
                  <w:vAlign w:val="center"/>
                </w:tcPr>
                <w:p w14:paraId="057F058E">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1870" w:type="dxa"/>
                  <w:noWrap w:val="0"/>
                  <w:vAlign w:val="center"/>
                </w:tcPr>
                <w:p w14:paraId="53852A2B">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0.01</w:t>
                  </w:r>
                </w:p>
              </w:tc>
            </w:tr>
            <w:tr w14:paraId="3F8F71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2307" w:type="dxa"/>
                  <w:noWrap w:val="0"/>
                  <w:vAlign w:val="center"/>
                </w:tcPr>
                <w:p w14:paraId="0F002256">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lang w:eastAsia="zh-CN"/>
                    </w:rPr>
                    <w:t>脱脂</w:t>
                  </w:r>
                  <w:r>
                    <w:rPr>
                      <w:rFonts w:hint="eastAsia" w:ascii="宋体" w:hAnsi="宋体" w:eastAsia="宋体" w:cs="宋体"/>
                      <w:sz w:val="21"/>
                      <w:szCs w:val="21"/>
                    </w:rPr>
                    <w:t>槽液</w:t>
                  </w:r>
                </w:p>
              </w:tc>
              <w:tc>
                <w:tcPr>
                  <w:tcW w:w="1737" w:type="dxa"/>
                  <w:noWrap w:val="0"/>
                  <w:vAlign w:val="center"/>
                </w:tcPr>
                <w:p w14:paraId="1852ECBB">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w:t>
                  </w:r>
                </w:p>
              </w:tc>
              <w:tc>
                <w:tcPr>
                  <w:tcW w:w="1927" w:type="dxa"/>
                  <w:noWrap w:val="0"/>
                  <w:vAlign w:val="center"/>
                </w:tcPr>
                <w:p w14:paraId="2EB3FA7C">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rPr>
                  </w:pPr>
                  <w:r>
                    <w:rPr>
                      <w:rFonts w:hint="eastAsia" w:ascii="宋体" w:hAnsi="宋体" w:eastAsia="宋体" w:cs="宋体"/>
                      <w:sz w:val="21"/>
                      <w:szCs w:val="21"/>
                    </w:rPr>
                    <w:t>100</w:t>
                  </w:r>
                </w:p>
              </w:tc>
              <w:tc>
                <w:tcPr>
                  <w:tcW w:w="1870" w:type="dxa"/>
                  <w:noWrap w:val="0"/>
                  <w:vAlign w:val="center"/>
                </w:tcPr>
                <w:p w14:paraId="54556371">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0.015</w:t>
                  </w:r>
                </w:p>
              </w:tc>
            </w:tr>
            <w:tr w14:paraId="074C8E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2307" w:type="dxa"/>
                  <w:noWrap w:val="0"/>
                  <w:vAlign w:val="center"/>
                </w:tcPr>
                <w:p w14:paraId="7F382722">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硅烷</w:t>
                  </w:r>
                  <w:r>
                    <w:rPr>
                      <w:rFonts w:hint="eastAsia" w:ascii="宋体" w:hAnsi="宋体" w:eastAsia="宋体" w:cs="宋体"/>
                      <w:sz w:val="21"/>
                      <w:szCs w:val="21"/>
                    </w:rPr>
                    <w:t>槽液</w:t>
                  </w:r>
                </w:p>
              </w:tc>
              <w:tc>
                <w:tcPr>
                  <w:tcW w:w="1737" w:type="dxa"/>
                  <w:noWrap w:val="0"/>
                  <w:vAlign w:val="center"/>
                </w:tcPr>
                <w:p w14:paraId="427B5916">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w:t>
                  </w:r>
                </w:p>
              </w:tc>
              <w:tc>
                <w:tcPr>
                  <w:tcW w:w="1927" w:type="dxa"/>
                  <w:noWrap w:val="0"/>
                  <w:vAlign w:val="center"/>
                </w:tcPr>
                <w:p w14:paraId="5D9B31E0">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100</w:t>
                  </w:r>
                </w:p>
              </w:tc>
              <w:tc>
                <w:tcPr>
                  <w:tcW w:w="1870" w:type="dxa"/>
                  <w:noWrap w:val="0"/>
                  <w:vAlign w:val="center"/>
                </w:tcPr>
                <w:p w14:paraId="11734709">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0.015</w:t>
                  </w:r>
                </w:p>
              </w:tc>
            </w:tr>
            <w:tr w14:paraId="6176C3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2307" w:type="dxa"/>
                  <w:noWrap w:val="0"/>
                  <w:vAlign w:val="center"/>
                </w:tcPr>
                <w:p w14:paraId="1E63EE4E">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合计</w:t>
                  </w:r>
                </w:p>
              </w:tc>
              <w:tc>
                <w:tcPr>
                  <w:tcW w:w="1737" w:type="dxa"/>
                  <w:noWrap w:val="0"/>
                  <w:vAlign w:val="center"/>
                </w:tcPr>
                <w:p w14:paraId="72398F5E">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1927" w:type="dxa"/>
                  <w:noWrap w:val="0"/>
                  <w:vAlign w:val="center"/>
                </w:tcPr>
                <w:p w14:paraId="24C693EC">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1870" w:type="dxa"/>
                  <w:noWrap w:val="0"/>
                  <w:vAlign w:val="center"/>
                </w:tcPr>
                <w:p w14:paraId="385CCA8C">
                  <w:pPr>
                    <w:keepNext w:val="0"/>
                    <w:keepLines w:val="0"/>
                    <w:widowControl/>
                    <w:suppressLineNumbers w:val="0"/>
                    <w:adjustRightInd w:val="0"/>
                    <w:snapToGrid w:val="0"/>
                    <w:spacing w:before="0" w:beforeAutospacing="0" w:after="0" w:afterAutospacing="0" w:line="240" w:lineRule="atLeast"/>
                    <w:ind w:left="0" w:right="0"/>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0.17432</w:t>
                  </w:r>
                </w:p>
              </w:tc>
            </w:tr>
            <w:tr w14:paraId="2A06C2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7841" w:type="dxa"/>
                  <w:gridSpan w:val="4"/>
                  <w:noWrap w:val="0"/>
                  <w:vAlign w:val="center"/>
                </w:tcPr>
                <w:p w14:paraId="1389CBAA">
                  <w:pPr>
                    <w:keepNext w:val="0"/>
                    <w:keepLines w:val="0"/>
                    <w:widowControl/>
                    <w:suppressLineNumbers w:val="0"/>
                    <w:adjustRightInd w:val="0"/>
                    <w:snapToGrid w:val="0"/>
                    <w:spacing w:before="0" w:beforeAutospacing="0" w:after="0" w:afterAutospacing="0" w:line="240" w:lineRule="atLeast"/>
                    <w:ind w:left="0" w:right="0"/>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注：危险废物</w:t>
                  </w:r>
                  <w:r>
                    <w:rPr>
                      <w:rFonts w:hint="eastAsia" w:ascii="宋体" w:hAnsi="宋体" w:eastAsia="宋体" w:cs="宋体"/>
                      <w:kern w:val="0"/>
                      <w:sz w:val="21"/>
                      <w:szCs w:val="21"/>
                      <w:lang w:val="en-US" w:eastAsia="zh-CN" w:bidi="ar"/>
                    </w:rPr>
                    <w:t>执行</w:t>
                  </w:r>
                  <w:r>
                    <w:rPr>
                      <w:rFonts w:hint="eastAsia" w:ascii="宋体" w:hAnsi="宋体" w:eastAsia="宋体" w:cs="宋体"/>
                      <w:kern w:val="0"/>
                      <w:sz w:val="21"/>
                      <w:szCs w:val="21"/>
                      <w:lang w:bidi="ar"/>
                    </w:rPr>
                    <w:t>表B.2：</w:t>
                  </w:r>
                  <w:r>
                    <w:rPr>
                      <w:rFonts w:hint="eastAsia" w:ascii="宋体" w:hAnsi="宋体" w:eastAsia="宋体" w:cs="宋体"/>
                      <w:kern w:val="0"/>
                      <w:sz w:val="21"/>
                      <w:szCs w:val="21"/>
                      <w:lang w:val="en-US" w:eastAsia="zh-CN" w:bidi="ar"/>
                    </w:rPr>
                    <w:t>健康危险急性毒性物质（类别2、类别3）</w:t>
                  </w:r>
                  <w:r>
                    <w:rPr>
                      <w:rFonts w:hint="eastAsia" w:ascii="宋体" w:hAnsi="宋体" w:eastAsia="宋体" w:cs="宋体"/>
                      <w:kern w:val="0"/>
                      <w:sz w:val="21"/>
                      <w:szCs w:val="21"/>
                      <w:lang w:eastAsia="zh-CN" w:bidi="ar"/>
                    </w:rPr>
                    <w:t>、预处理</w:t>
                  </w:r>
                  <w:r>
                    <w:rPr>
                      <w:rFonts w:hint="eastAsia" w:ascii="宋体" w:hAnsi="宋体" w:eastAsia="宋体" w:cs="宋体"/>
                      <w:kern w:val="0"/>
                      <w:sz w:val="21"/>
                      <w:szCs w:val="21"/>
                      <w:lang w:bidi="ar"/>
                    </w:rPr>
                    <w:t>槽液执行表B.2：危害水环境物质（急性毒性类别1）推荐临界量。</w:t>
                  </w:r>
                </w:p>
              </w:tc>
            </w:tr>
          </w:tbl>
          <w:p w14:paraId="1A18C75B">
            <w:pPr>
              <w:pStyle w:val="10"/>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bCs/>
              </w:rPr>
            </w:pPr>
            <w:r>
              <w:rPr>
                <w:rFonts w:hint="eastAsia" w:ascii="宋体" w:hAnsi="宋体" w:eastAsia="宋体" w:cs="宋体"/>
                <w:bCs/>
              </w:rPr>
              <w:t>根据危险源辨识表结果可知，Q＜1，风险潜势为Ⅰ</w:t>
            </w:r>
            <w:r>
              <w:rPr>
                <w:rFonts w:hint="eastAsia" w:ascii="宋体" w:hAnsi="宋体" w:eastAsia="宋体" w:cs="宋体"/>
                <w:bCs/>
                <w:lang w:eastAsia="zh-CN"/>
              </w:rPr>
              <w:t>，</w:t>
            </w:r>
            <w:r>
              <w:rPr>
                <w:rFonts w:hint="eastAsia" w:ascii="宋体" w:hAnsi="宋体" w:eastAsia="宋体" w:cs="宋体"/>
                <w:bCs/>
              </w:rPr>
              <w:t>根据《建设项目环境风险评价技术导则》（HJ169-2018），</w:t>
            </w:r>
            <w:r>
              <w:rPr>
                <w:rFonts w:hint="eastAsia" w:ascii="宋体" w:hAnsi="宋体" w:eastAsia="宋体" w:cs="宋体"/>
              </w:rPr>
              <w:t>本项目环境风险评价等级为简单分析。</w:t>
            </w:r>
          </w:p>
          <w:p w14:paraId="391D8753">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rPr>
            </w:pPr>
            <w:r>
              <w:rPr>
                <w:rFonts w:hint="eastAsia" w:ascii="宋体" w:hAnsi="宋体" w:eastAsia="宋体" w:cs="宋体"/>
                <w:bCs/>
              </w:rPr>
              <w:t>2、</w:t>
            </w:r>
            <w:r>
              <w:rPr>
                <w:rFonts w:hint="eastAsia" w:ascii="宋体" w:hAnsi="宋体" w:eastAsia="宋体" w:cs="宋体"/>
              </w:rPr>
              <w:t>环境风险识别</w:t>
            </w:r>
          </w:p>
          <w:p w14:paraId="670720C9">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rPr>
            </w:pPr>
            <w:r>
              <w:rPr>
                <w:rFonts w:hint="eastAsia" w:ascii="宋体" w:hAnsi="宋体" w:eastAsia="宋体" w:cs="宋体"/>
              </w:rPr>
              <w:t>本项目主要环境风险物质为脱脂剂、</w:t>
            </w:r>
            <w:r>
              <w:rPr>
                <w:rFonts w:hint="eastAsia" w:ascii="宋体" w:hAnsi="宋体" w:eastAsia="宋体" w:cs="宋体"/>
                <w:lang w:eastAsia="zh-CN"/>
              </w:rPr>
              <w:t>硅烷处理剂、</w:t>
            </w:r>
            <w:r>
              <w:rPr>
                <w:rFonts w:hint="eastAsia" w:ascii="宋体" w:hAnsi="宋体" w:eastAsia="宋体" w:cs="宋体"/>
                <w:lang w:val="en-US" w:eastAsia="zh-CN"/>
              </w:rPr>
              <w:t>天然气</w:t>
            </w:r>
            <w:r>
              <w:rPr>
                <w:rFonts w:hint="eastAsia" w:ascii="宋体" w:hAnsi="宋体" w:eastAsia="宋体" w:cs="宋体"/>
              </w:rPr>
              <w:t>和危险废物</w:t>
            </w:r>
            <w:r>
              <w:rPr>
                <w:rFonts w:hint="eastAsia" w:ascii="宋体" w:hAnsi="宋体" w:eastAsia="宋体" w:cs="宋体"/>
                <w:lang w:eastAsia="zh-CN"/>
              </w:rPr>
              <w:t>等</w:t>
            </w:r>
            <w:r>
              <w:rPr>
                <w:rFonts w:hint="eastAsia" w:ascii="宋体" w:hAnsi="宋体" w:eastAsia="宋体" w:cs="宋体"/>
              </w:rPr>
              <w:t>，本项目事故风险类型主要为：泄漏、渗漏以及废气</w:t>
            </w:r>
            <w:r>
              <w:rPr>
                <w:rFonts w:hint="eastAsia" w:ascii="宋体" w:hAnsi="宋体" w:eastAsia="宋体" w:cs="宋体"/>
                <w:lang w:eastAsia="zh-CN"/>
              </w:rPr>
              <w:t>、</w:t>
            </w:r>
            <w:r>
              <w:rPr>
                <w:rFonts w:hint="eastAsia" w:ascii="宋体" w:hAnsi="宋体" w:eastAsia="宋体" w:cs="宋体"/>
                <w:lang w:val="en-US" w:eastAsia="zh-CN"/>
              </w:rPr>
              <w:t>废水</w:t>
            </w:r>
            <w:r>
              <w:rPr>
                <w:rFonts w:hint="eastAsia" w:ascii="宋体" w:hAnsi="宋体" w:eastAsia="宋体" w:cs="宋体"/>
              </w:rPr>
              <w:t>治理设施故障。</w:t>
            </w:r>
          </w:p>
          <w:p w14:paraId="36269471">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rPr>
            </w:pPr>
            <w:r>
              <w:rPr>
                <w:rFonts w:hint="eastAsia" w:ascii="宋体" w:hAnsi="宋体" w:eastAsia="宋体" w:cs="宋体"/>
              </w:rPr>
              <w:t>①泄漏事故：原料桶或暂存桶泄漏和溢出较易发生。根据统计，原料桶或暂存桶可能发生溢出的原因为：密封不严密，致使液体物质溢出；密封不严致使跑、冒、滴、漏现象发生；装卸转运过程中，操作失误，致使液体泄漏。</w:t>
            </w:r>
          </w:p>
          <w:p w14:paraId="72845240">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rPr>
            </w:pPr>
            <w:r>
              <w:rPr>
                <w:rFonts w:hint="eastAsia" w:ascii="宋体" w:hAnsi="宋体" w:eastAsia="宋体" w:cs="宋体"/>
              </w:rPr>
              <w:t>②渗漏：</w:t>
            </w:r>
            <w:r>
              <w:rPr>
                <w:rFonts w:hint="eastAsia" w:ascii="宋体" w:hAnsi="宋体" w:eastAsia="宋体" w:cs="宋体"/>
                <w:lang w:val="en-US" w:eastAsia="zh-CN"/>
              </w:rPr>
              <w:t>表面预处理</w:t>
            </w:r>
            <w:r>
              <w:rPr>
                <w:rFonts w:hint="eastAsia" w:ascii="宋体" w:hAnsi="宋体" w:eastAsia="宋体" w:cs="宋体"/>
              </w:rPr>
              <w:t>生产线、</w:t>
            </w:r>
            <w:r>
              <w:rPr>
                <w:rFonts w:hint="eastAsia" w:ascii="宋体" w:hAnsi="宋体" w:eastAsia="宋体" w:cs="宋体"/>
                <w:lang w:val="en-US" w:eastAsia="zh-CN"/>
              </w:rPr>
              <w:t>污水处理站</w:t>
            </w:r>
            <w:r>
              <w:rPr>
                <w:rFonts w:hint="eastAsia" w:ascii="宋体" w:hAnsi="宋体" w:eastAsia="宋体" w:cs="宋体"/>
              </w:rPr>
              <w:t>、危废库如无防渗措施或防渗不到位，发生渗漏可能导致环境污染。本项目要求</w:t>
            </w:r>
            <w:r>
              <w:rPr>
                <w:rFonts w:hint="eastAsia" w:ascii="宋体" w:hAnsi="宋体" w:eastAsia="宋体" w:cs="宋体"/>
                <w:lang w:val="en-US" w:eastAsia="zh-CN"/>
              </w:rPr>
              <w:t>表面预处理</w:t>
            </w:r>
            <w:r>
              <w:rPr>
                <w:rFonts w:hint="eastAsia" w:ascii="宋体" w:hAnsi="宋体" w:eastAsia="宋体" w:cs="宋体"/>
              </w:rPr>
              <w:t>生产线、</w:t>
            </w:r>
            <w:r>
              <w:rPr>
                <w:rFonts w:hint="eastAsia" w:ascii="宋体" w:hAnsi="宋体" w:eastAsia="宋体" w:cs="宋体"/>
                <w:lang w:val="en-US" w:eastAsia="zh-CN"/>
              </w:rPr>
              <w:t>污水处理站</w:t>
            </w:r>
            <w:r>
              <w:rPr>
                <w:rFonts w:hint="eastAsia" w:ascii="宋体" w:hAnsi="宋体" w:eastAsia="宋体" w:cs="宋体"/>
              </w:rPr>
              <w:t>及危废库重点防渗，杜绝发生渗漏污染的情况。</w:t>
            </w:r>
          </w:p>
          <w:p w14:paraId="1F77C460">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rPr>
            </w:pPr>
            <w:r>
              <w:rPr>
                <w:rFonts w:hint="eastAsia" w:ascii="宋体" w:hAnsi="宋体" w:eastAsia="宋体" w:cs="宋体"/>
              </w:rPr>
              <w:t>③废气治理系统失效：废气治理系统失效将导致生产废气未经处理而直接排入环境空气，对大气产生较大污染，因此要严格杜绝工艺废气的事故排放。</w:t>
            </w:r>
          </w:p>
          <w:p w14:paraId="126C859B">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rPr>
            </w:pPr>
            <w:r>
              <w:rPr>
                <w:rFonts w:hint="eastAsia" w:ascii="宋体" w:hAnsi="宋体" w:eastAsia="宋体" w:cs="宋体"/>
              </w:rPr>
              <w:t>生产过程风险源识别情况见表4-</w:t>
            </w:r>
            <w:r>
              <w:rPr>
                <w:rFonts w:hint="eastAsia" w:ascii="宋体" w:hAnsi="宋体" w:eastAsia="宋体" w:cs="宋体"/>
                <w:lang w:val="en-US" w:eastAsia="zh-CN"/>
              </w:rPr>
              <w:t>28</w:t>
            </w:r>
            <w:r>
              <w:rPr>
                <w:rFonts w:hint="eastAsia" w:ascii="宋体" w:hAnsi="宋体" w:eastAsia="宋体" w:cs="宋体"/>
              </w:rPr>
              <w:t>。</w:t>
            </w:r>
          </w:p>
          <w:p w14:paraId="0814514A">
            <w:pPr>
              <w:keepNext w:val="0"/>
              <w:keepLines w:val="0"/>
              <w:suppressLineNumbers w:val="0"/>
              <w:adjustRightInd w:val="0"/>
              <w:snapToGrid w:val="0"/>
              <w:spacing w:before="0" w:beforeAutospacing="0" w:after="0" w:afterAutospacing="0"/>
              <w:ind w:left="0" w:right="0" w:firstLine="482" w:firstLineChars="200"/>
              <w:jc w:val="center"/>
              <w:rPr>
                <w:rFonts w:hint="eastAsia" w:ascii="宋体" w:hAnsi="宋体" w:eastAsia="宋体" w:cs="宋体"/>
                <w:b/>
                <w:bCs/>
              </w:rPr>
            </w:pPr>
            <w:r>
              <w:rPr>
                <w:rFonts w:hint="eastAsia" w:ascii="宋体" w:hAnsi="宋体" w:eastAsia="宋体" w:cs="宋体"/>
                <w:b/>
                <w:bCs/>
              </w:rPr>
              <w:t>表4-</w:t>
            </w:r>
            <w:r>
              <w:rPr>
                <w:rFonts w:hint="eastAsia" w:ascii="宋体" w:hAnsi="宋体" w:eastAsia="宋体" w:cs="宋体"/>
                <w:b/>
                <w:bCs/>
                <w:lang w:val="en-US" w:eastAsia="zh-CN"/>
              </w:rPr>
              <w:t>28</w:t>
            </w:r>
            <w:r>
              <w:rPr>
                <w:rFonts w:hint="eastAsia" w:ascii="宋体" w:hAnsi="宋体" w:eastAsia="宋体" w:cs="宋体"/>
                <w:b/>
                <w:bCs/>
              </w:rPr>
              <w:t xml:space="preserve"> 风险源识别</w:t>
            </w:r>
          </w:p>
          <w:tbl>
            <w:tblPr>
              <w:tblStyle w:val="30"/>
              <w:tblW w:w="80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88"/>
              <w:gridCol w:w="1950"/>
              <w:gridCol w:w="1599"/>
              <w:gridCol w:w="1485"/>
              <w:gridCol w:w="1376"/>
            </w:tblGrid>
            <w:tr w14:paraId="2F400E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8" w:type="dxa"/>
                  <w:noWrap w:val="0"/>
                  <w:vAlign w:val="center"/>
                </w:tcPr>
                <w:p w14:paraId="16E440D7">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b/>
                      <w:bCs/>
                      <w:sz w:val="21"/>
                      <w:szCs w:val="21"/>
                    </w:rPr>
                  </w:pPr>
                  <w:r>
                    <w:rPr>
                      <w:rFonts w:hint="eastAsia" w:ascii="宋体" w:hAnsi="宋体" w:eastAsia="宋体" w:cs="宋体"/>
                      <w:b/>
                      <w:bCs/>
                      <w:sz w:val="21"/>
                      <w:szCs w:val="21"/>
                    </w:rPr>
                    <w:t>事故起因</w:t>
                  </w:r>
                </w:p>
              </w:tc>
              <w:tc>
                <w:tcPr>
                  <w:tcW w:w="1950" w:type="dxa"/>
                  <w:noWrap w:val="0"/>
                  <w:vAlign w:val="center"/>
                </w:tcPr>
                <w:p w14:paraId="1C375C82">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b/>
                      <w:bCs/>
                      <w:sz w:val="21"/>
                      <w:szCs w:val="21"/>
                    </w:rPr>
                  </w:pPr>
                  <w:r>
                    <w:rPr>
                      <w:rFonts w:hint="eastAsia" w:ascii="宋体" w:hAnsi="宋体" w:eastAsia="宋体" w:cs="宋体"/>
                      <w:b/>
                      <w:bCs/>
                      <w:sz w:val="21"/>
                      <w:szCs w:val="21"/>
                    </w:rPr>
                    <w:t>环境风险描述</w:t>
                  </w:r>
                </w:p>
              </w:tc>
              <w:tc>
                <w:tcPr>
                  <w:tcW w:w="1599" w:type="dxa"/>
                  <w:noWrap w:val="0"/>
                  <w:vAlign w:val="center"/>
                </w:tcPr>
                <w:p w14:paraId="7ED795C4">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b/>
                      <w:bCs/>
                      <w:sz w:val="21"/>
                      <w:szCs w:val="21"/>
                    </w:rPr>
                  </w:pPr>
                  <w:r>
                    <w:rPr>
                      <w:rFonts w:hint="eastAsia" w:ascii="宋体" w:hAnsi="宋体" w:eastAsia="宋体" w:cs="宋体"/>
                      <w:b/>
                      <w:bCs/>
                      <w:sz w:val="21"/>
                      <w:szCs w:val="21"/>
                    </w:rPr>
                    <w:t>涉及化学品</w:t>
                  </w:r>
                </w:p>
                <w:p w14:paraId="20EFDF34">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b/>
                      <w:bCs/>
                      <w:sz w:val="21"/>
                      <w:szCs w:val="21"/>
                    </w:rPr>
                  </w:pPr>
                  <w:r>
                    <w:rPr>
                      <w:rFonts w:hint="eastAsia" w:ascii="宋体" w:hAnsi="宋体" w:eastAsia="宋体" w:cs="宋体"/>
                      <w:b/>
                      <w:bCs/>
                      <w:sz w:val="21"/>
                      <w:szCs w:val="21"/>
                    </w:rPr>
                    <w:t>（污染物）</w:t>
                  </w:r>
                </w:p>
              </w:tc>
              <w:tc>
                <w:tcPr>
                  <w:tcW w:w="1485" w:type="dxa"/>
                  <w:noWrap w:val="0"/>
                  <w:vAlign w:val="center"/>
                </w:tcPr>
                <w:p w14:paraId="6B8B34B3">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b/>
                      <w:bCs/>
                      <w:sz w:val="21"/>
                      <w:szCs w:val="21"/>
                    </w:rPr>
                  </w:pPr>
                  <w:r>
                    <w:rPr>
                      <w:rFonts w:hint="eastAsia" w:ascii="宋体" w:hAnsi="宋体" w:eastAsia="宋体" w:cs="宋体"/>
                      <w:b/>
                      <w:bCs/>
                      <w:sz w:val="21"/>
                      <w:szCs w:val="21"/>
                    </w:rPr>
                    <w:t>可能造成的后果</w:t>
                  </w:r>
                </w:p>
              </w:tc>
              <w:tc>
                <w:tcPr>
                  <w:tcW w:w="1376" w:type="dxa"/>
                  <w:noWrap w:val="0"/>
                  <w:vAlign w:val="center"/>
                </w:tcPr>
                <w:p w14:paraId="3C62E922">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b/>
                      <w:bCs/>
                      <w:sz w:val="21"/>
                      <w:szCs w:val="21"/>
                    </w:rPr>
                  </w:pPr>
                  <w:r>
                    <w:rPr>
                      <w:rFonts w:hint="eastAsia" w:ascii="宋体" w:hAnsi="宋体" w:eastAsia="宋体" w:cs="宋体"/>
                      <w:b/>
                      <w:bCs/>
                      <w:sz w:val="21"/>
                      <w:szCs w:val="21"/>
                    </w:rPr>
                    <w:t>产生设施或工序</w:t>
                  </w:r>
                </w:p>
              </w:tc>
            </w:tr>
            <w:tr w14:paraId="112AA5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8" w:type="dxa"/>
                  <w:noWrap w:val="0"/>
                  <w:vAlign w:val="center"/>
                </w:tcPr>
                <w:p w14:paraId="2E40484C">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危废、脱脂剂等泄漏</w:t>
                  </w:r>
                </w:p>
              </w:tc>
              <w:tc>
                <w:tcPr>
                  <w:tcW w:w="1950" w:type="dxa"/>
                  <w:noWrap w:val="0"/>
                  <w:vAlign w:val="center"/>
                </w:tcPr>
                <w:p w14:paraId="71689508">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泄漏后通过雨水管进入水体</w:t>
                  </w:r>
                </w:p>
              </w:tc>
              <w:tc>
                <w:tcPr>
                  <w:tcW w:w="1599" w:type="dxa"/>
                  <w:noWrap w:val="0"/>
                  <w:vAlign w:val="center"/>
                </w:tcPr>
                <w:p w14:paraId="2BCF50F0">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eastAsia="zh-CN"/>
                    </w:rPr>
                  </w:pPr>
                  <w:r>
                    <w:rPr>
                      <w:rFonts w:hint="eastAsia" w:ascii="宋体" w:hAnsi="宋体" w:eastAsia="宋体" w:cs="宋体"/>
                      <w:sz w:val="21"/>
                      <w:szCs w:val="21"/>
                    </w:rPr>
                    <w:t>危废、脱脂剂</w:t>
                  </w:r>
                  <w:r>
                    <w:rPr>
                      <w:rFonts w:hint="eastAsia" w:ascii="宋体" w:hAnsi="宋体" w:eastAsia="宋体" w:cs="宋体"/>
                      <w:sz w:val="21"/>
                      <w:szCs w:val="21"/>
                      <w:lang w:eastAsia="zh-CN"/>
                    </w:rPr>
                    <w:t>等</w:t>
                  </w:r>
                </w:p>
              </w:tc>
              <w:tc>
                <w:tcPr>
                  <w:tcW w:w="1485" w:type="dxa"/>
                  <w:noWrap w:val="0"/>
                  <w:vAlign w:val="center"/>
                </w:tcPr>
                <w:p w14:paraId="7A53EDA7">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可能污染地下水、土壤</w:t>
                  </w:r>
                </w:p>
              </w:tc>
              <w:tc>
                <w:tcPr>
                  <w:tcW w:w="1376" w:type="dxa"/>
                  <w:noWrap w:val="0"/>
                  <w:vAlign w:val="center"/>
                </w:tcPr>
                <w:p w14:paraId="3F751EF5">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eastAsia="zh-CN"/>
                    </w:rPr>
                  </w:pPr>
                  <w:r>
                    <w:rPr>
                      <w:rFonts w:hint="eastAsia" w:ascii="宋体" w:hAnsi="宋体" w:eastAsia="宋体" w:cs="宋体"/>
                      <w:sz w:val="21"/>
                      <w:szCs w:val="21"/>
                    </w:rPr>
                    <w:t>生产区域、</w:t>
                  </w:r>
                  <w:r>
                    <w:rPr>
                      <w:rFonts w:hint="eastAsia" w:ascii="宋体" w:hAnsi="宋体" w:eastAsia="宋体" w:cs="宋体"/>
                      <w:sz w:val="21"/>
                      <w:szCs w:val="21"/>
                      <w:lang w:eastAsia="zh-CN"/>
                    </w:rPr>
                    <w:t>危废暂存间</w:t>
                  </w:r>
                </w:p>
              </w:tc>
            </w:tr>
            <w:tr w14:paraId="1A5BF1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8" w:type="dxa"/>
                  <w:noWrap w:val="0"/>
                  <w:vAlign w:val="center"/>
                </w:tcPr>
                <w:p w14:paraId="028EA1EE">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危废、脱脂剂等渗漏</w:t>
                  </w:r>
                </w:p>
              </w:tc>
              <w:tc>
                <w:tcPr>
                  <w:tcW w:w="1950" w:type="dxa"/>
                  <w:noWrap w:val="0"/>
                  <w:vAlign w:val="center"/>
                </w:tcPr>
                <w:p w14:paraId="21BA8CB0">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进入地下水体</w:t>
                  </w:r>
                </w:p>
              </w:tc>
              <w:tc>
                <w:tcPr>
                  <w:tcW w:w="1599" w:type="dxa"/>
                  <w:noWrap w:val="0"/>
                  <w:vAlign w:val="center"/>
                </w:tcPr>
                <w:p w14:paraId="3396BD9A">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危废、脱脂剂</w:t>
                  </w:r>
                  <w:r>
                    <w:rPr>
                      <w:rFonts w:hint="eastAsia" w:ascii="宋体" w:hAnsi="宋体" w:eastAsia="宋体" w:cs="宋体"/>
                      <w:sz w:val="21"/>
                      <w:szCs w:val="21"/>
                      <w:lang w:eastAsia="zh-CN"/>
                    </w:rPr>
                    <w:t>等</w:t>
                  </w:r>
                </w:p>
              </w:tc>
              <w:tc>
                <w:tcPr>
                  <w:tcW w:w="1485" w:type="dxa"/>
                  <w:noWrap w:val="0"/>
                  <w:vAlign w:val="center"/>
                </w:tcPr>
                <w:p w14:paraId="59DE4E5C">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可能污染地下水、土壤</w:t>
                  </w:r>
                </w:p>
              </w:tc>
              <w:tc>
                <w:tcPr>
                  <w:tcW w:w="1376" w:type="dxa"/>
                  <w:noWrap w:val="0"/>
                  <w:vAlign w:val="center"/>
                </w:tcPr>
                <w:p w14:paraId="7C2732DC">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eastAsia="zh-CN"/>
                    </w:rPr>
                  </w:pPr>
                  <w:r>
                    <w:rPr>
                      <w:rFonts w:hint="eastAsia" w:ascii="宋体" w:hAnsi="宋体" w:eastAsia="宋体" w:cs="宋体"/>
                      <w:sz w:val="21"/>
                      <w:szCs w:val="21"/>
                    </w:rPr>
                    <w:t>生产区域、</w:t>
                  </w:r>
                  <w:r>
                    <w:rPr>
                      <w:rFonts w:hint="eastAsia" w:ascii="宋体" w:hAnsi="宋体" w:eastAsia="宋体" w:cs="宋体"/>
                      <w:sz w:val="21"/>
                      <w:szCs w:val="21"/>
                      <w:lang w:eastAsia="zh-CN"/>
                    </w:rPr>
                    <w:t>危废暂存间</w:t>
                  </w:r>
                </w:p>
              </w:tc>
            </w:tr>
            <w:tr w14:paraId="37022F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8" w:type="dxa"/>
                  <w:noWrap w:val="0"/>
                  <w:vAlign w:val="center"/>
                </w:tcPr>
                <w:p w14:paraId="66E8DF2D">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rPr>
                  </w:pPr>
                  <w:r>
                    <w:rPr>
                      <w:rFonts w:hint="eastAsia" w:ascii="宋体" w:hAnsi="宋体" w:eastAsia="宋体" w:cs="宋体"/>
                      <w:sz w:val="21"/>
                      <w:szCs w:val="21"/>
                    </w:rPr>
                    <w:t>治理设施故障</w:t>
                  </w:r>
                </w:p>
              </w:tc>
              <w:tc>
                <w:tcPr>
                  <w:tcW w:w="1950" w:type="dxa"/>
                  <w:noWrap w:val="0"/>
                  <w:vAlign w:val="center"/>
                </w:tcPr>
                <w:p w14:paraId="6572672C">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废气治理设施故障</w:t>
                  </w:r>
                </w:p>
              </w:tc>
              <w:tc>
                <w:tcPr>
                  <w:tcW w:w="1599" w:type="dxa"/>
                  <w:noWrap w:val="0"/>
                  <w:vAlign w:val="center"/>
                </w:tcPr>
                <w:p w14:paraId="22BAB852">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eastAsia="zh-CN"/>
                    </w:rPr>
                  </w:pPr>
                  <w:r>
                    <w:rPr>
                      <w:rFonts w:hint="eastAsia" w:ascii="宋体" w:hAnsi="宋体" w:eastAsia="宋体" w:cs="宋体"/>
                      <w:sz w:val="21"/>
                      <w:szCs w:val="21"/>
                    </w:rPr>
                    <w:t>颗粒物</w:t>
                  </w:r>
                  <w:r>
                    <w:rPr>
                      <w:rFonts w:hint="eastAsia" w:ascii="宋体" w:hAnsi="宋体" w:eastAsia="宋体" w:cs="宋体"/>
                      <w:sz w:val="21"/>
                      <w:szCs w:val="21"/>
                      <w:lang w:eastAsia="zh-CN"/>
                    </w:rPr>
                    <w:t>、非甲烷总烃</w:t>
                  </w:r>
                </w:p>
              </w:tc>
              <w:tc>
                <w:tcPr>
                  <w:tcW w:w="1485" w:type="dxa"/>
                  <w:noWrap w:val="0"/>
                  <w:vAlign w:val="center"/>
                </w:tcPr>
                <w:p w14:paraId="05D66772">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可能污染周边大气环境</w:t>
                  </w:r>
                </w:p>
              </w:tc>
              <w:tc>
                <w:tcPr>
                  <w:tcW w:w="1376" w:type="dxa"/>
                  <w:noWrap w:val="0"/>
                  <w:vAlign w:val="center"/>
                </w:tcPr>
                <w:p w14:paraId="2335240E">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rPr>
                  </w:pPr>
                  <w:r>
                    <w:rPr>
                      <w:rFonts w:hint="eastAsia" w:ascii="宋体" w:hAnsi="宋体" w:eastAsia="宋体" w:cs="宋体"/>
                      <w:sz w:val="21"/>
                      <w:szCs w:val="21"/>
                    </w:rPr>
                    <w:t>废气治理</w:t>
                  </w:r>
                </w:p>
              </w:tc>
            </w:tr>
          </w:tbl>
          <w:p w14:paraId="5D5BBD60">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、风险分析</w:t>
            </w:r>
          </w:p>
          <w:p w14:paraId="78925DAB">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rPr>
            </w:pPr>
            <w:r>
              <w:rPr>
                <w:rFonts w:hint="eastAsia" w:ascii="宋体" w:hAnsi="宋体" w:eastAsia="宋体" w:cs="宋体"/>
              </w:rPr>
              <w:t>①大气环境影响风险评价</w:t>
            </w:r>
          </w:p>
          <w:p w14:paraId="76411FE0">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rPr>
            </w:pPr>
            <w:r>
              <w:rPr>
                <w:rFonts w:hint="eastAsia" w:ascii="宋体" w:hAnsi="宋体" w:eastAsia="宋体" w:cs="宋体"/>
              </w:rPr>
              <w:t>在废气处理装置失效，废气事故排放的情况下，各污染物浓度增值会大大增加，非正常排放情况下颗粒物污染因子对外界环境造成的影响较大。因此，为了减轻本项目对周围环境的影响程度和范围，保证该地区的可持续发展，建设方须建立严格、规范的大气污染管理制度，加强废气净化设施的日常管理、维护。当废气处理设备出现故障不能正常运行时，应尽快停产进行维修，避免对周围环境造成污染影响。</w:t>
            </w:r>
          </w:p>
          <w:p w14:paraId="462E1798">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rPr>
            </w:pPr>
            <w:r>
              <w:rPr>
                <w:rFonts w:hint="eastAsia" w:ascii="宋体" w:hAnsi="宋体" w:eastAsia="宋体" w:cs="宋体"/>
              </w:rPr>
              <w:t>②地下水、土壤环境风险评价</w:t>
            </w:r>
          </w:p>
          <w:p w14:paraId="3F06C11D">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rPr>
            </w:pPr>
            <w:r>
              <w:rPr>
                <w:rFonts w:hint="eastAsia" w:ascii="宋体" w:hAnsi="宋体" w:eastAsia="宋体" w:cs="宋体"/>
                <w:lang w:eastAsia="zh-CN"/>
              </w:rPr>
              <w:t>表面预处理</w:t>
            </w:r>
            <w:r>
              <w:rPr>
                <w:rFonts w:hint="eastAsia" w:ascii="宋体" w:hAnsi="宋体" w:eastAsia="宋体" w:cs="宋体"/>
              </w:rPr>
              <w:t>生产线、</w:t>
            </w:r>
            <w:r>
              <w:rPr>
                <w:rFonts w:hint="eastAsia" w:ascii="宋体" w:hAnsi="宋体" w:eastAsia="宋体" w:cs="宋体"/>
                <w:lang w:val="en-US" w:eastAsia="zh-CN"/>
              </w:rPr>
              <w:t>污水处理站</w:t>
            </w:r>
            <w:r>
              <w:rPr>
                <w:rFonts w:hint="eastAsia" w:ascii="宋体" w:hAnsi="宋体" w:eastAsia="宋体" w:cs="宋体"/>
              </w:rPr>
              <w:t>、危废库和原料库如无防渗措施或防渗不到位，可能发生地下水污染。本项目要求</w:t>
            </w:r>
            <w:r>
              <w:rPr>
                <w:rFonts w:hint="eastAsia" w:ascii="宋体" w:hAnsi="宋体" w:eastAsia="宋体" w:cs="宋体"/>
                <w:lang w:eastAsia="zh-CN"/>
              </w:rPr>
              <w:t>表面预处理</w:t>
            </w:r>
            <w:r>
              <w:rPr>
                <w:rFonts w:hint="eastAsia" w:ascii="宋体" w:hAnsi="宋体" w:eastAsia="宋体" w:cs="宋体"/>
              </w:rPr>
              <w:t>生产线、</w:t>
            </w:r>
            <w:r>
              <w:rPr>
                <w:rFonts w:hint="eastAsia" w:ascii="宋体" w:hAnsi="宋体" w:eastAsia="宋体" w:cs="宋体"/>
                <w:lang w:val="en-US" w:eastAsia="zh-CN"/>
              </w:rPr>
              <w:t>污水处理站</w:t>
            </w:r>
            <w:r>
              <w:rPr>
                <w:rFonts w:hint="eastAsia" w:ascii="宋体" w:hAnsi="宋体" w:eastAsia="宋体" w:cs="宋体"/>
              </w:rPr>
              <w:t>、危废库和原料库进行重点防渗，阻断污染途径、杜绝地下水污染。</w:t>
            </w:r>
          </w:p>
          <w:p w14:paraId="2F3865F7">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rPr>
            </w:pPr>
            <w:r>
              <w:rPr>
                <w:rFonts w:hint="eastAsia" w:ascii="宋体" w:hAnsi="宋体" w:eastAsia="宋体" w:cs="宋体"/>
              </w:rPr>
              <w:t>③原辅料泄漏</w:t>
            </w:r>
          </w:p>
          <w:p w14:paraId="55F1A071">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rPr>
            </w:pPr>
            <w:r>
              <w:rPr>
                <w:rFonts w:hint="eastAsia" w:ascii="宋体" w:hAnsi="宋体" w:eastAsia="宋体" w:cs="宋体"/>
              </w:rPr>
              <w:t>项目生产所用的脱脂剂</w:t>
            </w:r>
            <w:r>
              <w:rPr>
                <w:rFonts w:hint="eastAsia" w:ascii="宋体" w:hAnsi="宋体" w:eastAsia="宋体" w:cs="宋体"/>
                <w:lang w:eastAsia="zh-CN"/>
              </w:rPr>
              <w:t>、硅烷处理剂等</w:t>
            </w:r>
            <w:r>
              <w:rPr>
                <w:rFonts w:hint="eastAsia" w:ascii="宋体" w:hAnsi="宋体" w:eastAsia="宋体" w:cs="宋体"/>
              </w:rPr>
              <w:t>存放于专用原料库。在储存和使用环节中，有可能因人工或机器操作失误，或不可抗外力因素，导致储存桶破损从而泄漏。泄漏后遇明火发生火灾爆炸，危害大气和人员安全。类比同类型的企业安全管理，在加强管理和采取措施情况下是风险是可控的。</w:t>
            </w:r>
          </w:p>
          <w:p w14:paraId="61381F84">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rPr>
            </w:pPr>
            <w:r>
              <w:rPr>
                <w:rFonts w:hint="eastAsia" w:ascii="宋体" w:hAnsi="宋体" w:eastAsia="宋体" w:cs="宋体"/>
              </w:rPr>
              <w:t>④危废泄漏</w:t>
            </w:r>
          </w:p>
          <w:p w14:paraId="17C3365E">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rPr>
            </w:pPr>
            <w:r>
              <w:rPr>
                <w:rFonts w:hint="eastAsia" w:ascii="宋体" w:hAnsi="宋体" w:eastAsia="宋体" w:cs="宋体"/>
              </w:rPr>
              <w:t>危险固废在储存和使用转移环节中，有可能因人工或机器操作失误，或不可抗外力因素，导致储存容器破损从而泄漏。泄漏的危废通过雨水管进入水环境会造成生物中毒的危害和污染地表水、土壤。类比同类型的企业安全管理，在加强管理和采取措施情况下是风险是可控的。</w:t>
            </w:r>
          </w:p>
          <w:p w14:paraId="127F71CE">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rPr>
            </w:pPr>
            <w:r>
              <w:rPr>
                <w:rFonts w:hint="eastAsia" w:ascii="宋体" w:hAnsi="宋体" w:eastAsia="宋体" w:cs="宋体"/>
              </w:rPr>
              <w:t>5、防治措施</w:t>
            </w:r>
          </w:p>
          <w:p w14:paraId="2D439194">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rPr>
            </w:pPr>
            <w:r>
              <w:rPr>
                <w:rFonts w:hint="eastAsia" w:ascii="宋体" w:hAnsi="宋体" w:eastAsia="宋体" w:cs="宋体"/>
              </w:rPr>
              <w:t>①对</w:t>
            </w:r>
            <w:r>
              <w:rPr>
                <w:rFonts w:hint="eastAsia" w:ascii="宋体" w:hAnsi="宋体" w:eastAsia="宋体" w:cs="宋体"/>
                <w:lang w:eastAsia="zh-CN"/>
              </w:rPr>
              <w:t>危废暂存间</w:t>
            </w:r>
            <w:r>
              <w:rPr>
                <w:rFonts w:hint="eastAsia" w:ascii="宋体" w:hAnsi="宋体" w:eastAsia="宋体" w:cs="宋体"/>
              </w:rPr>
              <w:t>、</w:t>
            </w:r>
            <w:r>
              <w:rPr>
                <w:rFonts w:hint="eastAsia" w:ascii="宋体" w:hAnsi="宋体" w:eastAsia="宋体" w:cs="宋体"/>
                <w:lang w:eastAsia="zh-CN"/>
              </w:rPr>
              <w:t>表面预处理</w:t>
            </w:r>
            <w:r>
              <w:rPr>
                <w:rFonts w:hint="eastAsia" w:ascii="宋体" w:hAnsi="宋体" w:eastAsia="宋体" w:cs="宋体"/>
              </w:rPr>
              <w:t>生产线、</w:t>
            </w:r>
            <w:r>
              <w:rPr>
                <w:rFonts w:hint="eastAsia" w:ascii="宋体" w:hAnsi="宋体" w:eastAsia="宋体" w:cs="宋体"/>
                <w:lang w:val="en-US" w:eastAsia="zh-CN"/>
              </w:rPr>
              <w:t>污水处理站</w:t>
            </w:r>
            <w:r>
              <w:rPr>
                <w:rFonts w:hint="eastAsia" w:ascii="宋体" w:hAnsi="宋体" w:eastAsia="宋体" w:cs="宋体"/>
                <w:lang w:eastAsia="zh-CN"/>
              </w:rPr>
              <w:t>等</w:t>
            </w:r>
            <w:r>
              <w:rPr>
                <w:rFonts w:hint="eastAsia" w:ascii="宋体" w:hAnsi="宋体" w:eastAsia="宋体" w:cs="宋体"/>
              </w:rPr>
              <w:t>进行地面硬底化防渗，并配备灭火器，通讯设备、照片设施和消防设施，</w:t>
            </w:r>
            <w:r>
              <w:rPr>
                <w:rFonts w:hint="eastAsia" w:ascii="宋体" w:hAnsi="宋体" w:eastAsia="宋体" w:cs="宋体"/>
                <w:lang w:eastAsia="zh-CN"/>
              </w:rPr>
              <w:t>危废暂存间</w:t>
            </w:r>
            <w:r>
              <w:rPr>
                <w:rFonts w:hint="eastAsia" w:ascii="宋体" w:hAnsi="宋体" w:eastAsia="宋体" w:cs="宋体"/>
              </w:rPr>
              <w:t>储存区域设置围堰或者托盘，并设置视频监控。</w:t>
            </w:r>
          </w:p>
          <w:p w14:paraId="12D7AD23">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rPr>
            </w:pPr>
            <w:r>
              <w:rPr>
                <w:rFonts w:hint="eastAsia" w:ascii="宋体" w:hAnsi="宋体" w:eastAsia="宋体" w:cs="宋体"/>
              </w:rPr>
              <w:t>②加强生产区域通风，防止泄漏物积聚；加强脱脂剂</w:t>
            </w:r>
            <w:r>
              <w:rPr>
                <w:rFonts w:hint="eastAsia" w:ascii="宋体" w:hAnsi="宋体" w:eastAsia="宋体" w:cs="宋体"/>
                <w:lang w:eastAsia="zh-CN"/>
              </w:rPr>
              <w:t>、硅烷处理剂</w:t>
            </w:r>
            <w:r>
              <w:rPr>
                <w:rFonts w:hint="eastAsia" w:ascii="宋体" w:hAnsi="宋体" w:eastAsia="宋体" w:cs="宋体"/>
              </w:rPr>
              <w:t>的储存管理，远离火种、热源；合理布局原材料堆放区，储存区内布置按储存的物质性能分类分区存储，性质相抵触、灭火方法不同的原料物品应分类贮存。</w:t>
            </w:r>
          </w:p>
          <w:p w14:paraId="5ABEDE43">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rPr>
            </w:pPr>
            <w:r>
              <w:rPr>
                <w:rFonts w:hint="eastAsia" w:ascii="宋体" w:hAnsi="宋体" w:eastAsia="宋体" w:cs="宋体"/>
              </w:rPr>
              <w:t>危险物品或危废出入库必须检查验收登记，贮存期间定期养护，控制好贮存场所的温度和湿度，做好防火防爆措施；装卸、搬运时应轻装轻卸，注意自我防护。</w:t>
            </w:r>
          </w:p>
          <w:p w14:paraId="1BFA3F9D">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rPr>
            </w:pPr>
            <w:r>
              <w:rPr>
                <w:rFonts w:hint="eastAsia" w:ascii="宋体" w:hAnsi="宋体" w:eastAsia="宋体" w:cs="宋体"/>
              </w:rPr>
              <w:t>③组织专门人员每天每班多次进行周期性巡回检查，有跑冒滴漏或其他异常现象的应及时检修，必要时按照“生产服从安全”原则停车检修，严禁带病或不正常运转。</w:t>
            </w:r>
          </w:p>
          <w:p w14:paraId="3AA0FFCA">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rPr>
            </w:pPr>
            <w:r>
              <w:rPr>
                <w:rFonts w:hint="eastAsia" w:ascii="宋体" w:hAnsi="宋体" w:eastAsia="宋体" w:cs="宋体"/>
              </w:rPr>
              <w:t>④一旦原料物质或危废出现泄漏，应有防止向四周扩散、并起到隔离作用的具体措施；预先配备有处理泄漏事故的器材，并有专人负责妥善保管在专门的地方，一旦出现事故，立即投入使用；存放各种化学品的容器应定期进行无损检查。</w:t>
            </w:r>
          </w:p>
          <w:p w14:paraId="0F8A6179">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rPr>
            </w:pPr>
            <w:r>
              <w:rPr>
                <w:rFonts w:hint="eastAsia" w:ascii="宋体" w:hAnsi="宋体" w:eastAsia="宋体" w:cs="宋体"/>
              </w:rPr>
              <w:t>⑤本项目应加强对废气收集处理系统的维护和检修，使其处于良好的运行状态，并且需加强管理，提高工作人员的操作水平，以减少事故的发生。</w:t>
            </w:r>
          </w:p>
          <w:p w14:paraId="5049D805">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rPr>
            </w:pPr>
            <w:r>
              <w:rPr>
                <w:rFonts w:hint="eastAsia" w:ascii="宋体" w:hAnsi="宋体" w:eastAsia="宋体" w:cs="宋体"/>
              </w:rPr>
              <w:t>⑥建立突发环境事件应急预案，并定期演练。</w:t>
            </w:r>
          </w:p>
          <w:p w14:paraId="504659FD">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rPr>
            </w:pPr>
            <w:r>
              <w:rPr>
                <w:rFonts w:hint="eastAsia" w:ascii="宋体" w:hAnsi="宋体" w:eastAsia="宋体" w:cs="宋体"/>
              </w:rPr>
              <w:t>6、分析结论</w:t>
            </w:r>
          </w:p>
          <w:p w14:paraId="485D22BC">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rPr>
            </w:pPr>
            <w:r>
              <w:rPr>
                <w:rFonts w:hint="eastAsia" w:ascii="宋体" w:hAnsi="宋体" w:eastAsia="宋体" w:cs="宋体"/>
              </w:rPr>
              <w:t>项目对</w:t>
            </w:r>
            <w:r>
              <w:rPr>
                <w:rFonts w:hint="eastAsia" w:ascii="宋体" w:hAnsi="宋体" w:eastAsia="宋体" w:cs="宋体"/>
                <w:lang w:eastAsia="zh-CN"/>
              </w:rPr>
              <w:t>危废暂存间</w:t>
            </w:r>
            <w:r>
              <w:rPr>
                <w:rFonts w:hint="eastAsia" w:ascii="宋体" w:hAnsi="宋体" w:eastAsia="宋体" w:cs="宋体"/>
              </w:rPr>
              <w:t>、</w:t>
            </w:r>
            <w:r>
              <w:rPr>
                <w:rFonts w:hint="eastAsia" w:ascii="宋体" w:hAnsi="宋体" w:eastAsia="宋体" w:cs="宋体"/>
                <w:lang w:eastAsia="zh-CN"/>
              </w:rPr>
              <w:t>表面预处理线</w:t>
            </w:r>
            <w:r>
              <w:rPr>
                <w:rFonts w:hint="eastAsia" w:ascii="宋体" w:hAnsi="宋体" w:eastAsia="宋体" w:cs="宋体"/>
              </w:rPr>
              <w:t>、</w:t>
            </w:r>
            <w:r>
              <w:rPr>
                <w:rFonts w:hint="eastAsia" w:ascii="宋体" w:hAnsi="宋体" w:eastAsia="宋体" w:cs="宋体"/>
                <w:lang w:val="en-US" w:eastAsia="zh-CN"/>
              </w:rPr>
              <w:t>污水处理站</w:t>
            </w:r>
            <w:r>
              <w:rPr>
                <w:rFonts w:hint="eastAsia" w:ascii="宋体" w:hAnsi="宋体" w:eastAsia="宋体" w:cs="宋体"/>
              </w:rPr>
              <w:t>等进行防渗处理，发生事故时，不会对厂外环境造成不利影响。在落实相应风险防范和控制措施的情况下，可将发生事故的风险概率控制在最低概率上，即使一旦发生，也可将影响范围控制在最小，减少损失，因此，本项目的环境风险水平是可以接受的。</w:t>
            </w:r>
          </w:p>
          <w:p w14:paraId="0BB2604F">
            <w:pPr>
              <w:keepNext w:val="0"/>
              <w:keepLines w:val="0"/>
              <w:suppressLineNumbers w:val="0"/>
              <w:adjustRightInd w:val="0"/>
              <w:snapToGrid w:val="0"/>
              <w:spacing w:before="0" w:beforeAutospacing="0" w:after="0" w:afterAutospacing="0"/>
              <w:ind w:left="0" w:right="0" w:firstLine="482" w:firstLineChars="200"/>
              <w:jc w:val="center"/>
              <w:rPr>
                <w:rFonts w:hint="eastAsia" w:ascii="宋体" w:hAnsi="宋体" w:eastAsia="宋体" w:cs="宋体"/>
                <w:b/>
                <w:bCs/>
              </w:rPr>
            </w:pPr>
          </w:p>
          <w:p w14:paraId="3574319C">
            <w:pPr>
              <w:keepNext w:val="0"/>
              <w:keepLines w:val="0"/>
              <w:suppressLineNumbers w:val="0"/>
              <w:adjustRightInd w:val="0"/>
              <w:snapToGrid w:val="0"/>
              <w:spacing w:before="0" w:beforeAutospacing="0" w:after="0" w:afterAutospacing="0"/>
              <w:ind w:left="0" w:right="0" w:firstLine="482" w:firstLineChars="200"/>
              <w:jc w:val="center"/>
              <w:rPr>
                <w:rFonts w:hint="eastAsia" w:ascii="宋体" w:hAnsi="宋体" w:eastAsia="宋体" w:cs="宋体"/>
                <w:b/>
                <w:bCs/>
              </w:rPr>
            </w:pPr>
            <w:r>
              <w:rPr>
                <w:rFonts w:hint="eastAsia" w:ascii="宋体" w:hAnsi="宋体" w:eastAsia="宋体" w:cs="宋体"/>
                <w:b/>
                <w:bCs/>
              </w:rPr>
              <w:t>表4-</w:t>
            </w:r>
            <w:r>
              <w:rPr>
                <w:rFonts w:hint="eastAsia" w:ascii="宋体" w:hAnsi="宋体" w:eastAsia="宋体" w:cs="宋体"/>
                <w:b/>
                <w:bCs/>
                <w:lang w:val="en-US" w:eastAsia="zh-CN"/>
              </w:rPr>
              <w:t>29</w:t>
            </w:r>
            <w:r>
              <w:rPr>
                <w:rFonts w:hint="eastAsia" w:ascii="宋体" w:hAnsi="宋体" w:eastAsia="宋体" w:cs="宋体"/>
                <w:b/>
                <w:bCs/>
              </w:rPr>
              <w:t xml:space="preserve">  环境风险简单分析内容表</w:t>
            </w:r>
          </w:p>
          <w:tbl>
            <w:tblPr>
              <w:tblStyle w:val="30"/>
              <w:tblW w:w="813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61"/>
              <w:gridCol w:w="952"/>
              <w:gridCol w:w="2037"/>
              <w:gridCol w:w="1178"/>
              <w:gridCol w:w="2211"/>
            </w:tblGrid>
            <w:tr w14:paraId="4B746F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1" w:type="dxa"/>
                  <w:noWrap w:val="0"/>
                  <w:vAlign w:val="center"/>
                </w:tcPr>
                <w:p w14:paraId="7C696399">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建设项目名称</w:t>
                  </w:r>
                </w:p>
              </w:tc>
              <w:tc>
                <w:tcPr>
                  <w:tcW w:w="6378" w:type="dxa"/>
                  <w:gridSpan w:val="4"/>
                  <w:noWrap w:val="0"/>
                  <w:vAlign w:val="center"/>
                </w:tcPr>
                <w:p w14:paraId="22F62839">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医疗器械零部件制造项目</w:t>
                  </w:r>
                </w:p>
              </w:tc>
            </w:tr>
            <w:tr w14:paraId="2A95B4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1" w:type="dxa"/>
                  <w:noWrap w:val="0"/>
                  <w:vAlign w:val="center"/>
                </w:tcPr>
                <w:p w14:paraId="750FDEA9">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建设地点</w:t>
                  </w:r>
                </w:p>
              </w:tc>
              <w:tc>
                <w:tcPr>
                  <w:tcW w:w="952" w:type="dxa"/>
                  <w:noWrap w:val="0"/>
                  <w:vAlign w:val="center"/>
                </w:tcPr>
                <w:p w14:paraId="37C5391D">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江苏省</w:t>
                  </w:r>
                </w:p>
              </w:tc>
              <w:tc>
                <w:tcPr>
                  <w:tcW w:w="2037" w:type="dxa"/>
                  <w:noWrap w:val="0"/>
                  <w:vAlign w:val="center"/>
                </w:tcPr>
                <w:p w14:paraId="4FB26275">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镇江市</w:t>
                  </w:r>
                </w:p>
              </w:tc>
              <w:tc>
                <w:tcPr>
                  <w:tcW w:w="3389" w:type="dxa"/>
                  <w:gridSpan w:val="2"/>
                  <w:noWrap w:val="0"/>
                  <w:vAlign w:val="center"/>
                </w:tcPr>
                <w:p w14:paraId="4EC45421">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句容市边城镇陈武街137号</w:t>
                  </w:r>
                </w:p>
              </w:tc>
            </w:tr>
            <w:tr w14:paraId="365464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1" w:type="dxa"/>
                  <w:noWrap w:val="0"/>
                  <w:vAlign w:val="center"/>
                </w:tcPr>
                <w:p w14:paraId="42C4ED6E">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地理坐标</w:t>
                  </w:r>
                </w:p>
              </w:tc>
              <w:tc>
                <w:tcPr>
                  <w:tcW w:w="952" w:type="dxa"/>
                  <w:noWrap w:val="0"/>
                  <w:vAlign w:val="center"/>
                </w:tcPr>
                <w:p w14:paraId="28DF6619">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经度</w:t>
                  </w:r>
                </w:p>
              </w:tc>
              <w:tc>
                <w:tcPr>
                  <w:tcW w:w="2037" w:type="dxa"/>
                  <w:noWrap w:val="0"/>
                  <w:vAlign w:val="center"/>
                </w:tcPr>
                <w:p w14:paraId="3DD92356">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119°</w:t>
                  </w:r>
                  <w:r>
                    <w:rPr>
                      <w:rFonts w:hint="eastAsia" w:ascii="宋体" w:hAnsi="宋体" w:eastAsia="宋体" w:cs="宋体"/>
                      <w:sz w:val="21"/>
                      <w:szCs w:val="21"/>
                      <w:lang w:val="en-US" w:eastAsia="zh-CN"/>
                    </w:rPr>
                    <w:t>16</w:t>
                  </w:r>
                  <w:r>
                    <w:rPr>
                      <w:rFonts w:hint="eastAsia" w:ascii="宋体" w:hAnsi="宋体" w:eastAsia="宋体" w:cs="宋体"/>
                      <w:sz w:val="21"/>
                      <w:szCs w:val="21"/>
                    </w:rPr>
                    <w:t>＇</w:t>
                  </w:r>
                  <w:r>
                    <w:rPr>
                      <w:rFonts w:hint="eastAsia" w:ascii="宋体" w:hAnsi="宋体" w:eastAsia="宋体" w:cs="宋体"/>
                      <w:sz w:val="21"/>
                      <w:szCs w:val="21"/>
                      <w:lang w:val="en-US" w:eastAsia="zh-CN"/>
                    </w:rPr>
                    <w:t>13.980</w:t>
                  </w:r>
                  <w:r>
                    <w:rPr>
                      <w:rFonts w:hint="eastAsia" w:ascii="宋体" w:hAnsi="宋体" w:eastAsia="宋体" w:cs="宋体"/>
                      <w:sz w:val="21"/>
                      <w:szCs w:val="21"/>
                    </w:rPr>
                    <w:t>"</w:t>
                  </w:r>
                </w:p>
              </w:tc>
              <w:tc>
                <w:tcPr>
                  <w:tcW w:w="1178" w:type="dxa"/>
                  <w:noWrap w:val="0"/>
                  <w:vAlign w:val="center"/>
                </w:tcPr>
                <w:p w14:paraId="3A08381B">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纬度</w:t>
                  </w:r>
                </w:p>
              </w:tc>
              <w:tc>
                <w:tcPr>
                  <w:tcW w:w="2211" w:type="dxa"/>
                  <w:noWrap w:val="0"/>
                  <w:vAlign w:val="center"/>
                </w:tcPr>
                <w:p w14:paraId="6AE8D352">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32°1＇</w:t>
                  </w:r>
                  <w:r>
                    <w:rPr>
                      <w:rFonts w:hint="eastAsia" w:ascii="宋体" w:hAnsi="宋体" w:eastAsia="宋体" w:cs="宋体"/>
                      <w:sz w:val="21"/>
                      <w:szCs w:val="21"/>
                      <w:lang w:val="en-US" w:eastAsia="zh-CN"/>
                    </w:rPr>
                    <w:t>36.470</w:t>
                  </w:r>
                  <w:r>
                    <w:rPr>
                      <w:rFonts w:hint="eastAsia" w:ascii="宋体" w:hAnsi="宋体" w:eastAsia="宋体" w:cs="宋体"/>
                      <w:sz w:val="21"/>
                      <w:szCs w:val="21"/>
                    </w:rPr>
                    <w:t>"</w:t>
                  </w:r>
                </w:p>
              </w:tc>
            </w:tr>
            <w:tr w14:paraId="628B90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1" w:type="dxa"/>
                  <w:noWrap w:val="0"/>
                  <w:vAlign w:val="center"/>
                </w:tcPr>
                <w:p w14:paraId="71FB33ED">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主要危险物质及分布</w:t>
                  </w:r>
                </w:p>
              </w:tc>
              <w:tc>
                <w:tcPr>
                  <w:tcW w:w="6378" w:type="dxa"/>
                  <w:gridSpan w:val="4"/>
                  <w:noWrap w:val="0"/>
                  <w:vAlign w:val="center"/>
                </w:tcPr>
                <w:p w14:paraId="1194D858">
                  <w:pPr>
                    <w:keepNext w:val="0"/>
                    <w:keepLines w:val="0"/>
                    <w:suppressLineNumbers w:val="0"/>
                    <w:adjustRightInd w:val="0"/>
                    <w:snapToGrid w:val="0"/>
                    <w:spacing w:before="0" w:beforeAutospacing="0" w:after="0" w:afterAutospacing="0" w:line="240" w:lineRule="atLeast"/>
                    <w:ind w:left="0" w:right="0"/>
                    <w:jc w:val="center"/>
                    <w:rPr>
                      <w:rFonts w:hint="default" w:ascii="宋体" w:hAnsi="宋体" w:cs="宋体"/>
                      <w:sz w:val="21"/>
                      <w:szCs w:val="21"/>
                      <w:lang w:val="en-US"/>
                    </w:rPr>
                  </w:pPr>
                  <w:r>
                    <w:rPr>
                      <w:rFonts w:hint="eastAsia" w:ascii="宋体" w:hAnsi="宋体" w:eastAsia="宋体" w:cs="宋体"/>
                      <w:sz w:val="21"/>
                      <w:szCs w:val="21"/>
                    </w:rPr>
                    <w:t>脱脂剂（脱脂槽）</w:t>
                  </w:r>
                  <w:r>
                    <w:rPr>
                      <w:rFonts w:hint="eastAsia" w:ascii="宋体" w:hAnsi="宋体" w:eastAsia="宋体" w:cs="宋体"/>
                      <w:sz w:val="21"/>
                      <w:szCs w:val="21"/>
                      <w:lang w:eastAsia="zh-CN"/>
                    </w:rPr>
                    <w:t>、硅烷处理剂</w:t>
                  </w:r>
                  <w:r>
                    <w:rPr>
                      <w:rFonts w:hint="eastAsia" w:ascii="宋体" w:hAnsi="宋体" w:eastAsia="宋体" w:cs="宋体"/>
                      <w:sz w:val="21"/>
                      <w:szCs w:val="21"/>
                    </w:rPr>
                    <w:t>（</w:t>
                  </w:r>
                  <w:r>
                    <w:rPr>
                      <w:rFonts w:hint="eastAsia" w:ascii="宋体" w:hAnsi="宋体" w:eastAsia="宋体" w:cs="宋体"/>
                      <w:sz w:val="21"/>
                      <w:szCs w:val="21"/>
                      <w:lang w:val="en-US" w:eastAsia="zh-CN"/>
                    </w:rPr>
                    <w:t>硅烷</w:t>
                  </w:r>
                  <w:r>
                    <w:rPr>
                      <w:rFonts w:hint="eastAsia" w:ascii="宋体" w:hAnsi="宋体" w:eastAsia="宋体" w:cs="宋体"/>
                      <w:sz w:val="21"/>
                      <w:szCs w:val="21"/>
                    </w:rPr>
                    <w:t>槽）；危险废物（</w:t>
                  </w:r>
                  <w:r>
                    <w:rPr>
                      <w:rFonts w:hint="eastAsia" w:ascii="宋体" w:hAnsi="宋体" w:eastAsia="宋体" w:cs="宋体"/>
                      <w:sz w:val="21"/>
                      <w:szCs w:val="21"/>
                      <w:lang w:eastAsia="zh-CN"/>
                    </w:rPr>
                    <w:t>危废暂存间</w:t>
                  </w:r>
                  <w:r>
                    <w:rPr>
                      <w:rFonts w:hint="eastAsia" w:ascii="宋体" w:hAnsi="宋体" w:eastAsia="宋体" w:cs="宋体"/>
                      <w:sz w:val="21"/>
                      <w:szCs w:val="21"/>
                    </w:rPr>
                    <w:t>）；脱脂剂</w:t>
                  </w:r>
                  <w:r>
                    <w:rPr>
                      <w:rFonts w:hint="eastAsia" w:ascii="宋体" w:hAnsi="宋体" w:eastAsia="宋体" w:cs="宋体"/>
                      <w:sz w:val="21"/>
                      <w:szCs w:val="21"/>
                      <w:lang w:eastAsia="zh-CN"/>
                    </w:rPr>
                    <w:t>、硅烷处理剂（</w:t>
                  </w:r>
                  <w:r>
                    <w:rPr>
                      <w:rFonts w:hint="eastAsia" w:ascii="宋体" w:hAnsi="宋体" w:eastAsia="宋体" w:cs="宋体"/>
                      <w:sz w:val="21"/>
                      <w:szCs w:val="21"/>
                      <w:lang w:val="en-US" w:eastAsia="zh-CN"/>
                    </w:rPr>
                    <w:t>原</w:t>
                  </w:r>
                  <w:r>
                    <w:rPr>
                      <w:rFonts w:hint="eastAsia" w:ascii="宋体" w:hAnsi="宋体" w:eastAsia="宋体" w:cs="宋体"/>
                      <w:sz w:val="21"/>
                      <w:szCs w:val="21"/>
                      <w:lang w:eastAsia="zh-CN"/>
                    </w:rPr>
                    <w:t>料仓库）；</w:t>
                  </w:r>
                  <w:r>
                    <w:rPr>
                      <w:rFonts w:hint="eastAsia" w:ascii="宋体" w:hAnsi="宋体" w:eastAsia="宋体" w:cs="宋体"/>
                      <w:sz w:val="21"/>
                      <w:szCs w:val="21"/>
                      <w:lang w:val="en-US" w:eastAsia="zh-CN"/>
                    </w:rPr>
                    <w:t>天然气（管道）</w:t>
                  </w:r>
                </w:p>
              </w:tc>
            </w:tr>
            <w:tr w14:paraId="6C5146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761" w:type="dxa"/>
                  <w:noWrap w:val="0"/>
                  <w:vAlign w:val="center"/>
                </w:tcPr>
                <w:p w14:paraId="585E88AF">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环境影响途径及危害后果</w:t>
                  </w:r>
                </w:p>
                <w:p w14:paraId="0DFE2068">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（大气、地表水、地下水）</w:t>
                  </w:r>
                </w:p>
              </w:tc>
              <w:tc>
                <w:tcPr>
                  <w:tcW w:w="6378" w:type="dxa"/>
                  <w:gridSpan w:val="4"/>
                  <w:noWrap w:val="0"/>
                  <w:vAlign w:val="center"/>
                </w:tcPr>
                <w:p w14:paraId="5F38864E">
                  <w:pPr>
                    <w:keepNext w:val="0"/>
                    <w:keepLines w:val="0"/>
                    <w:suppressLineNumbers w:val="0"/>
                    <w:adjustRightInd w:val="0"/>
                    <w:snapToGrid w:val="0"/>
                    <w:spacing w:before="0" w:beforeAutospacing="0" w:after="0" w:afterAutospacing="0" w:line="240" w:lineRule="atLeast"/>
                    <w:ind w:left="0" w:right="0"/>
                    <w:jc w:val="left"/>
                    <w:rPr>
                      <w:rFonts w:hint="eastAsia" w:ascii="宋体" w:hAnsi="宋体" w:eastAsia="宋体" w:cs="宋体"/>
                      <w:sz w:val="21"/>
                      <w:szCs w:val="21"/>
                    </w:rPr>
                  </w:pPr>
                  <w:r>
                    <w:rPr>
                      <w:rFonts w:hint="eastAsia" w:ascii="宋体" w:hAnsi="宋体" w:eastAsia="宋体" w:cs="宋体"/>
                      <w:sz w:val="21"/>
                      <w:szCs w:val="21"/>
                    </w:rPr>
                    <w:t>①大气：物料泄漏，造成大气环境短时间超标；</w:t>
                  </w:r>
                </w:p>
                <w:p w14:paraId="2E8E461E">
                  <w:pPr>
                    <w:keepNext w:val="0"/>
                    <w:keepLines w:val="0"/>
                    <w:suppressLineNumbers w:val="0"/>
                    <w:adjustRightInd w:val="0"/>
                    <w:snapToGrid w:val="0"/>
                    <w:spacing w:before="0" w:beforeAutospacing="0" w:after="0" w:afterAutospacing="0" w:line="240" w:lineRule="atLeast"/>
                    <w:ind w:left="0" w:right="0"/>
                    <w:jc w:val="left"/>
                    <w:rPr>
                      <w:rFonts w:hint="eastAsia" w:ascii="宋体" w:hAnsi="宋体" w:eastAsia="宋体" w:cs="宋体"/>
                      <w:sz w:val="21"/>
                      <w:szCs w:val="21"/>
                    </w:rPr>
                  </w:pPr>
                  <w:r>
                    <w:rPr>
                      <w:rFonts w:hint="eastAsia" w:ascii="宋体" w:hAnsi="宋体" w:eastAsia="宋体" w:cs="宋体"/>
                      <w:sz w:val="21"/>
                      <w:szCs w:val="21"/>
                    </w:rPr>
                    <w:t>②地表水：物料泄漏及消防废水通过雨水管网进入水体，造成周边水体污染；</w:t>
                  </w:r>
                </w:p>
                <w:p w14:paraId="41F8131D">
                  <w:pPr>
                    <w:keepNext w:val="0"/>
                    <w:keepLines w:val="0"/>
                    <w:suppressLineNumbers w:val="0"/>
                    <w:adjustRightInd w:val="0"/>
                    <w:snapToGrid w:val="0"/>
                    <w:spacing w:before="0" w:beforeAutospacing="0" w:after="0" w:afterAutospacing="0" w:line="240" w:lineRule="atLeast"/>
                    <w:ind w:left="0" w:right="0"/>
                    <w:jc w:val="left"/>
                    <w:rPr>
                      <w:rFonts w:hint="eastAsia" w:ascii="宋体" w:hAnsi="宋体" w:eastAsia="宋体" w:cs="宋体"/>
                      <w:sz w:val="21"/>
                      <w:szCs w:val="21"/>
                    </w:rPr>
                  </w:pPr>
                  <w:r>
                    <w:rPr>
                      <w:rFonts w:hint="eastAsia" w:ascii="宋体" w:hAnsi="宋体" w:eastAsia="宋体" w:cs="宋体"/>
                      <w:sz w:val="21"/>
                      <w:szCs w:val="21"/>
                    </w:rPr>
                    <w:t>③地下水：物料泄漏及消防废水通过土壤渗透到地下水，造成地下水超标，水质污染。</w:t>
                  </w:r>
                </w:p>
              </w:tc>
            </w:tr>
            <w:tr w14:paraId="21650E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1761" w:type="dxa"/>
                  <w:noWrap w:val="0"/>
                  <w:vAlign w:val="center"/>
                </w:tcPr>
                <w:p w14:paraId="0E884652">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风险防范措施要求</w:t>
                  </w:r>
                </w:p>
              </w:tc>
              <w:tc>
                <w:tcPr>
                  <w:tcW w:w="6378" w:type="dxa"/>
                  <w:gridSpan w:val="4"/>
                  <w:noWrap w:val="0"/>
                  <w:vAlign w:val="center"/>
                </w:tcPr>
                <w:p w14:paraId="7CA5ADEF">
                  <w:pPr>
                    <w:keepNext w:val="0"/>
                    <w:keepLines w:val="0"/>
                    <w:suppressLineNumbers w:val="0"/>
                    <w:adjustRightInd w:val="0"/>
                    <w:snapToGrid w:val="0"/>
                    <w:spacing w:before="0" w:beforeAutospacing="0" w:after="0" w:afterAutospacing="0" w:line="240" w:lineRule="atLeast"/>
                    <w:ind w:left="0" w:right="0"/>
                    <w:jc w:val="left"/>
                    <w:rPr>
                      <w:rFonts w:hint="eastAsia" w:ascii="宋体" w:hAnsi="宋体" w:eastAsia="宋体" w:cs="宋体"/>
                      <w:sz w:val="21"/>
                      <w:szCs w:val="21"/>
                    </w:rPr>
                  </w:pPr>
                  <w:r>
                    <w:rPr>
                      <w:rFonts w:hint="eastAsia" w:ascii="宋体" w:hAnsi="宋体" w:eastAsia="宋体" w:cs="宋体"/>
                      <w:sz w:val="21"/>
                      <w:szCs w:val="21"/>
                    </w:rPr>
                    <w:t>①加强生产管理，建立完善安全管理规章制度和安全操作规程，严格执行安全和消防规范。</w:t>
                  </w:r>
                </w:p>
                <w:p w14:paraId="5E0C319D">
                  <w:pPr>
                    <w:keepNext w:val="0"/>
                    <w:keepLines w:val="0"/>
                    <w:suppressLineNumbers w:val="0"/>
                    <w:adjustRightInd w:val="0"/>
                    <w:snapToGrid w:val="0"/>
                    <w:spacing w:before="0" w:beforeAutospacing="0" w:after="0" w:afterAutospacing="0" w:line="240" w:lineRule="atLeast"/>
                    <w:ind w:left="0" w:right="0"/>
                    <w:jc w:val="left"/>
                    <w:rPr>
                      <w:rFonts w:hint="eastAsia" w:ascii="宋体" w:hAnsi="宋体" w:eastAsia="宋体" w:cs="宋体"/>
                      <w:sz w:val="21"/>
                      <w:szCs w:val="21"/>
                    </w:rPr>
                  </w:pPr>
                  <w:r>
                    <w:rPr>
                      <w:rFonts w:hint="eastAsia" w:ascii="宋体" w:hAnsi="宋体" w:eastAsia="宋体" w:cs="宋体"/>
                      <w:sz w:val="21"/>
                      <w:szCs w:val="21"/>
                    </w:rPr>
                    <w:t>②厂区加强通风，避免死角造成有害物质的聚集。</w:t>
                  </w:r>
                </w:p>
                <w:p w14:paraId="350885BB">
                  <w:pPr>
                    <w:keepNext w:val="0"/>
                    <w:keepLines w:val="0"/>
                    <w:suppressLineNumbers w:val="0"/>
                    <w:adjustRightInd w:val="0"/>
                    <w:snapToGrid w:val="0"/>
                    <w:spacing w:before="0" w:beforeAutospacing="0" w:after="0" w:afterAutospacing="0" w:line="240" w:lineRule="atLeast"/>
                    <w:ind w:left="0" w:right="0"/>
                    <w:jc w:val="left"/>
                    <w:rPr>
                      <w:rFonts w:hint="eastAsia" w:ascii="宋体" w:hAnsi="宋体" w:eastAsia="宋体" w:cs="宋体"/>
                      <w:sz w:val="21"/>
                      <w:szCs w:val="21"/>
                    </w:rPr>
                  </w:pPr>
                  <w:r>
                    <w:rPr>
                      <w:rFonts w:hint="eastAsia" w:ascii="宋体" w:hAnsi="宋体" w:eastAsia="宋体" w:cs="宋体"/>
                      <w:sz w:val="21"/>
                      <w:szCs w:val="21"/>
                    </w:rPr>
                    <w:t>③单独设置危废储存库，严禁靠近明火，设置专人管理。</w:t>
                  </w:r>
                </w:p>
                <w:p w14:paraId="7D25054E">
                  <w:pPr>
                    <w:keepNext w:val="0"/>
                    <w:keepLines w:val="0"/>
                    <w:suppressLineNumbers w:val="0"/>
                    <w:adjustRightInd w:val="0"/>
                    <w:snapToGrid w:val="0"/>
                    <w:spacing w:before="0" w:beforeAutospacing="0" w:after="0" w:afterAutospacing="0" w:line="240" w:lineRule="atLeast"/>
                    <w:ind w:left="0" w:right="0"/>
                    <w:jc w:val="left"/>
                    <w:rPr>
                      <w:rFonts w:hint="eastAsia" w:ascii="宋体" w:hAnsi="宋体" w:eastAsia="宋体" w:cs="宋体"/>
                      <w:sz w:val="21"/>
                      <w:szCs w:val="21"/>
                    </w:rPr>
                  </w:pPr>
                  <w:r>
                    <w:rPr>
                      <w:rFonts w:hint="eastAsia" w:ascii="宋体" w:hAnsi="宋体" w:eastAsia="宋体" w:cs="宋体"/>
                      <w:sz w:val="21"/>
                      <w:szCs w:val="21"/>
                    </w:rPr>
                    <w:t>④厂区配备灭火器以及消防栓等消防设备，以利于及时组织灭火扑救。</w:t>
                  </w:r>
                </w:p>
                <w:p w14:paraId="0D021839">
                  <w:pPr>
                    <w:keepNext w:val="0"/>
                    <w:keepLines w:val="0"/>
                    <w:suppressLineNumbers w:val="0"/>
                    <w:adjustRightInd w:val="0"/>
                    <w:snapToGrid w:val="0"/>
                    <w:spacing w:before="0" w:beforeAutospacing="0" w:after="0" w:afterAutospacing="0" w:line="240" w:lineRule="atLeast"/>
                    <w:ind w:left="0" w:right="0"/>
                    <w:jc w:val="left"/>
                    <w:rPr>
                      <w:rFonts w:hint="eastAsia" w:ascii="宋体" w:hAnsi="宋体" w:eastAsia="宋体" w:cs="宋体"/>
                      <w:sz w:val="21"/>
                      <w:szCs w:val="21"/>
                    </w:rPr>
                  </w:pPr>
                  <w:r>
                    <w:rPr>
                      <w:rFonts w:hint="eastAsia" w:ascii="宋体" w:hAnsi="宋体" w:eastAsia="宋体" w:cs="宋体"/>
                      <w:sz w:val="21"/>
                      <w:szCs w:val="21"/>
                    </w:rPr>
                    <w:t>⑤结合消防等专业制定事故应急预案，一旦发生事故后能够及时采取有效措施进行科学处置，将事故破坏降至最低限度。</w:t>
                  </w:r>
                </w:p>
                <w:p w14:paraId="7E54534D">
                  <w:pPr>
                    <w:keepNext w:val="0"/>
                    <w:keepLines w:val="0"/>
                    <w:suppressLineNumbers w:val="0"/>
                    <w:adjustRightInd w:val="0"/>
                    <w:snapToGrid w:val="0"/>
                    <w:spacing w:before="0" w:beforeAutospacing="0" w:after="0" w:afterAutospacing="0" w:line="240" w:lineRule="atLeast"/>
                    <w:ind w:left="0" w:right="0"/>
                    <w:jc w:val="left"/>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 6 \* GB3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⑥</w:t>
                  </w:r>
                  <w:r>
                    <w:rPr>
                      <w:rFonts w:hint="eastAsia" w:ascii="宋体" w:hAnsi="宋体" w:eastAsia="宋体" w:cs="宋体"/>
                      <w:sz w:val="21"/>
                      <w:szCs w:val="21"/>
                    </w:rPr>
                    <w:fldChar w:fldCharType="end"/>
                  </w:r>
                  <w:r>
                    <w:rPr>
                      <w:rFonts w:hint="eastAsia" w:ascii="宋体" w:hAnsi="宋体" w:eastAsia="宋体" w:cs="宋体"/>
                      <w:sz w:val="21"/>
                      <w:szCs w:val="21"/>
                      <w:lang w:eastAsia="zh-CN"/>
                    </w:rPr>
                    <w:t>危废暂存间</w:t>
                  </w:r>
                  <w:r>
                    <w:rPr>
                      <w:rFonts w:hint="eastAsia" w:ascii="宋体" w:hAnsi="宋体" w:eastAsia="宋体" w:cs="宋体"/>
                      <w:sz w:val="21"/>
                      <w:szCs w:val="21"/>
                    </w:rPr>
                    <w:t>、</w:t>
                  </w:r>
                  <w:r>
                    <w:rPr>
                      <w:rFonts w:hint="eastAsia" w:ascii="宋体" w:hAnsi="宋体" w:eastAsia="宋体" w:cs="宋体"/>
                      <w:sz w:val="21"/>
                      <w:szCs w:val="21"/>
                      <w:lang w:val="en-US" w:eastAsia="zh-CN"/>
                    </w:rPr>
                    <w:t>表面预处理线</w:t>
                  </w:r>
                  <w:r>
                    <w:rPr>
                      <w:rFonts w:hint="eastAsia" w:ascii="宋体" w:hAnsi="宋体" w:eastAsia="宋体" w:cs="宋体"/>
                      <w:sz w:val="21"/>
                      <w:szCs w:val="21"/>
                    </w:rPr>
                    <w:t>地面进行防渗，防止对土壤和地下水的污染。</w:t>
                  </w:r>
                </w:p>
              </w:tc>
            </w:tr>
          </w:tbl>
          <w:p w14:paraId="513219D9">
            <w:pPr>
              <w:pStyle w:val="16"/>
              <w:keepNext w:val="0"/>
              <w:keepLines w:val="0"/>
              <w:numPr>
                <w:ilvl w:val="0"/>
                <w:numId w:val="0"/>
              </w:numPr>
              <w:suppressLineNumbers w:val="0"/>
              <w:adjustRightInd w:val="0"/>
              <w:snapToGrid w:val="0"/>
              <w:spacing w:before="0" w:beforeAutospacing="0" w:after="0" w:afterAutospacing="0"/>
              <w:ind w:left="0" w:right="0"/>
              <w:jc w:val="left"/>
              <w:rPr>
                <w:rFonts w:hint="eastAsia" w:ascii="宋体" w:hAnsi="宋体" w:eastAsia="宋体" w:cs="宋体"/>
              </w:rPr>
            </w:pPr>
            <w:r>
              <w:rPr>
                <w:rFonts w:hint="eastAsia" w:ascii="宋体" w:hAnsi="宋体" w:eastAsia="宋体" w:cs="宋体"/>
                <w:bCs/>
              </w:rPr>
              <w:t>七、</w:t>
            </w:r>
            <w:r>
              <w:rPr>
                <w:rFonts w:hint="eastAsia" w:ascii="宋体" w:hAnsi="宋体" w:eastAsia="宋体" w:cs="宋体"/>
              </w:rPr>
              <w:t>环境管理和环境监测</w:t>
            </w:r>
          </w:p>
          <w:p w14:paraId="25C82A41">
            <w:pPr>
              <w:pStyle w:val="16"/>
              <w:keepNext w:val="0"/>
              <w:keepLines w:val="0"/>
              <w:numPr>
                <w:ilvl w:val="0"/>
                <w:numId w:val="0"/>
              </w:numPr>
              <w:suppressLineNumbers w:val="0"/>
              <w:adjustRightInd w:val="0"/>
              <w:snapToGrid w:val="0"/>
              <w:spacing w:before="0" w:beforeAutospacing="0" w:after="0" w:afterAutospacing="0"/>
              <w:ind w:left="0" w:right="0"/>
              <w:jc w:val="left"/>
              <w:rPr>
                <w:rFonts w:hint="eastAsia" w:ascii="宋体" w:hAnsi="宋体" w:eastAsia="宋体" w:cs="宋体"/>
              </w:rPr>
            </w:pPr>
            <w:r>
              <w:rPr>
                <w:rFonts w:hint="eastAsia" w:ascii="宋体" w:hAnsi="宋体" w:eastAsia="宋体" w:cs="宋体"/>
              </w:rPr>
              <w:t>1、环境管理制度要求</w:t>
            </w:r>
          </w:p>
          <w:p w14:paraId="2A300070">
            <w:pPr>
              <w:pStyle w:val="16"/>
              <w:keepNext w:val="0"/>
              <w:keepLines w:val="0"/>
              <w:numPr>
                <w:ilvl w:val="0"/>
                <w:numId w:val="0"/>
              </w:numPr>
              <w:suppressLineNumbers w:val="0"/>
              <w:adjustRightInd w:val="0"/>
              <w:snapToGrid w:val="0"/>
              <w:spacing w:before="0" w:beforeAutospacing="0" w:after="0" w:afterAutospacing="0"/>
              <w:ind w:left="0" w:right="0" w:firstLine="480" w:firstLineChars="200"/>
              <w:jc w:val="left"/>
              <w:rPr>
                <w:rFonts w:hint="eastAsia" w:ascii="宋体" w:hAnsi="宋体" w:eastAsia="宋体" w:cs="宋体"/>
              </w:rPr>
            </w:pPr>
            <w:r>
              <w:rPr>
                <w:rFonts w:hint="eastAsia" w:ascii="宋体" w:hAnsi="宋体" w:eastAsia="宋体" w:cs="宋体"/>
              </w:rPr>
              <w:t>企业要做好环境管理工作，首先应以国家和省、市的环保法规为依据，结合企业的环保工作目标，制定出一套便于操作、行之有效的环境保护管理制度。</w:t>
            </w:r>
          </w:p>
          <w:p w14:paraId="259B40D2">
            <w:pPr>
              <w:pStyle w:val="16"/>
              <w:keepNext w:val="0"/>
              <w:keepLines w:val="0"/>
              <w:numPr>
                <w:ilvl w:val="0"/>
                <w:numId w:val="0"/>
              </w:numPr>
              <w:suppressLineNumbers w:val="0"/>
              <w:adjustRightInd w:val="0"/>
              <w:snapToGrid w:val="0"/>
              <w:spacing w:before="0" w:beforeAutospacing="0" w:after="0" w:afterAutospacing="0"/>
              <w:ind w:left="0" w:right="0" w:firstLine="480" w:firstLineChars="200"/>
              <w:jc w:val="left"/>
              <w:rPr>
                <w:rFonts w:hint="eastAsia" w:ascii="宋体" w:hAnsi="宋体" w:eastAsia="宋体" w:cs="宋体"/>
              </w:rPr>
            </w:pPr>
            <w:r>
              <w:rPr>
                <w:rFonts w:hint="eastAsia" w:ascii="宋体" w:hAnsi="宋体" w:eastAsia="宋体" w:cs="宋体"/>
              </w:rPr>
              <w:t>根据《固定污染源排污许可分类管理名录》（2019版），本项目属于简化管理排污单位，项目建成后应按照相关排污许可规定，按时申请并获取排污许可证，并依法提交相关排污许可证执行报告，不得无证排污或不按证排污。</w:t>
            </w:r>
          </w:p>
          <w:p w14:paraId="78682341">
            <w:pPr>
              <w:pStyle w:val="16"/>
              <w:keepNext w:val="0"/>
              <w:keepLines w:val="0"/>
              <w:numPr>
                <w:ilvl w:val="0"/>
                <w:numId w:val="0"/>
              </w:numPr>
              <w:suppressLineNumbers w:val="0"/>
              <w:adjustRightInd w:val="0"/>
              <w:snapToGrid w:val="0"/>
              <w:spacing w:before="0" w:beforeAutospacing="0" w:after="0" w:afterAutospacing="0"/>
              <w:ind w:left="0" w:right="0"/>
              <w:jc w:val="left"/>
              <w:rPr>
                <w:rFonts w:hint="eastAsia" w:ascii="宋体" w:hAnsi="宋体" w:eastAsia="宋体" w:cs="宋体"/>
              </w:rPr>
            </w:pPr>
            <w:r>
              <w:rPr>
                <w:rFonts w:hint="eastAsia" w:ascii="宋体" w:hAnsi="宋体" w:eastAsia="宋体" w:cs="宋体"/>
              </w:rPr>
              <w:t>2、排污口规范化整治</w:t>
            </w:r>
          </w:p>
          <w:p w14:paraId="2340293B">
            <w:pPr>
              <w:pStyle w:val="16"/>
              <w:keepNext w:val="0"/>
              <w:keepLines w:val="0"/>
              <w:numPr>
                <w:ilvl w:val="0"/>
                <w:numId w:val="0"/>
              </w:numPr>
              <w:suppressLineNumbers w:val="0"/>
              <w:adjustRightInd w:val="0"/>
              <w:snapToGrid w:val="0"/>
              <w:spacing w:before="0" w:beforeAutospacing="0" w:after="0" w:afterAutospacing="0"/>
              <w:ind w:left="0" w:right="0" w:firstLine="480" w:firstLineChars="200"/>
              <w:jc w:val="left"/>
              <w:rPr>
                <w:rFonts w:hint="eastAsia" w:ascii="宋体" w:hAnsi="宋体" w:eastAsia="宋体" w:cs="宋体"/>
              </w:rPr>
            </w:pPr>
            <w:r>
              <w:rPr>
                <w:rFonts w:hint="eastAsia" w:ascii="宋体" w:hAnsi="宋体" w:eastAsia="宋体" w:cs="宋体"/>
              </w:rPr>
              <w:t>根据《江苏省排污口设置及规范化整治管理办法》</w:t>
            </w:r>
            <w:r>
              <w:rPr>
                <w:rFonts w:hint="eastAsia" w:ascii="宋体" w:hAnsi="宋体" w:eastAsia="宋体" w:cs="宋体"/>
                <w:lang w:eastAsia="zh-CN"/>
              </w:rPr>
              <w:t>〔</w:t>
            </w:r>
            <w:r>
              <w:rPr>
                <w:rFonts w:hint="eastAsia" w:ascii="宋体" w:hAnsi="宋体" w:eastAsia="宋体" w:cs="宋体"/>
              </w:rPr>
              <w:t>苏环控（97）122号文</w:t>
            </w:r>
            <w:r>
              <w:rPr>
                <w:rFonts w:hint="eastAsia" w:ascii="宋体" w:hAnsi="宋体" w:eastAsia="宋体" w:cs="宋体"/>
                <w:lang w:eastAsia="zh-CN"/>
              </w:rPr>
              <w:t>〕</w:t>
            </w:r>
            <w:r>
              <w:rPr>
                <w:rFonts w:hint="eastAsia" w:ascii="宋体" w:hAnsi="宋体" w:eastAsia="宋体" w:cs="宋体"/>
              </w:rPr>
              <w:t>的要求设置与管理排污口（指废水排放口、废气排气筒和固废临时堆放场所）。在排污口附近醒目处按规定设置环保标志牌，排污口的设置要合理，便于采集监测样品、便于监测计量、便于公众参与监督管理。</w:t>
            </w:r>
          </w:p>
          <w:p w14:paraId="56A02771">
            <w:pPr>
              <w:pStyle w:val="16"/>
              <w:keepNext w:val="0"/>
              <w:keepLines w:val="0"/>
              <w:numPr>
                <w:ilvl w:val="0"/>
                <w:numId w:val="0"/>
              </w:numPr>
              <w:suppressLineNumbers w:val="0"/>
              <w:adjustRightInd w:val="0"/>
              <w:snapToGrid w:val="0"/>
              <w:spacing w:before="0" w:beforeAutospacing="0" w:after="0" w:afterAutospacing="0"/>
              <w:ind w:left="0" w:right="0" w:firstLine="480" w:firstLineChars="200"/>
              <w:jc w:val="left"/>
              <w:rPr>
                <w:rFonts w:hint="eastAsia" w:ascii="宋体" w:hAnsi="宋体" w:eastAsia="宋体" w:cs="宋体"/>
              </w:rPr>
            </w:pPr>
            <w:r>
              <w:rPr>
                <w:rFonts w:hint="eastAsia" w:ascii="宋体" w:hAnsi="宋体" w:eastAsia="宋体" w:cs="宋体"/>
              </w:rPr>
              <w:t>①废水排放口：本项目</w:t>
            </w:r>
            <w:r>
              <w:rPr>
                <w:rFonts w:hint="eastAsia" w:ascii="宋体" w:hAnsi="宋体" w:eastAsia="宋体" w:cs="宋体"/>
                <w:lang w:val="en-US" w:eastAsia="zh-CN"/>
              </w:rPr>
              <w:t>设置1个</w:t>
            </w:r>
            <w:r>
              <w:rPr>
                <w:rFonts w:hint="eastAsia" w:ascii="宋体" w:hAnsi="宋体" w:eastAsia="宋体" w:cs="宋体"/>
              </w:rPr>
              <w:t>污水</w:t>
            </w:r>
            <w:r>
              <w:rPr>
                <w:rFonts w:hint="eastAsia" w:ascii="宋体" w:hAnsi="宋体" w:eastAsia="宋体" w:cs="宋体"/>
                <w:lang w:val="en-US" w:eastAsia="zh-CN"/>
              </w:rPr>
              <w:t>排口</w:t>
            </w:r>
            <w:r>
              <w:rPr>
                <w:rFonts w:hint="eastAsia" w:ascii="宋体" w:hAnsi="宋体" w:eastAsia="宋体" w:cs="宋体"/>
              </w:rPr>
              <w:t>、</w:t>
            </w:r>
            <w:r>
              <w:rPr>
                <w:rFonts w:hint="eastAsia" w:ascii="宋体" w:hAnsi="宋体" w:eastAsia="宋体" w:cs="宋体"/>
                <w:lang w:val="en-US" w:eastAsia="zh-CN"/>
              </w:rPr>
              <w:t>1个</w:t>
            </w:r>
            <w:r>
              <w:rPr>
                <w:rFonts w:hint="eastAsia" w:ascii="宋体" w:hAnsi="宋体" w:eastAsia="宋体" w:cs="宋体"/>
              </w:rPr>
              <w:t>雨水排口。</w:t>
            </w:r>
          </w:p>
          <w:p w14:paraId="20102CDD">
            <w:pPr>
              <w:pStyle w:val="16"/>
              <w:keepNext w:val="0"/>
              <w:keepLines w:val="0"/>
              <w:numPr>
                <w:ilvl w:val="0"/>
                <w:numId w:val="0"/>
              </w:numPr>
              <w:suppressLineNumbers w:val="0"/>
              <w:adjustRightInd w:val="0"/>
              <w:snapToGrid w:val="0"/>
              <w:spacing w:before="0" w:beforeAutospacing="0" w:after="0" w:afterAutospacing="0"/>
              <w:ind w:left="0" w:right="0" w:firstLine="480" w:firstLineChars="200"/>
              <w:jc w:val="left"/>
              <w:rPr>
                <w:rFonts w:hint="eastAsia" w:ascii="宋体" w:hAnsi="宋体" w:eastAsia="宋体" w:cs="宋体"/>
              </w:rPr>
            </w:pPr>
            <w:r>
              <w:rPr>
                <w:rFonts w:hint="eastAsia" w:ascii="宋体" w:hAnsi="宋体" w:eastAsia="宋体" w:cs="宋体"/>
              </w:rPr>
              <w:t>②废气排放口：本项目新增</w:t>
            </w:r>
            <w:r>
              <w:rPr>
                <w:rFonts w:hint="eastAsia" w:ascii="宋体" w:hAnsi="宋体" w:eastAsia="宋体" w:cs="宋体"/>
                <w:lang w:val="en-US" w:eastAsia="zh-CN"/>
              </w:rPr>
              <w:t>5</w:t>
            </w:r>
            <w:r>
              <w:rPr>
                <w:rFonts w:hint="eastAsia" w:ascii="宋体" w:hAnsi="宋体" w:eastAsia="宋体" w:cs="宋体"/>
              </w:rPr>
              <w:t>个排气筒。</w:t>
            </w:r>
          </w:p>
          <w:p w14:paraId="31B66F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b/>
                <w:bCs/>
                <w:color w:val="auto"/>
                <w:sz w:val="24"/>
              </w:rPr>
            </w:pPr>
            <w:bookmarkStart w:id="181" w:name="_Hlk523475967"/>
            <w:r>
              <w:rPr>
                <w:rFonts w:hint="eastAsia" w:ascii="宋体" w:hAnsi="宋体" w:eastAsia="宋体" w:cs="宋体"/>
                <w:b w:val="0"/>
                <w:bCs w:val="0"/>
                <w:color w:val="auto"/>
                <w:sz w:val="24"/>
                <w:lang w:val="en-US" w:eastAsia="zh-CN"/>
              </w:rPr>
              <w:t>企业排放一般污染物口（源）应设置提示式标志牌，标志牌设置位置在排污口（采样口）附近且醒目处。排污口附近 1m 范围内有建筑物的，设平面式标志牌，无建筑物的设立式标志牌。</w:t>
            </w:r>
          </w:p>
          <w:p w14:paraId="758276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bCs/>
                <w:color w:val="auto"/>
                <w:sz w:val="24"/>
              </w:rPr>
            </w:pPr>
            <w:r>
              <w:rPr>
                <w:rFonts w:hint="eastAsia" w:ascii="宋体" w:hAnsi="宋体" w:eastAsia="宋体" w:cs="宋体"/>
                <w:b/>
                <w:bCs/>
                <w:color w:val="auto"/>
                <w:sz w:val="24"/>
              </w:rPr>
              <w:t>表</w:t>
            </w:r>
            <w:r>
              <w:rPr>
                <w:rFonts w:hint="eastAsia" w:ascii="宋体" w:hAnsi="宋体" w:eastAsia="宋体" w:cs="宋体"/>
                <w:b/>
                <w:bCs/>
                <w:color w:val="auto"/>
                <w:sz w:val="24"/>
                <w:lang w:val="en-US" w:eastAsia="zh-CN"/>
              </w:rPr>
              <w:t>4</w:t>
            </w:r>
            <w:r>
              <w:rPr>
                <w:rFonts w:hint="eastAsia" w:ascii="宋体" w:hAnsi="宋体" w:eastAsia="宋体" w:cs="宋体"/>
                <w:b/>
                <w:bCs/>
                <w:color w:val="auto"/>
                <w:sz w:val="24"/>
              </w:rPr>
              <w:t>-</w:t>
            </w:r>
            <w:r>
              <w:rPr>
                <w:rFonts w:hint="eastAsia" w:ascii="宋体" w:hAnsi="宋体" w:eastAsia="宋体" w:cs="宋体"/>
                <w:b/>
                <w:bCs/>
                <w:color w:val="auto"/>
                <w:sz w:val="24"/>
                <w:lang w:val="en-US" w:eastAsia="zh-CN"/>
              </w:rPr>
              <w:t>30</w:t>
            </w:r>
            <w:r>
              <w:rPr>
                <w:rFonts w:hint="eastAsia" w:ascii="宋体" w:hAnsi="宋体" w:eastAsia="宋体" w:cs="宋体"/>
                <w:b/>
                <w:bCs/>
                <w:color w:val="auto"/>
                <w:sz w:val="24"/>
              </w:rPr>
              <w:t xml:space="preserve">  各排污口环境保护图形标志</w:t>
            </w:r>
          </w:p>
          <w:bookmarkEnd w:id="181"/>
          <w:tbl>
            <w:tblPr>
              <w:tblStyle w:val="3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1598"/>
              <w:gridCol w:w="1598"/>
              <w:gridCol w:w="1353"/>
              <w:gridCol w:w="2760"/>
            </w:tblGrid>
            <w:tr w14:paraId="6E5C30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blHeader/>
                <w:jc w:val="center"/>
              </w:trPr>
              <w:tc>
                <w:tcPr>
                  <w:tcW w:w="708" w:type="dxa"/>
                  <w:tcBorders>
                    <w:tl2br w:val="nil"/>
                    <w:tr2bl w:val="nil"/>
                  </w:tcBorders>
                  <w:noWrap w:val="0"/>
                  <w:vAlign w:val="center"/>
                </w:tcPr>
                <w:p w14:paraId="32BE0AAB">
                  <w:pPr>
                    <w:keepNext w:val="0"/>
                    <w:keepLines w:val="0"/>
                    <w:suppressLineNumbers w:val="0"/>
                    <w:spacing w:before="0" w:beforeAutospacing="0" w:after="0" w:afterAutospacing="0" w:line="240" w:lineRule="auto"/>
                    <w:ind w:left="0" w:right="0"/>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1598" w:type="dxa"/>
                  <w:tcBorders>
                    <w:tl2br w:val="nil"/>
                    <w:tr2bl w:val="nil"/>
                  </w:tcBorders>
                  <w:noWrap w:val="0"/>
                  <w:vAlign w:val="center"/>
                </w:tcPr>
                <w:p w14:paraId="0B53D05A">
                  <w:pPr>
                    <w:keepNext w:val="0"/>
                    <w:keepLines w:val="0"/>
                    <w:suppressLineNumbers w:val="0"/>
                    <w:spacing w:before="0" w:beforeAutospacing="0" w:after="0" w:afterAutospacing="0" w:line="240" w:lineRule="auto"/>
                    <w:ind w:left="0" w:right="0"/>
                    <w:jc w:val="center"/>
                    <w:rPr>
                      <w:rFonts w:hint="eastAsia" w:ascii="宋体" w:hAnsi="宋体" w:eastAsia="宋体" w:cs="宋体"/>
                      <w:b/>
                      <w:bCs/>
                      <w:sz w:val="21"/>
                      <w:szCs w:val="21"/>
                    </w:rPr>
                  </w:pPr>
                  <w:r>
                    <w:rPr>
                      <w:rFonts w:hint="eastAsia" w:ascii="宋体" w:hAnsi="宋体" w:eastAsia="宋体" w:cs="宋体"/>
                      <w:b/>
                      <w:bCs/>
                      <w:sz w:val="21"/>
                      <w:szCs w:val="21"/>
                    </w:rPr>
                    <w:t>提示图形符号</w:t>
                  </w:r>
                </w:p>
              </w:tc>
              <w:tc>
                <w:tcPr>
                  <w:tcW w:w="1598" w:type="dxa"/>
                  <w:tcBorders>
                    <w:tl2br w:val="nil"/>
                    <w:tr2bl w:val="nil"/>
                  </w:tcBorders>
                  <w:noWrap w:val="0"/>
                  <w:vAlign w:val="center"/>
                </w:tcPr>
                <w:p w14:paraId="2B58BCCE">
                  <w:pPr>
                    <w:keepNext w:val="0"/>
                    <w:keepLines w:val="0"/>
                    <w:suppressLineNumbers w:val="0"/>
                    <w:spacing w:before="0" w:beforeAutospacing="0" w:after="0" w:afterAutospacing="0" w:line="240" w:lineRule="auto"/>
                    <w:ind w:left="0" w:right="0"/>
                    <w:jc w:val="center"/>
                    <w:rPr>
                      <w:rFonts w:hint="eastAsia" w:ascii="宋体" w:hAnsi="宋体" w:eastAsia="宋体" w:cs="宋体"/>
                      <w:b/>
                      <w:bCs/>
                      <w:sz w:val="21"/>
                      <w:szCs w:val="21"/>
                    </w:rPr>
                  </w:pPr>
                  <w:r>
                    <w:rPr>
                      <w:rFonts w:hint="eastAsia" w:ascii="宋体" w:hAnsi="宋体" w:eastAsia="宋体" w:cs="宋体"/>
                      <w:b/>
                      <w:bCs/>
                      <w:sz w:val="21"/>
                      <w:szCs w:val="21"/>
                    </w:rPr>
                    <w:t>警告图形符号</w:t>
                  </w:r>
                </w:p>
              </w:tc>
              <w:tc>
                <w:tcPr>
                  <w:tcW w:w="1353" w:type="dxa"/>
                  <w:tcBorders>
                    <w:tl2br w:val="nil"/>
                    <w:tr2bl w:val="nil"/>
                  </w:tcBorders>
                  <w:noWrap w:val="0"/>
                  <w:vAlign w:val="center"/>
                </w:tcPr>
                <w:p w14:paraId="28DC1BB3">
                  <w:pPr>
                    <w:keepNext w:val="0"/>
                    <w:keepLines w:val="0"/>
                    <w:suppressLineNumbers w:val="0"/>
                    <w:spacing w:before="0" w:beforeAutospacing="0" w:after="0" w:afterAutospacing="0" w:line="240" w:lineRule="auto"/>
                    <w:ind w:left="0" w:right="0"/>
                    <w:jc w:val="center"/>
                    <w:rPr>
                      <w:rFonts w:hint="eastAsia" w:ascii="宋体" w:hAnsi="宋体" w:eastAsia="宋体" w:cs="宋体"/>
                      <w:b/>
                      <w:bCs/>
                      <w:sz w:val="21"/>
                      <w:szCs w:val="21"/>
                    </w:rPr>
                  </w:pPr>
                  <w:r>
                    <w:rPr>
                      <w:rFonts w:hint="eastAsia" w:ascii="宋体" w:hAnsi="宋体" w:eastAsia="宋体" w:cs="宋体"/>
                      <w:b/>
                      <w:bCs/>
                      <w:sz w:val="21"/>
                      <w:szCs w:val="21"/>
                    </w:rPr>
                    <w:t>名称</w:t>
                  </w:r>
                </w:p>
              </w:tc>
              <w:tc>
                <w:tcPr>
                  <w:tcW w:w="2760" w:type="dxa"/>
                  <w:tcBorders>
                    <w:tl2br w:val="nil"/>
                    <w:tr2bl w:val="nil"/>
                  </w:tcBorders>
                  <w:noWrap w:val="0"/>
                  <w:vAlign w:val="center"/>
                </w:tcPr>
                <w:p w14:paraId="336D8590">
                  <w:pPr>
                    <w:keepNext w:val="0"/>
                    <w:keepLines w:val="0"/>
                    <w:suppressLineNumbers w:val="0"/>
                    <w:spacing w:before="0" w:beforeAutospacing="0" w:after="0" w:afterAutospacing="0" w:line="240" w:lineRule="auto"/>
                    <w:ind w:left="0" w:right="0"/>
                    <w:jc w:val="center"/>
                    <w:rPr>
                      <w:rFonts w:hint="eastAsia" w:ascii="宋体" w:hAnsi="宋体" w:eastAsia="宋体" w:cs="宋体"/>
                      <w:b/>
                      <w:bCs/>
                      <w:sz w:val="21"/>
                      <w:szCs w:val="21"/>
                    </w:rPr>
                  </w:pPr>
                  <w:r>
                    <w:rPr>
                      <w:rFonts w:hint="eastAsia" w:ascii="宋体" w:hAnsi="宋体" w:eastAsia="宋体" w:cs="宋体"/>
                      <w:b/>
                      <w:bCs/>
                      <w:sz w:val="21"/>
                      <w:szCs w:val="21"/>
                    </w:rPr>
                    <w:t>功能</w:t>
                  </w:r>
                </w:p>
              </w:tc>
            </w:tr>
            <w:tr w14:paraId="4F4750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708" w:type="dxa"/>
                  <w:tcBorders>
                    <w:tl2br w:val="nil"/>
                    <w:tr2bl w:val="nil"/>
                  </w:tcBorders>
                  <w:noWrap w:val="0"/>
                  <w:vAlign w:val="center"/>
                </w:tcPr>
                <w:p w14:paraId="1530ECD7">
                  <w:pPr>
                    <w:keepNext w:val="0"/>
                    <w:keepLines w:val="0"/>
                    <w:suppressLineNumbers w:val="0"/>
                    <w:spacing w:before="0" w:beforeAutospacing="0" w:after="0" w:afterAutospacing="0"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1</w:t>
                  </w:r>
                </w:p>
              </w:tc>
              <w:tc>
                <w:tcPr>
                  <w:tcW w:w="1598" w:type="dxa"/>
                  <w:tcBorders>
                    <w:tl2br w:val="nil"/>
                    <w:tr2bl w:val="nil"/>
                  </w:tcBorders>
                  <w:noWrap w:val="0"/>
                  <w:vAlign w:val="center"/>
                </w:tcPr>
                <w:p w14:paraId="1D142045">
                  <w:pPr>
                    <w:keepNext w:val="0"/>
                    <w:keepLines w:val="0"/>
                    <w:suppressLineNumbers w:val="0"/>
                    <w:spacing w:before="0" w:beforeAutospacing="0" w:after="0" w:afterAutospacing="0"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98805" cy="598805"/>
                        <wp:effectExtent l="0" t="0" r="10795" b="10795"/>
                        <wp:docPr id="25" name="图片 7" descr="说明: 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descr="说明: 13001"/>
                                <pic:cNvPicPr>
                                  <a:picLocks noChangeAspect="1"/>
                                </pic:cNvPicPr>
                              </pic:nvPicPr>
                              <pic:blipFill>
                                <a:blip r:embed="rId39"/>
                                <a:stretch>
                                  <a:fillRect/>
                                </a:stretch>
                              </pic:blipFill>
                              <pic:spPr>
                                <a:xfrm>
                                  <a:off x="0" y="0"/>
                                  <a:ext cx="598805" cy="598805"/>
                                </a:xfrm>
                                <a:prstGeom prst="rect">
                                  <a:avLst/>
                                </a:prstGeom>
                                <a:noFill/>
                                <a:ln>
                                  <a:noFill/>
                                </a:ln>
                              </pic:spPr>
                            </pic:pic>
                          </a:graphicData>
                        </a:graphic>
                      </wp:inline>
                    </w:drawing>
                  </w:r>
                </w:p>
              </w:tc>
              <w:tc>
                <w:tcPr>
                  <w:tcW w:w="1598" w:type="dxa"/>
                  <w:tcBorders>
                    <w:tl2br w:val="nil"/>
                    <w:tr2bl w:val="nil"/>
                  </w:tcBorders>
                  <w:noWrap w:val="0"/>
                  <w:vAlign w:val="center"/>
                </w:tcPr>
                <w:p w14:paraId="442DD595">
                  <w:pPr>
                    <w:keepNext w:val="0"/>
                    <w:keepLines w:val="0"/>
                    <w:suppressLineNumbers w:val="0"/>
                    <w:spacing w:before="0" w:beforeAutospacing="0" w:after="0" w:afterAutospacing="0"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62610" cy="580390"/>
                        <wp:effectExtent l="0" t="0" r="8890" b="10160"/>
                        <wp:docPr id="28" name="图片 8" descr="说明: 1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descr="说明: 13002"/>
                                <pic:cNvPicPr>
                                  <a:picLocks noChangeAspect="1"/>
                                </pic:cNvPicPr>
                              </pic:nvPicPr>
                              <pic:blipFill>
                                <a:blip r:embed="rId40"/>
                                <a:stretch>
                                  <a:fillRect/>
                                </a:stretch>
                              </pic:blipFill>
                              <pic:spPr>
                                <a:xfrm>
                                  <a:off x="0" y="0"/>
                                  <a:ext cx="562610" cy="580390"/>
                                </a:xfrm>
                                <a:prstGeom prst="rect">
                                  <a:avLst/>
                                </a:prstGeom>
                                <a:noFill/>
                                <a:ln>
                                  <a:noFill/>
                                </a:ln>
                              </pic:spPr>
                            </pic:pic>
                          </a:graphicData>
                        </a:graphic>
                      </wp:inline>
                    </w:drawing>
                  </w:r>
                </w:p>
              </w:tc>
              <w:tc>
                <w:tcPr>
                  <w:tcW w:w="1353" w:type="dxa"/>
                  <w:tcBorders>
                    <w:tl2br w:val="nil"/>
                    <w:tr2bl w:val="nil"/>
                  </w:tcBorders>
                  <w:noWrap w:val="0"/>
                  <w:vAlign w:val="center"/>
                </w:tcPr>
                <w:p w14:paraId="7107C67B">
                  <w:pPr>
                    <w:keepNext w:val="0"/>
                    <w:keepLines w:val="0"/>
                    <w:suppressLineNumbers w:val="0"/>
                    <w:spacing w:before="0" w:beforeAutospacing="0" w:after="0" w:afterAutospacing="0"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废水排放口</w:t>
                  </w:r>
                </w:p>
              </w:tc>
              <w:tc>
                <w:tcPr>
                  <w:tcW w:w="2760" w:type="dxa"/>
                  <w:tcBorders>
                    <w:tl2br w:val="nil"/>
                    <w:tr2bl w:val="nil"/>
                  </w:tcBorders>
                  <w:noWrap w:val="0"/>
                  <w:vAlign w:val="center"/>
                </w:tcPr>
                <w:p w14:paraId="092F98D9">
                  <w:pPr>
                    <w:keepNext w:val="0"/>
                    <w:keepLines w:val="0"/>
                    <w:suppressLineNumbers w:val="0"/>
                    <w:spacing w:before="0" w:beforeAutospacing="0" w:after="0" w:afterAutospacing="0" w:line="240" w:lineRule="auto"/>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表示废水向水体排放</w:t>
                  </w:r>
                </w:p>
              </w:tc>
            </w:tr>
            <w:tr w14:paraId="61CF27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708" w:type="dxa"/>
                  <w:tcBorders>
                    <w:tl2br w:val="nil"/>
                    <w:tr2bl w:val="nil"/>
                  </w:tcBorders>
                  <w:noWrap w:val="0"/>
                  <w:vAlign w:val="center"/>
                </w:tcPr>
                <w:p w14:paraId="040A2AF0">
                  <w:pPr>
                    <w:keepNext w:val="0"/>
                    <w:keepLines w:val="0"/>
                    <w:suppressLineNumbers w:val="0"/>
                    <w:spacing w:before="0" w:beforeAutospacing="0" w:after="0" w:afterAutospacing="0"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2</w:t>
                  </w:r>
                </w:p>
              </w:tc>
              <w:tc>
                <w:tcPr>
                  <w:tcW w:w="1598" w:type="dxa"/>
                  <w:tcBorders>
                    <w:tl2br w:val="nil"/>
                    <w:tr2bl w:val="nil"/>
                  </w:tcBorders>
                  <w:noWrap w:val="0"/>
                  <w:vAlign w:val="center"/>
                </w:tcPr>
                <w:p w14:paraId="5358186B">
                  <w:pPr>
                    <w:keepNext w:val="0"/>
                    <w:keepLines w:val="0"/>
                    <w:suppressLineNumbers w:val="0"/>
                    <w:spacing w:before="0" w:beforeAutospacing="0" w:after="0" w:afterAutospacing="0"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98805" cy="598805"/>
                        <wp:effectExtent l="0" t="0" r="10795" b="10795"/>
                        <wp:docPr id="31" name="图片 9" descr="说明: 1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descr="说明: 13003"/>
                                <pic:cNvPicPr>
                                  <a:picLocks noChangeAspect="1"/>
                                </pic:cNvPicPr>
                              </pic:nvPicPr>
                              <pic:blipFill>
                                <a:blip r:embed="rId41"/>
                                <a:stretch>
                                  <a:fillRect/>
                                </a:stretch>
                              </pic:blipFill>
                              <pic:spPr>
                                <a:xfrm>
                                  <a:off x="0" y="0"/>
                                  <a:ext cx="598805" cy="598805"/>
                                </a:xfrm>
                                <a:prstGeom prst="rect">
                                  <a:avLst/>
                                </a:prstGeom>
                                <a:noFill/>
                                <a:ln>
                                  <a:noFill/>
                                </a:ln>
                              </pic:spPr>
                            </pic:pic>
                          </a:graphicData>
                        </a:graphic>
                      </wp:inline>
                    </w:drawing>
                  </w:r>
                </w:p>
              </w:tc>
              <w:tc>
                <w:tcPr>
                  <w:tcW w:w="1598" w:type="dxa"/>
                  <w:tcBorders>
                    <w:tl2br w:val="nil"/>
                    <w:tr2bl w:val="nil"/>
                  </w:tcBorders>
                  <w:noWrap w:val="0"/>
                  <w:vAlign w:val="center"/>
                </w:tcPr>
                <w:p w14:paraId="643CCDD8">
                  <w:pPr>
                    <w:keepNext w:val="0"/>
                    <w:keepLines w:val="0"/>
                    <w:suppressLineNumbers w:val="0"/>
                    <w:spacing w:before="0" w:beforeAutospacing="0" w:after="0" w:afterAutospacing="0"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62610" cy="580390"/>
                        <wp:effectExtent l="0" t="0" r="8890" b="10160"/>
                        <wp:docPr id="33" name="图片 10" descr="说明: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descr="说明: 4"/>
                                <pic:cNvPicPr>
                                  <a:picLocks noChangeAspect="1"/>
                                </pic:cNvPicPr>
                              </pic:nvPicPr>
                              <pic:blipFill>
                                <a:blip r:embed="rId42"/>
                                <a:stretch>
                                  <a:fillRect/>
                                </a:stretch>
                              </pic:blipFill>
                              <pic:spPr>
                                <a:xfrm>
                                  <a:off x="0" y="0"/>
                                  <a:ext cx="562610" cy="580390"/>
                                </a:xfrm>
                                <a:prstGeom prst="rect">
                                  <a:avLst/>
                                </a:prstGeom>
                                <a:noFill/>
                                <a:ln>
                                  <a:noFill/>
                                </a:ln>
                              </pic:spPr>
                            </pic:pic>
                          </a:graphicData>
                        </a:graphic>
                      </wp:inline>
                    </w:drawing>
                  </w:r>
                </w:p>
              </w:tc>
              <w:tc>
                <w:tcPr>
                  <w:tcW w:w="1353" w:type="dxa"/>
                  <w:tcBorders>
                    <w:tl2br w:val="nil"/>
                    <w:tr2bl w:val="nil"/>
                  </w:tcBorders>
                  <w:noWrap w:val="0"/>
                  <w:vAlign w:val="center"/>
                </w:tcPr>
                <w:p w14:paraId="1E738F02">
                  <w:pPr>
                    <w:keepNext w:val="0"/>
                    <w:keepLines w:val="0"/>
                    <w:suppressLineNumbers w:val="0"/>
                    <w:spacing w:before="0" w:beforeAutospacing="0" w:after="0" w:afterAutospacing="0"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废气排放口</w:t>
                  </w:r>
                </w:p>
              </w:tc>
              <w:tc>
                <w:tcPr>
                  <w:tcW w:w="2760" w:type="dxa"/>
                  <w:tcBorders>
                    <w:tl2br w:val="nil"/>
                    <w:tr2bl w:val="nil"/>
                  </w:tcBorders>
                  <w:noWrap w:val="0"/>
                  <w:vAlign w:val="center"/>
                </w:tcPr>
                <w:p w14:paraId="55F64551">
                  <w:pPr>
                    <w:keepNext w:val="0"/>
                    <w:keepLines w:val="0"/>
                    <w:suppressLineNumbers w:val="0"/>
                    <w:spacing w:before="0" w:beforeAutospacing="0" w:after="0" w:afterAutospacing="0"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表示废气向大气环境排放</w:t>
                  </w:r>
                </w:p>
              </w:tc>
            </w:tr>
            <w:tr w14:paraId="7476F6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708" w:type="dxa"/>
                  <w:tcBorders>
                    <w:tl2br w:val="nil"/>
                    <w:tr2bl w:val="nil"/>
                  </w:tcBorders>
                  <w:noWrap w:val="0"/>
                  <w:vAlign w:val="center"/>
                </w:tcPr>
                <w:p w14:paraId="408B5880">
                  <w:pPr>
                    <w:keepNext w:val="0"/>
                    <w:keepLines w:val="0"/>
                    <w:suppressLineNumbers w:val="0"/>
                    <w:spacing w:before="0" w:beforeAutospacing="0" w:after="0" w:afterAutospacing="0"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3</w:t>
                  </w:r>
                </w:p>
              </w:tc>
              <w:tc>
                <w:tcPr>
                  <w:tcW w:w="1598" w:type="dxa"/>
                  <w:tcBorders>
                    <w:tl2br w:val="nil"/>
                    <w:tr2bl w:val="nil"/>
                  </w:tcBorders>
                  <w:noWrap w:val="0"/>
                  <w:vAlign w:val="center"/>
                </w:tcPr>
                <w:p w14:paraId="6C600835">
                  <w:pPr>
                    <w:keepNext w:val="0"/>
                    <w:keepLines w:val="0"/>
                    <w:suppressLineNumbers w:val="0"/>
                    <w:spacing w:before="0" w:beforeAutospacing="0" w:after="0" w:afterAutospacing="0"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98805" cy="598805"/>
                        <wp:effectExtent l="0" t="0" r="10795" b="10795"/>
                        <wp:docPr id="26" name="图片 11" descr="说明: 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descr="说明: 14001"/>
                                <pic:cNvPicPr>
                                  <a:picLocks noChangeAspect="1"/>
                                </pic:cNvPicPr>
                              </pic:nvPicPr>
                              <pic:blipFill>
                                <a:blip r:embed="rId43"/>
                                <a:stretch>
                                  <a:fillRect/>
                                </a:stretch>
                              </pic:blipFill>
                              <pic:spPr>
                                <a:xfrm>
                                  <a:off x="0" y="0"/>
                                  <a:ext cx="598805" cy="598805"/>
                                </a:xfrm>
                                <a:prstGeom prst="rect">
                                  <a:avLst/>
                                </a:prstGeom>
                                <a:noFill/>
                                <a:ln>
                                  <a:noFill/>
                                </a:ln>
                              </pic:spPr>
                            </pic:pic>
                          </a:graphicData>
                        </a:graphic>
                      </wp:inline>
                    </w:drawing>
                  </w:r>
                </w:p>
              </w:tc>
              <w:tc>
                <w:tcPr>
                  <w:tcW w:w="1598" w:type="dxa"/>
                  <w:tcBorders>
                    <w:tl2br w:val="nil"/>
                    <w:tr2bl w:val="nil"/>
                  </w:tcBorders>
                  <w:noWrap w:val="0"/>
                  <w:vAlign w:val="center"/>
                </w:tcPr>
                <w:p w14:paraId="5AA2EDC4">
                  <w:pPr>
                    <w:keepNext w:val="0"/>
                    <w:keepLines w:val="0"/>
                    <w:suppressLineNumbers w:val="0"/>
                    <w:spacing w:before="0" w:beforeAutospacing="0" w:after="0" w:afterAutospacing="0"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600075" cy="559435"/>
                        <wp:effectExtent l="0" t="0" r="9525" b="12065"/>
                        <wp:docPr id="27" name="图片 12" descr="说明: 1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descr="说明: 14002"/>
                                <pic:cNvPicPr>
                                  <a:picLocks noChangeAspect="1"/>
                                </pic:cNvPicPr>
                              </pic:nvPicPr>
                              <pic:blipFill>
                                <a:blip r:embed="rId44"/>
                                <a:stretch>
                                  <a:fillRect/>
                                </a:stretch>
                              </pic:blipFill>
                              <pic:spPr>
                                <a:xfrm>
                                  <a:off x="0" y="0"/>
                                  <a:ext cx="600075" cy="559435"/>
                                </a:xfrm>
                                <a:prstGeom prst="rect">
                                  <a:avLst/>
                                </a:prstGeom>
                                <a:noFill/>
                                <a:ln>
                                  <a:noFill/>
                                </a:ln>
                              </pic:spPr>
                            </pic:pic>
                          </a:graphicData>
                        </a:graphic>
                      </wp:inline>
                    </w:drawing>
                  </w:r>
                </w:p>
              </w:tc>
              <w:tc>
                <w:tcPr>
                  <w:tcW w:w="1353" w:type="dxa"/>
                  <w:tcBorders>
                    <w:tl2br w:val="nil"/>
                    <w:tr2bl w:val="nil"/>
                  </w:tcBorders>
                  <w:noWrap w:val="0"/>
                  <w:vAlign w:val="center"/>
                </w:tcPr>
                <w:p w14:paraId="29AA66CD">
                  <w:pPr>
                    <w:keepNext w:val="0"/>
                    <w:keepLines w:val="0"/>
                    <w:suppressLineNumbers w:val="0"/>
                    <w:spacing w:before="0" w:beforeAutospacing="0" w:after="0" w:afterAutospacing="0"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一般固体废物</w:t>
                  </w:r>
                </w:p>
              </w:tc>
              <w:tc>
                <w:tcPr>
                  <w:tcW w:w="2760" w:type="dxa"/>
                  <w:tcBorders>
                    <w:tl2br w:val="nil"/>
                    <w:tr2bl w:val="nil"/>
                  </w:tcBorders>
                  <w:noWrap w:val="0"/>
                  <w:vAlign w:val="center"/>
                </w:tcPr>
                <w:p w14:paraId="5CFA90EC">
                  <w:pPr>
                    <w:keepNext w:val="0"/>
                    <w:keepLines w:val="0"/>
                    <w:suppressLineNumbers w:val="0"/>
                    <w:spacing w:before="0" w:beforeAutospacing="0" w:after="0" w:afterAutospacing="0"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表示一般固体废物贮存、处置场</w:t>
                  </w:r>
                </w:p>
              </w:tc>
            </w:tr>
            <w:tr w14:paraId="649285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708" w:type="dxa"/>
                  <w:tcBorders>
                    <w:tl2br w:val="nil"/>
                    <w:tr2bl w:val="nil"/>
                  </w:tcBorders>
                  <w:noWrap w:val="0"/>
                  <w:vAlign w:val="center"/>
                </w:tcPr>
                <w:p w14:paraId="217F68ED">
                  <w:pPr>
                    <w:keepNext w:val="0"/>
                    <w:keepLines w:val="0"/>
                    <w:suppressLineNumbers w:val="0"/>
                    <w:spacing w:before="0" w:beforeAutospacing="0" w:after="0" w:afterAutospacing="0"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4</w:t>
                  </w:r>
                </w:p>
              </w:tc>
              <w:tc>
                <w:tcPr>
                  <w:tcW w:w="1598" w:type="dxa"/>
                  <w:tcBorders>
                    <w:tl2br w:val="nil"/>
                    <w:tr2bl w:val="nil"/>
                  </w:tcBorders>
                  <w:noWrap w:val="0"/>
                  <w:vAlign w:val="center"/>
                </w:tcPr>
                <w:p w14:paraId="6C32B19F">
                  <w:pPr>
                    <w:keepNext w:val="0"/>
                    <w:keepLines w:val="0"/>
                    <w:suppressLineNumbers w:val="0"/>
                    <w:spacing w:before="0" w:beforeAutospacing="0" w:after="0" w:afterAutospacing="0"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98805" cy="598805"/>
                        <wp:effectExtent l="0" t="0" r="10795" b="10795"/>
                        <wp:docPr id="29" name="图片 13" descr="说明: 20060220151804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descr="说明: 200602201518049853"/>
                                <pic:cNvPicPr>
                                  <a:picLocks noChangeAspect="1"/>
                                </pic:cNvPicPr>
                              </pic:nvPicPr>
                              <pic:blipFill>
                                <a:blip r:embed="rId45"/>
                                <a:stretch>
                                  <a:fillRect/>
                                </a:stretch>
                              </pic:blipFill>
                              <pic:spPr>
                                <a:xfrm>
                                  <a:off x="0" y="0"/>
                                  <a:ext cx="598805" cy="598805"/>
                                </a:xfrm>
                                <a:prstGeom prst="rect">
                                  <a:avLst/>
                                </a:prstGeom>
                                <a:noFill/>
                                <a:ln>
                                  <a:noFill/>
                                </a:ln>
                              </pic:spPr>
                            </pic:pic>
                          </a:graphicData>
                        </a:graphic>
                      </wp:inline>
                    </w:drawing>
                  </w:r>
                </w:p>
              </w:tc>
              <w:tc>
                <w:tcPr>
                  <w:tcW w:w="1598" w:type="dxa"/>
                  <w:tcBorders>
                    <w:tl2br w:val="nil"/>
                    <w:tr2bl w:val="nil"/>
                  </w:tcBorders>
                  <w:noWrap w:val="0"/>
                  <w:vAlign w:val="center"/>
                </w:tcPr>
                <w:p w14:paraId="029A505F">
                  <w:pPr>
                    <w:keepNext w:val="0"/>
                    <w:keepLines w:val="0"/>
                    <w:suppressLineNumbers w:val="0"/>
                    <w:spacing w:before="0" w:beforeAutospacing="0" w:after="0" w:afterAutospacing="0"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98805" cy="598805"/>
                        <wp:effectExtent l="0" t="0" r="10795" b="10795"/>
                        <wp:docPr id="32" name="图片 14" descr="说明: 20060220151901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descr="说明: 200602201519018631"/>
                                <pic:cNvPicPr>
                                  <a:picLocks noChangeAspect="1"/>
                                </pic:cNvPicPr>
                              </pic:nvPicPr>
                              <pic:blipFill>
                                <a:blip r:embed="rId46"/>
                                <a:stretch>
                                  <a:fillRect/>
                                </a:stretch>
                              </pic:blipFill>
                              <pic:spPr>
                                <a:xfrm>
                                  <a:off x="0" y="0"/>
                                  <a:ext cx="598805" cy="598805"/>
                                </a:xfrm>
                                <a:prstGeom prst="rect">
                                  <a:avLst/>
                                </a:prstGeom>
                                <a:noFill/>
                                <a:ln>
                                  <a:noFill/>
                                </a:ln>
                              </pic:spPr>
                            </pic:pic>
                          </a:graphicData>
                        </a:graphic>
                      </wp:inline>
                    </w:drawing>
                  </w:r>
                </w:p>
              </w:tc>
              <w:tc>
                <w:tcPr>
                  <w:tcW w:w="1353" w:type="dxa"/>
                  <w:tcBorders>
                    <w:tl2br w:val="nil"/>
                    <w:tr2bl w:val="nil"/>
                  </w:tcBorders>
                  <w:noWrap w:val="0"/>
                  <w:vAlign w:val="center"/>
                </w:tcPr>
                <w:p w14:paraId="5F550E78">
                  <w:pPr>
                    <w:keepNext w:val="0"/>
                    <w:keepLines w:val="0"/>
                    <w:suppressLineNumbers w:val="0"/>
                    <w:spacing w:before="0" w:beforeAutospacing="0" w:after="0" w:afterAutospacing="0"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噪声排放源</w:t>
                  </w:r>
                </w:p>
              </w:tc>
              <w:tc>
                <w:tcPr>
                  <w:tcW w:w="2760" w:type="dxa"/>
                  <w:tcBorders>
                    <w:tl2br w:val="nil"/>
                    <w:tr2bl w:val="nil"/>
                  </w:tcBorders>
                  <w:noWrap w:val="0"/>
                  <w:vAlign w:val="center"/>
                </w:tcPr>
                <w:p w14:paraId="7654B01A">
                  <w:pPr>
                    <w:keepNext w:val="0"/>
                    <w:keepLines w:val="0"/>
                    <w:suppressLineNumbers w:val="0"/>
                    <w:spacing w:before="0" w:beforeAutospacing="0" w:after="0" w:afterAutospacing="0"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表示噪声向外环境排放</w:t>
                  </w:r>
                </w:p>
              </w:tc>
            </w:tr>
            <w:tr w14:paraId="45F1AE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708" w:type="dxa"/>
                  <w:tcBorders>
                    <w:tl2br w:val="nil"/>
                    <w:tr2bl w:val="nil"/>
                  </w:tcBorders>
                  <w:noWrap w:val="0"/>
                  <w:vAlign w:val="center"/>
                </w:tcPr>
                <w:p w14:paraId="29EF165D">
                  <w:pPr>
                    <w:keepNext w:val="0"/>
                    <w:keepLines w:val="0"/>
                    <w:suppressLineNumbers w:val="0"/>
                    <w:spacing w:before="0" w:beforeAutospacing="0" w:after="0" w:afterAutospacing="0"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5</w:t>
                  </w:r>
                </w:p>
              </w:tc>
              <w:tc>
                <w:tcPr>
                  <w:tcW w:w="1598" w:type="dxa"/>
                  <w:tcBorders>
                    <w:tl2br w:val="nil"/>
                    <w:tr2bl w:val="nil"/>
                  </w:tcBorders>
                  <w:noWrap w:val="0"/>
                  <w:vAlign w:val="center"/>
                </w:tcPr>
                <w:p w14:paraId="01539DF8">
                  <w:pPr>
                    <w:keepNext w:val="0"/>
                    <w:keepLines w:val="0"/>
                    <w:suppressLineNumbers w:val="0"/>
                    <w:spacing w:before="0" w:beforeAutospacing="0" w:after="0" w:afterAutospacing="0"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w:t>
                  </w:r>
                </w:p>
              </w:tc>
              <w:tc>
                <w:tcPr>
                  <w:tcW w:w="1598" w:type="dxa"/>
                  <w:tcBorders>
                    <w:tl2br w:val="nil"/>
                    <w:tr2bl w:val="nil"/>
                  </w:tcBorders>
                  <w:noWrap w:val="0"/>
                  <w:vAlign w:val="center"/>
                </w:tcPr>
                <w:p w14:paraId="30473BC6">
                  <w:pPr>
                    <w:keepNext w:val="0"/>
                    <w:keepLines w:val="0"/>
                    <w:suppressLineNumbers w:val="0"/>
                    <w:spacing w:before="0" w:beforeAutospacing="0" w:after="0" w:afterAutospacing="0" w:line="240" w:lineRule="auto"/>
                    <w:ind w:left="0" w:right="0"/>
                    <w:jc w:val="center"/>
                    <w:rPr>
                      <w:rFonts w:hint="eastAsia" w:ascii="宋体" w:hAnsi="宋体" w:eastAsia="宋体" w:cs="宋体"/>
                      <w:sz w:val="21"/>
                      <w:szCs w:val="21"/>
                    </w:rPr>
                  </w:pPr>
                  <w:r>
                    <w:rPr>
                      <w:rFonts w:hint="default"/>
                    </w:rPr>
                    <w:drawing>
                      <wp:inline distT="0" distB="0" distL="114300" distR="114300">
                        <wp:extent cx="721995" cy="612775"/>
                        <wp:effectExtent l="0" t="0" r="1905" b="15875"/>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pic:cNvPicPr>
                                  <a:picLocks noChangeAspect="1"/>
                                </pic:cNvPicPr>
                              </pic:nvPicPr>
                              <pic:blipFill>
                                <a:blip r:embed="rId47"/>
                                <a:stretch>
                                  <a:fillRect/>
                                </a:stretch>
                              </pic:blipFill>
                              <pic:spPr>
                                <a:xfrm>
                                  <a:off x="0" y="0"/>
                                  <a:ext cx="721995" cy="612775"/>
                                </a:xfrm>
                                <a:prstGeom prst="rect">
                                  <a:avLst/>
                                </a:prstGeom>
                                <a:noFill/>
                                <a:ln>
                                  <a:noFill/>
                                </a:ln>
                              </pic:spPr>
                            </pic:pic>
                          </a:graphicData>
                        </a:graphic>
                      </wp:inline>
                    </w:drawing>
                  </w:r>
                </w:p>
              </w:tc>
              <w:tc>
                <w:tcPr>
                  <w:tcW w:w="1353" w:type="dxa"/>
                  <w:tcBorders>
                    <w:tl2br w:val="nil"/>
                    <w:tr2bl w:val="nil"/>
                  </w:tcBorders>
                  <w:noWrap w:val="0"/>
                  <w:vAlign w:val="center"/>
                </w:tcPr>
                <w:p w14:paraId="4ED82AD6">
                  <w:pPr>
                    <w:keepNext w:val="0"/>
                    <w:keepLines w:val="0"/>
                    <w:suppressLineNumbers w:val="0"/>
                    <w:spacing w:before="0" w:beforeAutospacing="0" w:after="0" w:afterAutospacing="0"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危险废物</w:t>
                  </w:r>
                </w:p>
              </w:tc>
              <w:tc>
                <w:tcPr>
                  <w:tcW w:w="2760" w:type="dxa"/>
                  <w:tcBorders>
                    <w:tl2br w:val="nil"/>
                    <w:tr2bl w:val="nil"/>
                  </w:tcBorders>
                  <w:noWrap w:val="0"/>
                  <w:vAlign w:val="center"/>
                </w:tcPr>
                <w:p w14:paraId="58E60F4A">
                  <w:pPr>
                    <w:keepNext w:val="0"/>
                    <w:keepLines w:val="0"/>
                    <w:suppressLineNumbers w:val="0"/>
                    <w:spacing w:before="0" w:beforeAutospacing="0" w:after="0" w:afterAutospacing="0" w:line="240" w:lineRule="auto"/>
                    <w:ind w:left="0" w:right="0"/>
                    <w:jc w:val="center"/>
                    <w:rPr>
                      <w:rFonts w:hint="eastAsia" w:ascii="宋体" w:hAnsi="宋体" w:eastAsia="宋体" w:cs="宋体"/>
                      <w:sz w:val="21"/>
                      <w:szCs w:val="21"/>
                    </w:rPr>
                  </w:pPr>
                  <w:r>
                    <w:rPr>
                      <w:rFonts w:hint="eastAsia" w:ascii="宋体" w:hAnsi="宋体" w:eastAsia="宋体" w:cs="宋体"/>
                      <w:sz w:val="21"/>
                      <w:szCs w:val="21"/>
                    </w:rPr>
                    <w:t>表示危险废物贮存、处置场</w:t>
                  </w:r>
                </w:p>
              </w:tc>
            </w:tr>
          </w:tbl>
          <w:p w14:paraId="2BB994B6">
            <w:pPr>
              <w:pStyle w:val="16"/>
              <w:keepNext w:val="0"/>
              <w:keepLines w:val="0"/>
              <w:pageBreakBefore w:val="0"/>
              <w:widowControl w:val="0"/>
              <w:numPr>
                <w:ilvl w:val="0"/>
                <w:numId w:val="0"/>
              </w:numPr>
              <w:suppressLineNumbers w:val="0"/>
              <w:kinsoku/>
              <w:wordWrap/>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rPr>
            </w:pPr>
            <w:r>
              <w:rPr>
                <w:rFonts w:hint="eastAsia" w:ascii="宋体" w:hAnsi="宋体" w:eastAsia="宋体" w:cs="宋体"/>
              </w:rPr>
              <w:t>八、生态</w:t>
            </w:r>
          </w:p>
          <w:p w14:paraId="21FA188B">
            <w:pPr>
              <w:pStyle w:val="16"/>
              <w:keepNext w:val="0"/>
              <w:keepLines w:val="0"/>
              <w:pageBreakBefore w:val="0"/>
              <w:widowControl w:val="0"/>
              <w:numPr>
                <w:ilvl w:val="0"/>
                <w:numId w:val="0"/>
              </w:numPr>
              <w:suppressLineNumbers w:val="0"/>
              <w:kinsoku/>
              <w:wordWrap/>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宋体" w:hAnsi="宋体" w:eastAsia="宋体" w:cs="宋体"/>
              </w:rPr>
            </w:pPr>
            <w:r>
              <w:rPr>
                <w:rFonts w:hint="eastAsia" w:ascii="宋体" w:hAnsi="宋体" w:eastAsia="宋体" w:cs="宋体"/>
              </w:rPr>
              <w:t>经与《江苏省生态空间管控区域规划》（苏政发</w:t>
            </w:r>
            <w:r>
              <w:rPr>
                <w:rFonts w:hint="eastAsia" w:ascii="宋体" w:hAnsi="宋体" w:eastAsia="宋体" w:cs="宋体"/>
                <w:lang w:eastAsia="zh-CN"/>
              </w:rPr>
              <w:t>〔</w:t>
            </w:r>
            <w:r>
              <w:rPr>
                <w:rFonts w:hint="eastAsia" w:ascii="宋体" w:hAnsi="宋体" w:eastAsia="宋体" w:cs="宋体"/>
              </w:rPr>
              <w:t>2020</w:t>
            </w:r>
            <w:r>
              <w:rPr>
                <w:rFonts w:hint="eastAsia" w:ascii="宋体" w:hAnsi="宋体" w:eastAsia="宋体" w:cs="宋体"/>
                <w:lang w:eastAsia="zh-CN"/>
              </w:rPr>
              <w:t>〕</w:t>
            </w:r>
            <w:r>
              <w:rPr>
                <w:rFonts w:hint="eastAsia" w:ascii="宋体" w:hAnsi="宋体" w:eastAsia="宋体" w:cs="宋体"/>
              </w:rPr>
              <w:t>1号）核对，本项目不在区域生态红线管控区范围内。项目通过植树种草等绿化措施，改善生态环境。</w:t>
            </w:r>
          </w:p>
          <w:p w14:paraId="0EB11699">
            <w:pPr>
              <w:pStyle w:val="17"/>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auto"/>
              <w:ind w:left="0" w:leftChars="0" w:right="0" w:firstLine="0" w:firstLineChars="0"/>
              <w:jc w:val="left"/>
              <w:textAlignment w:val="auto"/>
              <w:rPr>
                <w:rFonts w:hint="eastAsia" w:ascii="宋体" w:hAnsi="宋体" w:eastAsia="宋体" w:cs="宋体"/>
              </w:rPr>
            </w:pPr>
            <w:r>
              <w:rPr>
                <w:rFonts w:hint="eastAsia" w:ascii="宋体" w:hAnsi="宋体" w:eastAsia="宋体" w:cs="宋体"/>
              </w:rPr>
              <w:t>九、电磁辐射</w:t>
            </w:r>
          </w:p>
          <w:p w14:paraId="2377E08D">
            <w:pPr>
              <w:pStyle w:val="2"/>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auto"/>
              <w:ind w:right="0" w:firstLine="480" w:firstLineChars="200"/>
              <w:jc w:val="lef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本项目不涉及电磁辐射。</w:t>
            </w:r>
          </w:p>
          <w:p w14:paraId="740C1F0B">
            <w:pPr>
              <w:keepNext w:val="0"/>
              <w:keepLines w:val="0"/>
              <w:suppressLineNumbers w:val="0"/>
              <w:spacing w:before="0" w:beforeAutospacing="0" w:after="0" w:afterAutospacing="0"/>
              <w:ind w:left="0" w:right="0"/>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十、公众参与</w:t>
            </w:r>
          </w:p>
          <w:p w14:paraId="44436594">
            <w:pPr>
              <w:keepNext w:val="0"/>
              <w:keepLines w:val="0"/>
              <w:suppressLineNumbers w:val="0"/>
              <w:spacing w:before="0" w:beforeAutospacing="0" w:after="0" w:afterAutospacing="0"/>
              <w:ind w:left="0" w:right="0" w:firstLine="480" w:firstLineChars="200"/>
              <w:rPr>
                <w:rFonts w:hint="eastAsia" w:ascii="宋体" w:hAnsi="宋体" w:eastAsia="宋体" w:cs="宋体"/>
                <w:b w:val="0"/>
                <w:bCs w:val="0"/>
                <w:sz w:val="24"/>
                <w:szCs w:val="24"/>
              </w:rPr>
            </w:pPr>
            <w:r>
              <w:rPr>
                <w:rFonts w:hint="eastAsia" w:ascii="宋体" w:hAnsi="宋体" w:eastAsia="宋体" w:cs="宋体"/>
              </w:rPr>
              <w:t>为了解</w:t>
            </w:r>
            <w:r>
              <w:rPr>
                <w:rFonts w:hint="eastAsia" w:ascii="宋体" w:hAnsi="宋体" w:eastAsia="宋体" w:cs="宋体"/>
                <w:lang w:val="en-US" w:eastAsia="zh-CN"/>
              </w:rPr>
              <w:t>公司</w:t>
            </w:r>
            <w:r>
              <w:rPr>
                <w:rFonts w:hint="eastAsia" w:ascii="宋体" w:hAnsi="宋体" w:eastAsia="宋体" w:cs="宋体"/>
              </w:rPr>
              <w:t>项目所在地周围公众对本工程及周围环境的意见和建议，本</w:t>
            </w:r>
            <w:r>
              <w:rPr>
                <w:rFonts w:hint="eastAsia" w:ascii="宋体" w:hAnsi="宋体" w:eastAsia="宋体" w:cs="宋体"/>
                <w:lang w:val="en-US" w:eastAsia="zh-CN"/>
              </w:rPr>
              <w:t>项目</w:t>
            </w:r>
            <w:r>
              <w:rPr>
                <w:rFonts w:hint="eastAsia" w:ascii="宋体" w:hAnsi="宋体" w:eastAsia="宋体" w:cs="宋体"/>
              </w:rPr>
              <w:t>公众参与方式采用请被调查对象填写“公众参与调查表”的形式征求意见。在调查过程中，</w:t>
            </w:r>
            <w:r>
              <w:rPr>
                <w:rFonts w:hint="eastAsia" w:ascii="宋体" w:hAnsi="宋体" w:eastAsia="宋体" w:cs="宋体"/>
                <w:lang w:eastAsia="zh-CN"/>
              </w:rPr>
              <w:t>共</w:t>
            </w:r>
            <w:r>
              <w:rPr>
                <w:rFonts w:hint="eastAsia" w:ascii="宋体" w:hAnsi="宋体" w:eastAsia="宋体" w:cs="宋体"/>
              </w:rPr>
              <w:t>发放了</w:t>
            </w:r>
            <w:r>
              <w:rPr>
                <w:rFonts w:hint="eastAsia" w:ascii="宋体" w:hAnsi="宋体" w:eastAsia="宋体" w:cs="宋体"/>
                <w:lang w:val="en-US" w:eastAsia="zh-CN"/>
              </w:rPr>
              <w:t>9</w:t>
            </w:r>
            <w:r>
              <w:rPr>
                <w:rFonts w:hint="eastAsia" w:ascii="宋体" w:hAnsi="宋体" w:eastAsia="宋体" w:cs="宋体"/>
              </w:rPr>
              <w:t>份公众参与调查表，回收有效表格</w:t>
            </w:r>
            <w:r>
              <w:rPr>
                <w:rFonts w:hint="eastAsia" w:ascii="宋体" w:hAnsi="宋体" w:eastAsia="宋体" w:cs="宋体"/>
                <w:lang w:val="en-US" w:eastAsia="zh-CN"/>
              </w:rPr>
              <w:t>9</w:t>
            </w:r>
            <w:r>
              <w:rPr>
                <w:rFonts w:hint="eastAsia" w:ascii="宋体" w:hAnsi="宋体" w:eastAsia="宋体" w:cs="宋体"/>
              </w:rPr>
              <w:t>份，有效回收率达100%。被调查对象</w:t>
            </w:r>
            <w:r>
              <w:rPr>
                <w:rFonts w:hint="eastAsia" w:ascii="宋体" w:hAnsi="宋体" w:eastAsia="宋体" w:cs="宋体"/>
                <w:lang w:val="en-US" w:eastAsia="zh-CN"/>
              </w:rPr>
              <w:t>主要为距离项目较近的陈武村</w:t>
            </w:r>
            <w:r>
              <w:rPr>
                <w:rFonts w:hint="eastAsia" w:ascii="宋体" w:hAnsi="宋体" w:eastAsia="宋体" w:cs="宋体"/>
              </w:rPr>
              <w:t>。</w:t>
            </w:r>
          </w:p>
          <w:p w14:paraId="472C9858">
            <w:pPr>
              <w:keepNext w:val="0"/>
              <w:keepLines w:val="0"/>
              <w:suppressLineNumbers w:val="0"/>
              <w:spacing w:before="0" w:beforeAutospacing="0" w:after="0" w:afterAutospacing="0"/>
              <w:ind w:left="0" w:right="0" w:firstLine="480" w:firstLineChars="200"/>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rPr>
              <w:t>调查结果分析</w:t>
            </w:r>
            <w:r>
              <w:rPr>
                <w:rFonts w:hint="eastAsia" w:ascii="宋体" w:hAnsi="宋体" w:eastAsia="宋体" w:cs="宋体"/>
                <w:b w:val="0"/>
                <w:bCs w:val="0"/>
                <w:sz w:val="24"/>
                <w:szCs w:val="24"/>
                <w:lang w:val="en-US" w:eastAsia="zh-CN"/>
              </w:rPr>
              <w:t>显示：55%</w:t>
            </w:r>
            <w:r>
              <w:rPr>
                <w:rFonts w:hint="eastAsia" w:ascii="宋体" w:hAnsi="宋体" w:eastAsia="宋体" w:cs="宋体"/>
                <w:b w:val="0"/>
                <w:bCs w:val="0"/>
                <w:sz w:val="24"/>
                <w:szCs w:val="24"/>
              </w:rPr>
              <w:t>的接受调查人员</w:t>
            </w:r>
            <w:r>
              <w:rPr>
                <w:rFonts w:hint="eastAsia" w:ascii="宋体" w:hAnsi="宋体" w:eastAsia="宋体" w:cs="宋体"/>
                <w:b w:val="0"/>
                <w:bCs w:val="0"/>
                <w:sz w:val="24"/>
                <w:szCs w:val="24"/>
                <w:lang w:val="en-US" w:eastAsia="zh-CN"/>
              </w:rPr>
              <w:t>坚决</w:t>
            </w:r>
            <w:r>
              <w:rPr>
                <w:rFonts w:hint="eastAsia" w:ascii="宋体" w:hAnsi="宋体" w:eastAsia="宋体" w:cs="宋体"/>
                <w:b w:val="0"/>
                <w:bCs w:val="0"/>
                <w:sz w:val="24"/>
                <w:szCs w:val="24"/>
                <w:lang w:eastAsia="zh-CN"/>
              </w:rPr>
              <w:t>支持该</w:t>
            </w:r>
            <w:r>
              <w:rPr>
                <w:rFonts w:hint="eastAsia" w:ascii="宋体" w:hAnsi="宋体" w:eastAsia="宋体" w:cs="宋体"/>
                <w:b w:val="0"/>
                <w:bCs w:val="0"/>
                <w:sz w:val="24"/>
                <w:szCs w:val="24"/>
              </w:rPr>
              <w:t>项目</w:t>
            </w:r>
            <w:r>
              <w:rPr>
                <w:rFonts w:hint="eastAsia" w:ascii="宋体" w:hAnsi="宋体" w:eastAsia="宋体" w:cs="宋体"/>
                <w:b w:val="0"/>
                <w:bCs w:val="0"/>
                <w:sz w:val="24"/>
                <w:szCs w:val="24"/>
                <w:lang w:eastAsia="zh-CN"/>
              </w:rPr>
              <w:t>建设</w:t>
            </w:r>
            <w:r>
              <w:rPr>
                <w:rFonts w:hint="eastAsia" w:ascii="宋体" w:hAnsi="宋体" w:eastAsia="宋体" w:cs="宋体"/>
                <w:b w:val="0"/>
                <w:bCs w:val="0"/>
                <w:sz w:val="24"/>
                <w:szCs w:val="24"/>
                <w:lang w:val="en-US" w:eastAsia="zh-CN"/>
              </w:rPr>
              <w:t>，45%</w:t>
            </w:r>
            <w:r>
              <w:rPr>
                <w:rFonts w:hint="eastAsia" w:ascii="宋体" w:hAnsi="宋体" w:eastAsia="宋体" w:cs="宋体"/>
                <w:b w:val="0"/>
                <w:bCs w:val="0"/>
                <w:sz w:val="24"/>
                <w:szCs w:val="24"/>
              </w:rPr>
              <w:t>的接受调查人员</w:t>
            </w:r>
            <w:r>
              <w:rPr>
                <w:rFonts w:hint="eastAsia" w:ascii="宋体" w:hAnsi="宋体" w:eastAsia="宋体" w:cs="宋体"/>
                <w:b w:val="0"/>
                <w:bCs w:val="0"/>
                <w:sz w:val="24"/>
                <w:szCs w:val="24"/>
                <w:lang w:val="en-US" w:eastAsia="zh-CN"/>
              </w:rPr>
              <w:t>有条件</w:t>
            </w:r>
            <w:r>
              <w:rPr>
                <w:rFonts w:hint="eastAsia" w:ascii="宋体" w:hAnsi="宋体" w:eastAsia="宋体" w:cs="宋体"/>
                <w:b w:val="0"/>
                <w:bCs w:val="0"/>
                <w:sz w:val="24"/>
                <w:szCs w:val="24"/>
                <w:lang w:eastAsia="zh-CN"/>
              </w:rPr>
              <w:t>支持该</w:t>
            </w:r>
            <w:r>
              <w:rPr>
                <w:rFonts w:hint="eastAsia" w:ascii="宋体" w:hAnsi="宋体" w:eastAsia="宋体" w:cs="宋体"/>
                <w:b w:val="0"/>
                <w:bCs w:val="0"/>
                <w:sz w:val="24"/>
                <w:szCs w:val="24"/>
              </w:rPr>
              <w:t>项目</w:t>
            </w:r>
            <w:r>
              <w:rPr>
                <w:rFonts w:hint="eastAsia" w:ascii="宋体" w:hAnsi="宋体" w:eastAsia="宋体" w:cs="宋体"/>
                <w:b w:val="0"/>
                <w:bCs w:val="0"/>
                <w:sz w:val="24"/>
                <w:szCs w:val="24"/>
                <w:lang w:eastAsia="zh-CN"/>
              </w:rPr>
              <w:t>建设。</w:t>
            </w:r>
          </w:p>
          <w:p w14:paraId="4FCCA582">
            <w:pPr>
              <w:keepNext w:val="0"/>
              <w:keepLines w:val="0"/>
              <w:suppressLineNumbers w:val="0"/>
              <w:spacing w:before="0" w:beforeAutospacing="0" w:after="0" w:afterAutospacing="0"/>
              <w:ind w:left="0" w:right="0"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lang w:eastAsia="zh-CN"/>
              </w:rPr>
              <w:t>由此可见，</w:t>
            </w:r>
            <w:r>
              <w:rPr>
                <w:rFonts w:hint="eastAsia" w:ascii="宋体" w:hAnsi="宋体" w:eastAsia="宋体" w:cs="宋体"/>
                <w:b w:val="0"/>
                <w:bCs w:val="0"/>
                <w:sz w:val="24"/>
                <w:szCs w:val="24"/>
              </w:rPr>
              <w:t>公众的环保意识较强，他们在公众调查表中强调项目的建设在做好环境污染防治工作，加强环境管理的前提下</w:t>
            </w:r>
            <w:r>
              <w:rPr>
                <w:rFonts w:hint="eastAsia" w:ascii="宋体" w:hAnsi="宋体" w:eastAsia="宋体" w:cs="宋体"/>
                <w:b w:val="0"/>
                <w:bCs w:val="0"/>
                <w:sz w:val="24"/>
                <w:szCs w:val="24"/>
                <w:lang w:eastAsia="zh-CN"/>
              </w:rPr>
              <w:t>同意本项目在该地区建设</w:t>
            </w:r>
            <w:r>
              <w:rPr>
                <w:rFonts w:hint="eastAsia" w:ascii="宋体" w:hAnsi="宋体" w:eastAsia="宋体" w:cs="宋体"/>
                <w:b w:val="0"/>
                <w:bCs w:val="0"/>
                <w:sz w:val="24"/>
                <w:szCs w:val="24"/>
              </w:rPr>
              <w:t>的。</w:t>
            </w:r>
          </w:p>
        </w:tc>
      </w:tr>
    </w:tbl>
    <w:p w14:paraId="6BED0519">
      <w:pPr>
        <w:pStyle w:val="2"/>
        <w:bidi w:val="0"/>
        <w:jc w:val="left"/>
        <w:rPr>
          <w:rFonts w:hint="eastAsia" w:cs="宋体"/>
          <w:snapToGrid w:val="0"/>
          <w:szCs w:val="30"/>
        </w:rPr>
      </w:pPr>
      <w:r>
        <w:rPr>
          <w:rFonts w:hint="eastAsia"/>
        </w:rPr>
        <w:t>五、</w:t>
      </w:r>
      <w:bookmarkStart w:id="182" w:name="_Hlk54167917"/>
      <w:r>
        <w:rPr>
          <w:rFonts w:hint="eastAsia"/>
        </w:rPr>
        <w:t>环境保护措施监督检查清单</w:t>
      </w:r>
      <w:bookmarkEnd w:id="182"/>
    </w:p>
    <w:tbl>
      <w:tblPr>
        <w:tblStyle w:val="30"/>
        <w:tblW w:w="906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10"/>
        <w:gridCol w:w="2064"/>
        <w:gridCol w:w="1539"/>
        <w:gridCol w:w="1755"/>
        <w:gridCol w:w="2394"/>
      </w:tblGrid>
      <w:tr w14:paraId="34A767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10" w:type="dxa"/>
            <w:noWrap w:val="0"/>
            <w:vAlign w:val="center"/>
          </w:tcPr>
          <w:p w14:paraId="734503DC">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240" w:lineRule="atLeast"/>
              <w:ind w:left="0" w:right="0"/>
              <w:jc w:val="right"/>
              <w:textAlignment w:val="auto"/>
              <w:rPr>
                <w:rFonts w:hint="eastAsia" w:ascii="宋体" w:hAnsi="宋体" w:eastAsia="宋体" w:cs="宋体"/>
                <w:sz w:val="24"/>
                <w:szCs w:val="24"/>
              </w:rPr>
            </w:pPr>
            <w:r>
              <w:rPr>
                <w:rFonts w:hint="eastAsia" w:ascii="宋体" w:hAnsi="宋体" w:eastAsia="宋体" w:cs="宋体"/>
                <w:sz w:val="24"/>
                <w:szCs w:val="24"/>
              </w:rPr>
              <w:t>内容</w:t>
            </w:r>
          </w:p>
          <w:p w14:paraId="5938670C">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240" w:lineRule="atLeast"/>
              <w:ind w:left="0" w:right="0"/>
              <w:jc w:val="left"/>
              <w:textAlignment w:val="auto"/>
              <w:rPr>
                <w:rFonts w:hint="eastAsia" w:ascii="宋体" w:hAnsi="宋体" w:eastAsia="宋体" w:cs="宋体"/>
                <w:sz w:val="24"/>
                <w:szCs w:val="24"/>
              </w:rPr>
            </w:pPr>
            <w:r>
              <w:rPr>
                <w:rFonts w:hint="eastAsia" w:ascii="宋体" w:hAnsi="宋体" w:eastAsia="宋体" w:cs="宋体"/>
                <w:sz w:val="24"/>
                <w:szCs w:val="24"/>
              </w:rPr>
              <w:t>要素</w:t>
            </w:r>
          </w:p>
        </w:tc>
        <w:tc>
          <w:tcPr>
            <w:tcW w:w="2064" w:type="dxa"/>
            <w:noWrap w:val="0"/>
            <w:vAlign w:val="center"/>
          </w:tcPr>
          <w:p w14:paraId="3FAC36F2">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rPr>
              <w:t>排放口(编号、名称)/污染源</w:t>
            </w:r>
          </w:p>
        </w:tc>
        <w:tc>
          <w:tcPr>
            <w:tcW w:w="1539" w:type="dxa"/>
            <w:noWrap w:val="0"/>
            <w:vAlign w:val="center"/>
          </w:tcPr>
          <w:p w14:paraId="0329F0FD">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rPr>
              <w:t>污染物项目</w:t>
            </w:r>
          </w:p>
        </w:tc>
        <w:tc>
          <w:tcPr>
            <w:tcW w:w="1755" w:type="dxa"/>
            <w:noWrap w:val="0"/>
            <w:vAlign w:val="center"/>
          </w:tcPr>
          <w:p w14:paraId="5C2F52D0">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rPr>
              <w:t>环境保护措施</w:t>
            </w:r>
          </w:p>
        </w:tc>
        <w:tc>
          <w:tcPr>
            <w:tcW w:w="2394" w:type="dxa"/>
            <w:noWrap w:val="0"/>
            <w:vAlign w:val="center"/>
          </w:tcPr>
          <w:p w14:paraId="74C7002A">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执行标准</w:t>
            </w:r>
          </w:p>
        </w:tc>
      </w:tr>
      <w:tr w14:paraId="4EEF3B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10" w:type="dxa"/>
            <w:vMerge w:val="restart"/>
            <w:noWrap w:val="0"/>
            <w:vAlign w:val="center"/>
          </w:tcPr>
          <w:p w14:paraId="4C4E3825">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rPr>
              <w:t>大气环境</w:t>
            </w:r>
          </w:p>
        </w:tc>
        <w:tc>
          <w:tcPr>
            <w:tcW w:w="2064" w:type="dxa"/>
            <w:noWrap w:val="0"/>
            <w:vAlign w:val="center"/>
          </w:tcPr>
          <w:p w14:paraId="429D14D3">
            <w:pPr>
              <w:pStyle w:val="8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b w:val="0"/>
                <w:bCs w:val="0"/>
                <w:snapToGrid w:val="0"/>
                <w:spacing w:val="0"/>
                <w:kern w:val="0"/>
                <w:sz w:val="24"/>
                <w:szCs w:val="24"/>
                <w:lang w:val="en-US" w:eastAsia="zh-CN" w:bidi="ar-SA"/>
              </w:rPr>
            </w:pPr>
            <w:r>
              <w:rPr>
                <w:rFonts w:hint="eastAsia" w:ascii="宋体" w:hAnsi="宋体" w:eastAsia="宋体" w:cs="宋体"/>
                <w:b w:val="0"/>
                <w:bCs w:val="0"/>
                <w:snapToGrid w:val="0"/>
                <w:spacing w:val="0"/>
                <w:kern w:val="0"/>
                <w:sz w:val="24"/>
                <w:szCs w:val="24"/>
                <w:lang w:val="en-US" w:eastAsia="zh-CN" w:bidi="ar-SA"/>
              </w:rPr>
              <w:t>DA001、DA002</w:t>
            </w:r>
          </w:p>
          <w:p w14:paraId="520B744E">
            <w:pPr>
              <w:pStyle w:val="8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sz w:val="24"/>
                <w:szCs w:val="24"/>
                <w:lang w:eastAsia="zh-CN"/>
              </w:rPr>
            </w:pPr>
            <w:r>
              <w:rPr>
                <w:rFonts w:hint="eastAsia" w:ascii="宋体" w:hAnsi="宋体" w:eastAsia="宋体" w:cs="宋体"/>
                <w:b w:val="0"/>
                <w:bCs w:val="0"/>
                <w:snapToGrid w:val="0"/>
                <w:spacing w:val="0"/>
                <w:kern w:val="0"/>
                <w:sz w:val="24"/>
                <w:szCs w:val="24"/>
                <w:lang w:val="en-US" w:eastAsia="zh-CN" w:bidi="ar-SA"/>
              </w:rPr>
              <w:t>（喷塑）</w:t>
            </w:r>
          </w:p>
        </w:tc>
        <w:tc>
          <w:tcPr>
            <w:tcW w:w="1539" w:type="dxa"/>
            <w:noWrap w:val="0"/>
            <w:vAlign w:val="center"/>
          </w:tcPr>
          <w:p w14:paraId="2F4DF8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颗粒物</w:t>
            </w:r>
          </w:p>
        </w:tc>
        <w:tc>
          <w:tcPr>
            <w:tcW w:w="1755" w:type="dxa"/>
            <w:noWrap w:val="0"/>
            <w:vAlign w:val="center"/>
          </w:tcPr>
          <w:p w14:paraId="7F2345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4"/>
                <w:szCs w:val="24"/>
                <w:lang w:eastAsia="zh-CN"/>
              </w:rPr>
            </w:pPr>
            <w:r>
              <w:rPr>
                <w:rFonts w:hint="eastAsia" w:ascii="宋体" w:hAnsi="宋体" w:eastAsia="宋体" w:cs="宋体"/>
                <w:b w:val="0"/>
                <w:bCs w:val="0"/>
                <w:snapToGrid w:val="0"/>
                <w:spacing w:val="0"/>
                <w:kern w:val="0"/>
                <w:sz w:val="24"/>
                <w:szCs w:val="24"/>
                <w:lang w:val="en-US" w:eastAsia="zh-CN" w:bidi="ar-SA"/>
              </w:rPr>
              <w:t>旋风除尘+布袋除尘器</w:t>
            </w:r>
          </w:p>
        </w:tc>
        <w:tc>
          <w:tcPr>
            <w:tcW w:w="2394" w:type="dxa"/>
            <w:noWrap w:val="0"/>
            <w:vAlign w:val="center"/>
          </w:tcPr>
          <w:p w14:paraId="233C16DF">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240" w:lineRule="atLeast"/>
              <w:ind w:left="0" w:right="0"/>
              <w:jc w:val="center"/>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《工业涂装工序大气污染物排放标准》（DB32/4439-2022）表1标准</w:t>
            </w:r>
          </w:p>
        </w:tc>
      </w:tr>
      <w:tr w14:paraId="534732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10" w:type="dxa"/>
            <w:vMerge w:val="continue"/>
            <w:noWrap w:val="0"/>
            <w:vAlign w:val="center"/>
          </w:tcPr>
          <w:p w14:paraId="371484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4"/>
                <w:szCs w:val="24"/>
              </w:rPr>
            </w:pPr>
          </w:p>
        </w:tc>
        <w:tc>
          <w:tcPr>
            <w:tcW w:w="2064" w:type="dxa"/>
            <w:noWrap w:val="0"/>
            <w:vAlign w:val="center"/>
          </w:tcPr>
          <w:p w14:paraId="04F09A80">
            <w:pPr>
              <w:pStyle w:val="8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eastAsia" w:ascii="宋体" w:hAnsi="宋体" w:eastAsia="宋体" w:cs="宋体"/>
                <w:b w:val="0"/>
                <w:bCs w:val="0"/>
                <w:snapToGrid w:val="0"/>
                <w:spacing w:val="0"/>
                <w:kern w:val="0"/>
                <w:sz w:val="24"/>
                <w:szCs w:val="24"/>
                <w:lang w:val="en-US" w:eastAsia="zh-CN" w:bidi="ar-SA"/>
              </w:rPr>
            </w:pPr>
            <w:r>
              <w:rPr>
                <w:rFonts w:hint="eastAsia" w:ascii="宋体" w:hAnsi="宋体" w:eastAsia="宋体" w:cs="宋体"/>
                <w:b w:val="0"/>
                <w:bCs w:val="0"/>
                <w:snapToGrid w:val="0"/>
                <w:spacing w:val="0"/>
                <w:kern w:val="0"/>
                <w:sz w:val="24"/>
                <w:szCs w:val="24"/>
                <w:lang w:val="en-US" w:eastAsia="zh-CN" w:bidi="ar-SA"/>
              </w:rPr>
              <w:t>DA003</w:t>
            </w:r>
          </w:p>
          <w:p w14:paraId="7150FD00">
            <w:pPr>
              <w:pStyle w:val="8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eastAsia" w:ascii="宋体" w:hAnsi="宋体" w:eastAsia="宋体" w:cs="宋体"/>
                <w:b w:val="0"/>
                <w:bCs w:val="0"/>
                <w:snapToGrid w:val="0"/>
                <w:spacing w:val="0"/>
                <w:kern w:val="0"/>
                <w:sz w:val="24"/>
                <w:szCs w:val="24"/>
                <w:lang w:val="en-US" w:eastAsia="zh-CN" w:bidi="ar-SA"/>
              </w:rPr>
            </w:pPr>
            <w:r>
              <w:rPr>
                <w:rFonts w:hint="eastAsia" w:ascii="宋体" w:hAnsi="宋体" w:eastAsia="宋体" w:cs="宋体"/>
                <w:b w:val="0"/>
                <w:bCs w:val="0"/>
                <w:snapToGrid w:val="0"/>
                <w:spacing w:val="0"/>
                <w:kern w:val="0"/>
                <w:sz w:val="24"/>
                <w:szCs w:val="24"/>
                <w:lang w:val="en-US" w:eastAsia="zh-CN" w:bidi="ar-SA"/>
              </w:rPr>
              <w:t>（喷砂、打磨）</w:t>
            </w:r>
          </w:p>
        </w:tc>
        <w:tc>
          <w:tcPr>
            <w:tcW w:w="1539" w:type="dxa"/>
            <w:noWrap w:val="0"/>
            <w:vAlign w:val="center"/>
          </w:tcPr>
          <w:p w14:paraId="0BECE3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color w:val="auto"/>
                <w:sz w:val="24"/>
                <w:szCs w:val="24"/>
                <w:lang w:val="en-US" w:eastAsia="zh-CN"/>
              </w:rPr>
              <w:t>颗粒物</w:t>
            </w:r>
          </w:p>
        </w:tc>
        <w:tc>
          <w:tcPr>
            <w:tcW w:w="1755" w:type="dxa"/>
            <w:noWrap w:val="0"/>
            <w:vAlign w:val="center"/>
          </w:tcPr>
          <w:p w14:paraId="6A6078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eastAsia" w:ascii="宋体" w:hAnsi="宋体" w:eastAsia="宋体" w:cs="宋体"/>
                <w:b w:val="0"/>
                <w:bCs w:val="0"/>
                <w:snapToGrid w:val="0"/>
                <w:spacing w:val="0"/>
                <w:kern w:val="0"/>
                <w:sz w:val="24"/>
                <w:szCs w:val="24"/>
                <w:lang w:val="en-US" w:eastAsia="zh-CN" w:bidi="ar-SA"/>
              </w:rPr>
            </w:pPr>
            <w:r>
              <w:rPr>
                <w:rFonts w:hint="eastAsia" w:ascii="宋体" w:hAnsi="宋体" w:eastAsia="宋体" w:cs="宋体"/>
                <w:sz w:val="24"/>
                <w:szCs w:val="24"/>
                <w:lang w:val="en-US" w:eastAsia="zh-CN"/>
              </w:rPr>
              <w:t>脉冲式布袋除尘器</w:t>
            </w:r>
          </w:p>
        </w:tc>
        <w:tc>
          <w:tcPr>
            <w:tcW w:w="2394" w:type="dxa"/>
            <w:noWrap w:val="0"/>
            <w:vAlign w:val="center"/>
          </w:tcPr>
          <w:p w14:paraId="2F7381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val="0"/>
                <w:bCs w:val="0"/>
                <w:snapToGrid w:val="0"/>
                <w:spacing w:val="0"/>
                <w:kern w:val="0"/>
                <w:sz w:val="24"/>
                <w:szCs w:val="24"/>
                <w:lang w:val="en-US" w:eastAsia="zh-CN" w:bidi="ar-SA"/>
              </w:rPr>
            </w:pP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大气污染物综合排放标准</w:t>
            </w:r>
            <w:r>
              <w:rPr>
                <w:rFonts w:hint="eastAsia" w:ascii="宋体" w:hAnsi="宋体" w:eastAsia="宋体" w:cs="宋体"/>
                <w:color w:val="auto"/>
                <w:sz w:val="24"/>
                <w:szCs w:val="24"/>
                <w:lang w:val="en-US" w:eastAsia="zh-CN"/>
              </w:rPr>
              <w:t>》（DB32/4041-2021）表1标准</w:t>
            </w:r>
          </w:p>
        </w:tc>
      </w:tr>
      <w:tr w14:paraId="53312C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10" w:type="dxa"/>
            <w:vMerge w:val="continue"/>
            <w:noWrap w:val="0"/>
            <w:vAlign w:val="center"/>
          </w:tcPr>
          <w:p w14:paraId="58611F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4"/>
                <w:szCs w:val="24"/>
              </w:rPr>
            </w:pPr>
          </w:p>
        </w:tc>
        <w:tc>
          <w:tcPr>
            <w:tcW w:w="2064" w:type="dxa"/>
            <w:noWrap w:val="0"/>
            <w:vAlign w:val="center"/>
          </w:tcPr>
          <w:p w14:paraId="08579E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val="0"/>
                <w:bCs w:val="0"/>
                <w:snapToGrid w:val="0"/>
                <w:spacing w:val="0"/>
                <w:kern w:val="0"/>
                <w:sz w:val="24"/>
                <w:szCs w:val="24"/>
                <w:lang w:val="en-US" w:eastAsia="zh-CN" w:bidi="ar-SA"/>
              </w:rPr>
            </w:pPr>
            <w:r>
              <w:rPr>
                <w:rFonts w:hint="eastAsia" w:ascii="宋体" w:hAnsi="宋体" w:eastAsia="宋体" w:cs="宋体"/>
                <w:b w:val="0"/>
                <w:bCs w:val="0"/>
                <w:snapToGrid w:val="0"/>
                <w:spacing w:val="0"/>
                <w:kern w:val="0"/>
                <w:sz w:val="24"/>
                <w:szCs w:val="24"/>
                <w:lang w:val="en-US" w:eastAsia="zh-CN" w:bidi="ar-SA"/>
              </w:rPr>
              <w:t>DA004</w:t>
            </w:r>
          </w:p>
          <w:p w14:paraId="3CF053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val="0"/>
                <w:bCs w:val="0"/>
                <w:snapToGrid w:val="0"/>
                <w:spacing w:val="0"/>
                <w:kern w:val="0"/>
                <w:sz w:val="24"/>
                <w:szCs w:val="24"/>
                <w:lang w:val="en-US" w:eastAsia="zh-CN" w:bidi="ar-SA"/>
              </w:rPr>
            </w:pPr>
            <w:r>
              <w:rPr>
                <w:rFonts w:hint="eastAsia" w:ascii="宋体" w:hAnsi="宋体" w:eastAsia="宋体" w:cs="宋体"/>
                <w:b w:val="0"/>
                <w:bCs w:val="0"/>
                <w:snapToGrid w:val="0"/>
                <w:spacing w:val="0"/>
                <w:kern w:val="0"/>
                <w:sz w:val="24"/>
                <w:szCs w:val="24"/>
                <w:lang w:val="en-US" w:eastAsia="zh-CN" w:bidi="ar-SA"/>
              </w:rPr>
              <w:t>（天然气燃烧）</w:t>
            </w:r>
          </w:p>
        </w:tc>
        <w:tc>
          <w:tcPr>
            <w:tcW w:w="1539" w:type="dxa"/>
            <w:noWrap w:val="0"/>
            <w:vAlign w:val="center"/>
          </w:tcPr>
          <w:p w14:paraId="2DB96F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颗粒物</w:t>
            </w:r>
          </w:p>
          <w:p w14:paraId="017196DA">
            <w:pPr>
              <w:pStyle w:val="10"/>
              <w:keepNext w:val="0"/>
              <w:keepLines w:val="0"/>
              <w:pageBreakBefore w:val="0"/>
              <w:widowControl w:val="0"/>
              <w:suppressLineNumbers w:val="0"/>
              <w:kinsoku/>
              <w:overflowPunct/>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二氧化硫</w:t>
            </w:r>
          </w:p>
          <w:p w14:paraId="15BB2A1E">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240" w:lineRule="atLeast"/>
              <w:ind w:left="0" w:leftChars="0" w:right="0" w:right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color w:val="auto"/>
                <w:sz w:val="24"/>
                <w:szCs w:val="24"/>
                <w:lang w:eastAsia="zh-CN"/>
              </w:rPr>
              <w:t>氮氧化物</w:t>
            </w:r>
          </w:p>
        </w:tc>
        <w:tc>
          <w:tcPr>
            <w:tcW w:w="1755" w:type="dxa"/>
            <w:noWrap w:val="0"/>
            <w:vAlign w:val="center"/>
          </w:tcPr>
          <w:p w14:paraId="55B6EB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eastAsia" w:ascii="宋体" w:hAnsi="宋体" w:eastAsia="宋体" w:cs="宋体"/>
                <w:b w:val="0"/>
                <w:bCs w:val="0"/>
                <w:snapToGrid w:val="0"/>
                <w:spacing w:val="0"/>
                <w:kern w:val="0"/>
                <w:sz w:val="24"/>
                <w:szCs w:val="24"/>
                <w:lang w:val="en-US" w:eastAsia="zh-CN" w:bidi="ar-SA"/>
              </w:rPr>
            </w:pPr>
            <w:r>
              <w:rPr>
                <w:rFonts w:hint="eastAsia" w:ascii="宋体" w:hAnsi="宋体" w:eastAsia="宋体" w:cs="宋体"/>
                <w:b w:val="0"/>
                <w:bCs w:val="0"/>
                <w:snapToGrid w:val="0"/>
                <w:spacing w:val="0"/>
                <w:kern w:val="0"/>
                <w:sz w:val="24"/>
                <w:szCs w:val="24"/>
                <w:lang w:val="en-US" w:eastAsia="zh-CN" w:bidi="ar-SA"/>
              </w:rPr>
              <w:t>低氮燃烧</w:t>
            </w:r>
          </w:p>
        </w:tc>
        <w:tc>
          <w:tcPr>
            <w:tcW w:w="2394" w:type="dxa"/>
            <w:noWrap w:val="0"/>
            <w:vAlign w:val="center"/>
          </w:tcPr>
          <w:p w14:paraId="12E8AB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《锅炉大气污染物排放标准》（DB32/4385-2022）表1标准</w:t>
            </w:r>
          </w:p>
        </w:tc>
      </w:tr>
      <w:tr w14:paraId="2AB3A9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10" w:type="dxa"/>
            <w:vMerge w:val="continue"/>
            <w:noWrap w:val="0"/>
            <w:vAlign w:val="center"/>
          </w:tcPr>
          <w:p w14:paraId="437380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val="0"/>
                <w:bCs w:val="0"/>
                <w:snapToGrid w:val="0"/>
                <w:spacing w:val="0"/>
                <w:kern w:val="0"/>
                <w:sz w:val="24"/>
                <w:szCs w:val="24"/>
                <w:lang w:val="en-US" w:eastAsia="zh-CN" w:bidi="ar-SA"/>
              </w:rPr>
            </w:pPr>
          </w:p>
        </w:tc>
        <w:tc>
          <w:tcPr>
            <w:tcW w:w="2064" w:type="dxa"/>
            <w:noWrap w:val="0"/>
            <w:vAlign w:val="center"/>
          </w:tcPr>
          <w:p w14:paraId="29B5EA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val="0"/>
                <w:bCs w:val="0"/>
                <w:snapToGrid w:val="0"/>
                <w:spacing w:val="0"/>
                <w:kern w:val="0"/>
                <w:sz w:val="24"/>
                <w:szCs w:val="24"/>
                <w:lang w:val="en-US" w:eastAsia="zh-CN" w:bidi="ar-SA"/>
              </w:rPr>
            </w:pPr>
            <w:r>
              <w:rPr>
                <w:rFonts w:hint="eastAsia" w:ascii="宋体" w:hAnsi="宋体" w:eastAsia="宋体" w:cs="宋体"/>
                <w:b w:val="0"/>
                <w:bCs w:val="0"/>
                <w:snapToGrid w:val="0"/>
                <w:spacing w:val="0"/>
                <w:kern w:val="0"/>
                <w:sz w:val="24"/>
                <w:szCs w:val="24"/>
                <w:lang w:val="en-US" w:eastAsia="zh-CN" w:bidi="ar-SA"/>
              </w:rPr>
              <w:t>DA005（固化）</w:t>
            </w:r>
          </w:p>
        </w:tc>
        <w:tc>
          <w:tcPr>
            <w:tcW w:w="1539" w:type="dxa"/>
            <w:noWrap w:val="0"/>
            <w:vAlign w:val="center"/>
          </w:tcPr>
          <w:p w14:paraId="064BF9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val="0"/>
                <w:bCs w:val="0"/>
                <w:snapToGrid w:val="0"/>
                <w:spacing w:val="0"/>
                <w:kern w:val="0"/>
                <w:sz w:val="24"/>
                <w:szCs w:val="24"/>
                <w:lang w:val="en-US" w:eastAsia="zh-CN" w:bidi="ar-SA"/>
              </w:rPr>
            </w:pPr>
            <w:r>
              <w:rPr>
                <w:rFonts w:hint="eastAsia" w:ascii="宋体" w:hAnsi="宋体" w:eastAsia="宋体" w:cs="宋体"/>
                <w:color w:val="auto"/>
                <w:sz w:val="24"/>
                <w:szCs w:val="24"/>
                <w:lang w:val="en-US" w:eastAsia="zh-CN"/>
              </w:rPr>
              <w:t>非甲烷总烃</w:t>
            </w:r>
          </w:p>
        </w:tc>
        <w:tc>
          <w:tcPr>
            <w:tcW w:w="1755" w:type="dxa"/>
            <w:noWrap w:val="0"/>
            <w:vAlign w:val="center"/>
          </w:tcPr>
          <w:p w14:paraId="35774A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宋体" w:hAnsi="宋体" w:eastAsia="宋体" w:cs="宋体"/>
                <w:b w:val="0"/>
                <w:bCs w:val="0"/>
                <w:snapToGrid w:val="0"/>
                <w:spacing w:val="0"/>
                <w:kern w:val="0"/>
                <w:sz w:val="24"/>
                <w:szCs w:val="24"/>
                <w:lang w:val="en-US" w:eastAsia="zh-CN" w:bidi="ar-SA"/>
              </w:rPr>
            </w:pPr>
            <w:r>
              <w:rPr>
                <w:rFonts w:hint="eastAsia" w:ascii="宋体" w:hAnsi="宋体" w:eastAsia="宋体" w:cs="宋体"/>
                <w:b w:val="0"/>
                <w:bCs w:val="0"/>
                <w:snapToGrid w:val="0"/>
                <w:spacing w:val="0"/>
                <w:kern w:val="0"/>
                <w:sz w:val="24"/>
                <w:szCs w:val="24"/>
                <w:lang w:val="en-US" w:eastAsia="zh-CN" w:bidi="ar-SA"/>
              </w:rPr>
              <w:t>水喷淋+二级活性炭吸附</w:t>
            </w:r>
          </w:p>
        </w:tc>
        <w:tc>
          <w:tcPr>
            <w:tcW w:w="2394" w:type="dxa"/>
            <w:noWrap w:val="0"/>
            <w:vAlign w:val="center"/>
          </w:tcPr>
          <w:p w14:paraId="1B4134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b w:val="0"/>
                <w:bCs w:val="0"/>
                <w:snapToGrid w:val="0"/>
                <w:spacing w:val="0"/>
                <w:kern w:val="0"/>
                <w:sz w:val="24"/>
                <w:szCs w:val="24"/>
                <w:lang w:val="en-US" w:eastAsia="zh-CN" w:bidi="ar-SA"/>
              </w:rPr>
            </w:pPr>
            <w:r>
              <w:rPr>
                <w:rFonts w:hint="eastAsia" w:ascii="宋体" w:hAnsi="宋体" w:eastAsia="宋体" w:cs="宋体"/>
                <w:color w:val="auto"/>
                <w:sz w:val="24"/>
                <w:szCs w:val="24"/>
                <w:lang w:val="en-US" w:eastAsia="zh-CN"/>
              </w:rPr>
              <w:t>《工业涂装工序大气污染物排放标准》（DB32/4439-2022）表1标准</w:t>
            </w:r>
          </w:p>
        </w:tc>
      </w:tr>
      <w:tr w14:paraId="46F898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1310" w:type="dxa"/>
            <w:vMerge w:val="continue"/>
            <w:noWrap w:val="0"/>
            <w:vAlign w:val="center"/>
          </w:tcPr>
          <w:p w14:paraId="39AD3833">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4"/>
                <w:szCs w:val="24"/>
                <w:lang w:val="en-US" w:eastAsia="zh-CN"/>
              </w:rPr>
            </w:pPr>
          </w:p>
        </w:tc>
        <w:tc>
          <w:tcPr>
            <w:tcW w:w="2064" w:type="dxa"/>
            <w:noWrap w:val="0"/>
            <w:vAlign w:val="center"/>
          </w:tcPr>
          <w:p w14:paraId="43D46B71">
            <w:pPr>
              <w:pStyle w:val="8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宋体" w:cs="宋体"/>
                <w:b w:val="0"/>
                <w:bCs w:val="0"/>
                <w:snapToGrid w:val="0"/>
                <w:spacing w:val="0"/>
                <w:kern w:val="0"/>
                <w:sz w:val="24"/>
                <w:szCs w:val="24"/>
                <w:lang w:val="en-US" w:eastAsia="zh-CN" w:bidi="ar-SA"/>
              </w:rPr>
            </w:pPr>
            <w:r>
              <w:rPr>
                <w:rFonts w:hint="eastAsia" w:ascii="宋体" w:hAnsi="宋体" w:eastAsia="宋体" w:cs="宋体"/>
                <w:b w:val="0"/>
                <w:bCs w:val="0"/>
                <w:snapToGrid w:val="0"/>
                <w:spacing w:val="0"/>
                <w:kern w:val="0"/>
                <w:sz w:val="24"/>
                <w:szCs w:val="24"/>
                <w:lang w:val="en-US" w:eastAsia="zh-CN" w:bidi="ar-SA"/>
              </w:rPr>
              <w:t>厂界（无组织）</w:t>
            </w:r>
          </w:p>
        </w:tc>
        <w:tc>
          <w:tcPr>
            <w:tcW w:w="1539" w:type="dxa"/>
            <w:noWrap w:val="0"/>
            <w:vAlign w:val="center"/>
          </w:tcPr>
          <w:p w14:paraId="47CD18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eastAsia="zh-CN"/>
              </w:rPr>
              <w:t>颗粒物、</w:t>
            </w:r>
            <w:r>
              <w:rPr>
                <w:rFonts w:hint="eastAsia" w:ascii="宋体" w:hAnsi="宋体" w:eastAsia="宋体" w:cs="宋体"/>
                <w:color w:val="auto"/>
                <w:sz w:val="24"/>
                <w:szCs w:val="24"/>
                <w:lang w:eastAsia="zh-CN"/>
              </w:rPr>
              <w:t>非甲烷总烃</w:t>
            </w:r>
          </w:p>
        </w:tc>
        <w:tc>
          <w:tcPr>
            <w:tcW w:w="1755" w:type="dxa"/>
            <w:noWrap w:val="0"/>
            <w:vAlign w:val="center"/>
          </w:tcPr>
          <w:p w14:paraId="4F065E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w:t>
            </w:r>
          </w:p>
        </w:tc>
        <w:tc>
          <w:tcPr>
            <w:tcW w:w="2394" w:type="dxa"/>
            <w:noWrap w:val="0"/>
            <w:vAlign w:val="center"/>
          </w:tcPr>
          <w:p w14:paraId="1611EECC">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大气污染物综合排放标准</w:t>
            </w:r>
            <w:r>
              <w:rPr>
                <w:rFonts w:hint="eastAsia" w:ascii="宋体" w:hAnsi="宋体" w:eastAsia="宋体" w:cs="宋体"/>
                <w:color w:val="auto"/>
                <w:sz w:val="24"/>
                <w:szCs w:val="24"/>
                <w:lang w:val="en-US" w:eastAsia="zh-CN"/>
              </w:rPr>
              <w:t>》（DB32/4041-2021）表3标准</w:t>
            </w:r>
          </w:p>
        </w:tc>
      </w:tr>
      <w:tr w14:paraId="0A5763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10" w:type="dxa"/>
            <w:vMerge w:val="restart"/>
            <w:noWrap w:val="0"/>
            <w:vAlign w:val="center"/>
          </w:tcPr>
          <w:p w14:paraId="27766D6B">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rPr>
              <w:t>地表水环境</w:t>
            </w:r>
          </w:p>
        </w:tc>
        <w:tc>
          <w:tcPr>
            <w:tcW w:w="2064" w:type="dxa"/>
            <w:noWrap w:val="0"/>
            <w:vAlign w:val="center"/>
          </w:tcPr>
          <w:p w14:paraId="36303404">
            <w:pPr>
              <w:pStyle w:val="13"/>
              <w:keepNext w:val="0"/>
              <w:keepLines w:val="0"/>
              <w:suppressLineNumbers w:val="0"/>
              <w:snapToGrid w:val="0"/>
              <w:spacing w:before="0" w:beforeAutospacing="0" w:after="0" w:afterAutospacing="0" w:line="240" w:lineRule="atLeast"/>
              <w:ind w:left="0" w:right="0" w:firstLine="0" w:firstLineChars="0"/>
              <w:rPr>
                <w:rFonts w:hint="eastAsia" w:ascii="宋体" w:hAnsi="宋体" w:eastAsia="宋体" w:cs="宋体"/>
                <w:kern w:val="44"/>
                <w:sz w:val="24"/>
                <w:szCs w:val="24"/>
                <w:lang w:val="en-US" w:eastAsia="zh-CN" w:bidi="ar-SA"/>
              </w:rPr>
            </w:pPr>
            <w:r>
              <w:rPr>
                <w:rFonts w:hint="eastAsia" w:ascii="宋体" w:hAnsi="宋体" w:eastAsia="宋体" w:cs="宋体"/>
                <w:sz w:val="24"/>
                <w:szCs w:val="24"/>
              </w:rPr>
              <w:t>生活污水</w:t>
            </w:r>
          </w:p>
        </w:tc>
        <w:tc>
          <w:tcPr>
            <w:tcW w:w="1539" w:type="dxa"/>
            <w:noWrap w:val="0"/>
            <w:vAlign w:val="center"/>
          </w:tcPr>
          <w:p w14:paraId="57318ACE">
            <w:pPr>
              <w:pStyle w:val="13"/>
              <w:keepNext w:val="0"/>
              <w:keepLines w:val="0"/>
              <w:suppressLineNumbers w:val="0"/>
              <w:snapToGrid w:val="0"/>
              <w:spacing w:before="0" w:beforeAutospacing="0" w:after="0" w:afterAutospacing="0" w:line="240" w:lineRule="atLeast"/>
              <w:ind w:left="0" w:right="0" w:firstLine="0" w:firstLineChars="0"/>
              <w:rPr>
                <w:rFonts w:hint="eastAsia" w:ascii="宋体" w:hAnsi="宋体" w:eastAsia="宋体" w:cs="宋体"/>
                <w:kern w:val="44"/>
                <w:sz w:val="24"/>
                <w:szCs w:val="24"/>
                <w:lang w:val="en-US" w:eastAsia="zh-CN" w:bidi="ar-SA"/>
              </w:rPr>
            </w:pPr>
            <w:r>
              <w:rPr>
                <w:rFonts w:hint="eastAsia" w:ascii="宋体" w:hAnsi="宋体" w:eastAsia="宋体" w:cs="宋体"/>
                <w:sz w:val="24"/>
                <w:szCs w:val="24"/>
              </w:rPr>
              <w:t>COD、SS、氨氮、总氮、总磷</w:t>
            </w:r>
          </w:p>
        </w:tc>
        <w:tc>
          <w:tcPr>
            <w:tcW w:w="1755" w:type="dxa"/>
            <w:noWrap w:val="0"/>
            <w:vAlign w:val="center"/>
          </w:tcPr>
          <w:p w14:paraId="3129E4A1">
            <w:pPr>
              <w:pStyle w:val="13"/>
              <w:keepNext w:val="0"/>
              <w:keepLines w:val="0"/>
              <w:suppressLineNumbers w:val="0"/>
              <w:snapToGrid w:val="0"/>
              <w:spacing w:before="0" w:beforeAutospacing="0" w:after="0" w:afterAutospacing="0" w:line="240" w:lineRule="atLeast"/>
              <w:ind w:left="0" w:right="0" w:firstLine="0" w:firstLineChars="0"/>
              <w:rPr>
                <w:rFonts w:hint="eastAsia" w:ascii="宋体" w:hAnsi="宋体" w:eastAsia="宋体" w:cs="宋体"/>
                <w:kern w:val="44"/>
                <w:sz w:val="24"/>
                <w:szCs w:val="24"/>
                <w:lang w:val="en-US" w:eastAsia="zh-CN" w:bidi="ar-SA"/>
              </w:rPr>
            </w:pPr>
            <w:r>
              <w:rPr>
                <w:rFonts w:hint="eastAsia" w:ascii="宋体" w:hAnsi="宋体" w:eastAsia="宋体" w:cs="宋体"/>
                <w:sz w:val="24"/>
                <w:szCs w:val="24"/>
                <w:lang w:val="en-US" w:eastAsia="zh-CN"/>
              </w:rPr>
              <w:t>经</w:t>
            </w:r>
            <w:r>
              <w:rPr>
                <w:rFonts w:hint="eastAsia" w:ascii="宋体" w:hAnsi="宋体" w:eastAsia="宋体" w:cs="宋体"/>
                <w:sz w:val="24"/>
                <w:szCs w:val="24"/>
              </w:rPr>
              <w:t>化粪池处理</w:t>
            </w:r>
            <w:r>
              <w:rPr>
                <w:rFonts w:hint="eastAsia" w:ascii="宋体" w:hAnsi="宋体" w:eastAsia="宋体" w:cs="宋体"/>
                <w:sz w:val="24"/>
                <w:szCs w:val="24"/>
                <w:lang w:eastAsia="zh-CN"/>
              </w:rPr>
              <w:t>后</w:t>
            </w:r>
            <w:r>
              <w:rPr>
                <w:rFonts w:hint="eastAsia" w:ascii="宋体" w:hAnsi="宋体" w:eastAsia="宋体" w:cs="宋体"/>
                <w:sz w:val="24"/>
                <w:szCs w:val="24"/>
              </w:rPr>
              <w:t>接管至</w:t>
            </w:r>
            <w:r>
              <w:rPr>
                <w:rFonts w:hint="eastAsia" w:ascii="宋体" w:hAnsi="宋体" w:eastAsia="宋体" w:cs="宋体"/>
                <w:sz w:val="24"/>
                <w:szCs w:val="24"/>
                <w:lang w:eastAsia="zh-CN"/>
              </w:rPr>
              <w:t>句容市边城镇污水处理厂</w:t>
            </w:r>
          </w:p>
        </w:tc>
        <w:tc>
          <w:tcPr>
            <w:tcW w:w="2394" w:type="dxa"/>
            <w:noWrap w:val="0"/>
            <w:vAlign w:val="center"/>
          </w:tcPr>
          <w:p w14:paraId="070BDA89">
            <w:pPr>
              <w:pStyle w:val="13"/>
              <w:keepNext w:val="0"/>
              <w:keepLines w:val="0"/>
              <w:suppressLineNumbers w:val="0"/>
              <w:snapToGrid w:val="0"/>
              <w:spacing w:before="0" w:beforeAutospacing="0" w:after="0" w:afterAutospacing="0" w:line="240" w:lineRule="atLeast"/>
              <w:ind w:left="0" w:right="0" w:firstLine="0" w:firstLineChars="0"/>
              <w:rPr>
                <w:rFonts w:hint="eastAsia" w:ascii="宋体" w:hAnsi="宋体" w:eastAsia="宋体" w:cs="宋体"/>
                <w:kern w:val="44"/>
                <w:sz w:val="24"/>
                <w:szCs w:val="24"/>
                <w:lang w:val="en-US" w:eastAsia="zh-CN" w:bidi="ar-SA"/>
              </w:rPr>
            </w:pPr>
            <w:r>
              <w:rPr>
                <w:rFonts w:hint="eastAsia" w:ascii="宋体" w:hAnsi="宋体" w:eastAsia="宋体" w:cs="宋体"/>
                <w:sz w:val="24"/>
                <w:szCs w:val="24"/>
              </w:rPr>
              <w:t>《污水综合排放标准》（GB8978-1996）表4中三级标准、《污水排入城镇下水道水质标准》、（GB/T31962-2015）表1中B等级标准</w:t>
            </w:r>
          </w:p>
        </w:tc>
      </w:tr>
      <w:tr w14:paraId="575479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10" w:type="dxa"/>
            <w:vMerge w:val="continue"/>
            <w:noWrap w:val="0"/>
            <w:vAlign w:val="center"/>
          </w:tcPr>
          <w:p w14:paraId="7A54CD39">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4"/>
                <w:szCs w:val="24"/>
              </w:rPr>
            </w:pPr>
          </w:p>
        </w:tc>
        <w:tc>
          <w:tcPr>
            <w:tcW w:w="2064" w:type="dxa"/>
            <w:noWrap w:val="0"/>
            <w:vAlign w:val="center"/>
          </w:tcPr>
          <w:p w14:paraId="0D797EF2">
            <w:pPr>
              <w:pStyle w:val="13"/>
              <w:keepNext w:val="0"/>
              <w:keepLines w:val="0"/>
              <w:suppressLineNumbers w:val="0"/>
              <w:snapToGrid w:val="0"/>
              <w:spacing w:before="0" w:beforeAutospacing="0" w:after="0" w:afterAutospacing="0" w:line="240" w:lineRule="atLeast"/>
              <w:ind w:left="0" w:right="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水洗废水</w:t>
            </w:r>
          </w:p>
        </w:tc>
        <w:tc>
          <w:tcPr>
            <w:tcW w:w="1539" w:type="dxa"/>
            <w:noWrap w:val="0"/>
            <w:vAlign w:val="center"/>
          </w:tcPr>
          <w:p w14:paraId="3F146130">
            <w:pPr>
              <w:pStyle w:val="13"/>
              <w:keepNext w:val="0"/>
              <w:keepLines w:val="0"/>
              <w:suppressLineNumbers w:val="0"/>
              <w:snapToGrid w:val="0"/>
              <w:spacing w:before="0" w:beforeAutospacing="0" w:after="0" w:afterAutospacing="0" w:line="240" w:lineRule="atLeast"/>
              <w:ind w:left="0" w:right="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rPr>
              <w:t>COD、SS、</w:t>
            </w:r>
            <w:r>
              <w:rPr>
                <w:rFonts w:hint="eastAsia" w:ascii="宋体" w:hAnsi="宋体" w:eastAsia="宋体" w:cs="宋体"/>
                <w:sz w:val="24"/>
                <w:szCs w:val="24"/>
                <w:lang w:val="en-US" w:eastAsia="zh-CN"/>
              </w:rPr>
              <w:t>石油类</w:t>
            </w:r>
          </w:p>
        </w:tc>
        <w:tc>
          <w:tcPr>
            <w:tcW w:w="1755" w:type="dxa"/>
            <w:noWrap w:val="0"/>
            <w:vAlign w:val="center"/>
          </w:tcPr>
          <w:p w14:paraId="0BD166C2">
            <w:pPr>
              <w:pStyle w:val="13"/>
              <w:keepNext w:val="0"/>
              <w:keepLines w:val="0"/>
              <w:suppressLineNumbers w:val="0"/>
              <w:snapToGrid w:val="0"/>
              <w:spacing w:before="0" w:beforeAutospacing="0" w:after="0" w:afterAutospacing="0" w:line="240" w:lineRule="atLeast"/>
              <w:ind w:left="0" w:right="0" w:firstLine="0" w:firstLine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污水处理站</w:t>
            </w:r>
          </w:p>
        </w:tc>
        <w:tc>
          <w:tcPr>
            <w:tcW w:w="2394" w:type="dxa"/>
            <w:noWrap w:val="0"/>
            <w:vAlign w:val="center"/>
          </w:tcPr>
          <w:p w14:paraId="68A820FF">
            <w:pPr>
              <w:pStyle w:val="13"/>
              <w:keepNext w:val="0"/>
              <w:keepLines w:val="0"/>
              <w:suppressLineNumbers w:val="0"/>
              <w:snapToGrid w:val="0"/>
              <w:spacing w:before="0" w:beforeAutospacing="0" w:after="0" w:afterAutospacing="0" w:line="240" w:lineRule="atLeast"/>
              <w:ind w:left="0" w:right="0" w:firstLine="0" w:firstLineChars="0"/>
              <w:rPr>
                <w:rFonts w:hint="eastAsia" w:ascii="宋体" w:hAnsi="宋体" w:eastAsia="宋体" w:cs="宋体"/>
                <w:sz w:val="24"/>
                <w:szCs w:val="24"/>
              </w:rPr>
            </w:pPr>
            <w:r>
              <w:rPr>
                <w:rFonts w:hint="eastAsia" w:ascii="宋体" w:hAnsi="宋体" w:eastAsia="宋体" w:cs="宋体"/>
                <w:sz w:val="24"/>
                <w:szCs w:val="24"/>
                <w:lang w:val="en-US" w:eastAsia="zh-CN"/>
              </w:rPr>
              <w:t>《城市污水再生利用 工业用水水质》（GBT19923-2024）表1 洗涤用水标准</w:t>
            </w:r>
          </w:p>
        </w:tc>
      </w:tr>
      <w:tr w14:paraId="41C626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10" w:type="dxa"/>
            <w:noWrap w:val="0"/>
            <w:vAlign w:val="center"/>
          </w:tcPr>
          <w:p w14:paraId="472DEE92">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rPr>
              <w:t>声环境</w:t>
            </w:r>
          </w:p>
        </w:tc>
        <w:tc>
          <w:tcPr>
            <w:tcW w:w="2064" w:type="dxa"/>
            <w:noWrap w:val="0"/>
            <w:vAlign w:val="center"/>
          </w:tcPr>
          <w:p w14:paraId="0A1A5373">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喷砂机、打磨台、空压机等</w:t>
            </w:r>
          </w:p>
        </w:tc>
        <w:tc>
          <w:tcPr>
            <w:tcW w:w="1539" w:type="dxa"/>
            <w:noWrap w:val="0"/>
            <w:vAlign w:val="center"/>
          </w:tcPr>
          <w:p w14:paraId="6A264C1E">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rPr>
              <w:t>噪声</w:t>
            </w:r>
          </w:p>
        </w:tc>
        <w:tc>
          <w:tcPr>
            <w:tcW w:w="1755" w:type="dxa"/>
            <w:noWrap w:val="0"/>
            <w:vAlign w:val="center"/>
          </w:tcPr>
          <w:p w14:paraId="20456036">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rPr>
              <w:t>选用低噪声设备、基础减振，厂房隔声</w:t>
            </w:r>
          </w:p>
        </w:tc>
        <w:tc>
          <w:tcPr>
            <w:tcW w:w="2394" w:type="dxa"/>
            <w:noWrap w:val="0"/>
            <w:vAlign w:val="center"/>
          </w:tcPr>
          <w:p w14:paraId="6AC89BC2">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《工业企业厂界环境噪声排放标准》（GB12348-2008）</w:t>
            </w:r>
            <w:r>
              <w:rPr>
                <w:rFonts w:hint="eastAsia" w:ascii="宋体" w:hAnsi="宋体" w:eastAsia="宋体" w:cs="宋体"/>
                <w:color w:val="auto"/>
                <w:sz w:val="24"/>
                <w:szCs w:val="24"/>
                <w:lang w:eastAsia="zh-CN"/>
              </w:rPr>
              <w:t>中</w:t>
            </w:r>
            <w:r>
              <w:rPr>
                <w:rFonts w:hint="eastAsia" w:ascii="宋体" w:hAnsi="宋体" w:eastAsia="宋体" w:cs="宋体"/>
                <w:color w:val="auto"/>
                <w:sz w:val="24"/>
                <w:szCs w:val="24"/>
                <w:lang w:val="en-US" w:eastAsia="zh-CN"/>
              </w:rPr>
              <w:t>2类标准</w:t>
            </w:r>
          </w:p>
        </w:tc>
      </w:tr>
      <w:tr w14:paraId="70E314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10" w:type="dxa"/>
            <w:noWrap w:val="0"/>
            <w:vAlign w:val="center"/>
          </w:tcPr>
          <w:p w14:paraId="3B283A5E">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rPr>
              <w:t>电磁辐射</w:t>
            </w:r>
          </w:p>
        </w:tc>
        <w:tc>
          <w:tcPr>
            <w:tcW w:w="7752" w:type="dxa"/>
            <w:gridSpan w:val="4"/>
            <w:noWrap w:val="0"/>
            <w:vAlign w:val="center"/>
          </w:tcPr>
          <w:p w14:paraId="0B0B2865">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无</w:t>
            </w:r>
          </w:p>
        </w:tc>
      </w:tr>
      <w:tr w14:paraId="10AF3B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10" w:type="dxa"/>
            <w:noWrap w:val="0"/>
            <w:vAlign w:val="center"/>
          </w:tcPr>
          <w:p w14:paraId="7EEA5351">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rPr>
              <w:t>固体废物</w:t>
            </w:r>
          </w:p>
        </w:tc>
        <w:tc>
          <w:tcPr>
            <w:tcW w:w="7752" w:type="dxa"/>
            <w:gridSpan w:val="4"/>
            <w:noWrap w:val="0"/>
            <w:vAlign w:val="center"/>
          </w:tcPr>
          <w:p w14:paraId="74EC6AAF">
            <w:pPr>
              <w:pStyle w:val="17"/>
              <w:keepNext w:val="0"/>
              <w:keepLines w:val="0"/>
              <w:pageBreakBefore w:val="0"/>
              <w:widowControl w:val="0"/>
              <w:suppressLineNumbers w:val="0"/>
              <w:kinsoku/>
              <w:overflowPunct/>
              <w:autoSpaceDE/>
              <w:autoSpaceDN/>
              <w:bidi w:val="0"/>
              <w:adjustRightInd w:val="0"/>
              <w:snapToGrid w:val="0"/>
              <w:spacing w:before="0" w:beforeAutospacing="0" w:after="0" w:afterAutospacing="0" w:line="240" w:lineRule="atLeast"/>
              <w:ind w:left="0" w:leftChars="0"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项目生产过程中一般固废卖给物回公司回收；职工生活产生生活垃圾委托环卫部门清运；危险废物委托有资质的单位处理处置。</w:t>
            </w:r>
          </w:p>
        </w:tc>
      </w:tr>
      <w:tr w14:paraId="082013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0" w:type="dxa"/>
            <w:noWrap w:val="0"/>
            <w:vAlign w:val="center"/>
          </w:tcPr>
          <w:p w14:paraId="6933CD74">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rPr>
              <w:t>土壤及地下水污染防治措施</w:t>
            </w:r>
          </w:p>
        </w:tc>
        <w:tc>
          <w:tcPr>
            <w:tcW w:w="7752" w:type="dxa"/>
            <w:gridSpan w:val="4"/>
            <w:noWrap w:val="0"/>
            <w:vAlign w:val="center"/>
          </w:tcPr>
          <w:p w14:paraId="698C9F80">
            <w:pPr>
              <w:pStyle w:val="16"/>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①</w:t>
            </w:r>
            <w:r>
              <w:rPr>
                <w:rFonts w:hint="eastAsia" w:ascii="宋体" w:hAnsi="宋体" w:eastAsia="宋体" w:cs="宋体"/>
                <w:color w:val="auto"/>
                <w:sz w:val="24"/>
                <w:szCs w:val="24"/>
                <w:lang w:eastAsia="zh-CN"/>
              </w:rPr>
              <w:t>严格按照国家相关规范要求，对场区内各仓库、生产车间、废物贮存处理场所等采取相应措施，以防止和降低污染物的跑、冒、滴、漏，将污染物泄漏的环境风险事故降到最低程度；</w:t>
            </w:r>
          </w:p>
          <w:p w14:paraId="7F6A5131">
            <w:pPr>
              <w:pStyle w:val="16"/>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②</w:t>
            </w:r>
            <w:r>
              <w:rPr>
                <w:rFonts w:hint="eastAsia" w:ascii="宋体" w:hAnsi="宋体" w:eastAsia="宋体" w:cs="宋体"/>
                <w:color w:val="auto"/>
                <w:sz w:val="24"/>
                <w:szCs w:val="24"/>
                <w:lang w:eastAsia="zh-CN"/>
              </w:rPr>
              <w:t>设备和管线尽量采用“可视化”原则，即尽可能地上敷设和放置，做到污染物“早发现、早处理”，以减少由于埋地泄漏而可能造成的污染。对各种地下管道，根据输送物质不同，采用不同类型的管道，管道内外均采用防腐处理，定期对管道进行检漏；</w:t>
            </w:r>
          </w:p>
          <w:p w14:paraId="1F0F07BF">
            <w:pPr>
              <w:pStyle w:val="16"/>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③危废暂存间</w:t>
            </w:r>
            <w:r>
              <w:rPr>
                <w:rFonts w:hint="eastAsia" w:ascii="宋体" w:hAnsi="宋体" w:eastAsia="宋体" w:cs="宋体"/>
                <w:color w:val="auto"/>
                <w:sz w:val="24"/>
                <w:szCs w:val="24"/>
                <w:lang w:eastAsia="zh-CN"/>
              </w:rPr>
              <w:t>按照国家相关规范要求，采取防泄漏措施；</w:t>
            </w:r>
          </w:p>
          <w:p w14:paraId="67C248C5">
            <w:pPr>
              <w:pStyle w:val="16"/>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④</w:t>
            </w:r>
            <w:r>
              <w:rPr>
                <w:rFonts w:hint="eastAsia" w:ascii="宋体" w:hAnsi="宋体" w:eastAsia="宋体" w:cs="宋体"/>
                <w:color w:val="auto"/>
                <w:sz w:val="24"/>
                <w:szCs w:val="24"/>
                <w:lang w:eastAsia="zh-CN"/>
              </w:rPr>
              <w:t>严格固体废物管理，不接触外界降水，使其不产生淋滤液，严防污染物泄漏到地下水中。</w:t>
            </w:r>
          </w:p>
          <w:p w14:paraId="7DFEEF97">
            <w:pPr>
              <w:pStyle w:val="16"/>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⑤</w:t>
            </w:r>
            <w:r>
              <w:rPr>
                <w:rFonts w:hint="eastAsia" w:ascii="宋体" w:hAnsi="宋体" w:eastAsia="宋体" w:cs="宋体"/>
                <w:color w:val="auto"/>
                <w:sz w:val="24"/>
                <w:szCs w:val="24"/>
                <w:lang w:eastAsia="zh-CN"/>
              </w:rPr>
              <w:t>重点防渗区</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eastAsia="zh-CN"/>
              </w:rPr>
              <w:t>加强重点污染区的防渗漏措施，对污染防治区进行划分，本项目喷</w:t>
            </w:r>
            <w:r>
              <w:rPr>
                <w:rFonts w:hint="eastAsia" w:ascii="宋体" w:hAnsi="宋体" w:eastAsia="宋体" w:cs="宋体"/>
                <w:color w:val="auto"/>
                <w:sz w:val="24"/>
                <w:szCs w:val="24"/>
                <w:lang w:val="en-US" w:eastAsia="zh-CN"/>
              </w:rPr>
              <w:t>塑</w:t>
            </w:r>
            <w:r>
              <w:rPr>
                <w:rFonts w:hint="eastAsia" w:ascii="宋体" w:hAnsi="宋体" w:eastAsia="宋体" w:cs="宋体"/>
                <w:color w:val="auto"/>
                <w:sz w:val="24"/>
                <w:szCs w:val="24"/>
                <w:lang w:eastAsia="zh-CN"/>
              </w:rPr>
              <w:t>车间、危废暂存间、原料仓库</w:t>
            </w:r>
            <w:r>
              <w:rPr>
                <w:rFonts w:hint="eastAsia" w:ascii="宋体" w:hAnsi="宋体" w:eastAsia="宋体" w:cs="宋体"/>
                <w:color w:val="auto"/>
                <w:sz w:val="24"/>
                <w:szCs w:val="24"/>
                <w:lang w:val="en-US" w:eastAsia="zh-CN"/>
              </w:rPr>
              <w:t>和污水处理站</w:t>
            </w:r>
            <w:r>
              <w:rPr>
                <w:rFonts w:hint="eastAsia" w:ascii="宋体" w:hAnsi="宋体" w:eastAsia="宋体" w:cs="宋体"/>
                <w:color w:val="auto"/>
                <w:sz w:val="24"/>
                <w:szCs w:val="24"/>
                <w:lang w:eastAsia="zh-CN"/>
              </w:rPr>
              <w:t>为重点污染防治区。重点防渗区防渗设计要求防渗层为至少1m厚黏土层（渗透系数≤10</w:t>
            </w:r>
            <w:r>
              <w:rPr>
                <w:rFonts w:hint="eastAsia" w:ascii="宋体" w:hAnsi="宋体" w:eastAsia="宋体" w:cs="宋体"/>
                <w:color w:val="auto"/>
                <w:sz w:val="24"/>
                <w:szCs w:val="24"/>
                <w:vertAlign w:val="superscript"/>
                <w:lang w:eastAsia="zh-CN"/>
              </w:rPr>
              <w:t>-7</w:t>
            </w:r>
            <w:r>
              <w:rPr>
                <w:rFonts w:hint="eastAsia" w:ascii="宋体" w:hAnsi="宋体" w:eastAsia="宋体" w:cs="宋体"/>
                <w:color w:val="auto"/>
                <w:sz w:val="24"/>
                <w:szCs w:val="24"/>
                <w:lang w:eastAsia="zh-CN"/>
              </w:rPr>
              <w:t>cm/s），或2mm厚高密度聚乙烯，或至少2mm厚的其他人工材料，渗透系数≤10</w:t>
            </w:r>
            <w:r>
              <w:rPr>
                <w:rFonts w:hint="eastAsia" w:ascii="宋体" w:hAnsi="宋体" w:eastAsia="宋体" w:cs="宋体"/>
                <w:color w:val="auto"/>
                <w:sz w:val="24"/>
                <w:szCs w:val="24"/>
                <w:vertAlign w:val="superscript"/>
                <w:lang w:eastAsia="zh-CN"/>
              </w:rPr>
              <w:t>-7</w:t>
            </w:r>
            <w:r>
              <w:rPr>
                <w:rFonts w:hint="eastAsia" w:ascii="宋体" w:hAnsi="宋体" w:eastAsia="宋体" w:cs="宋体"/>
                <w:color w:val="auto"/>
                <w:sz w:val="24"/>
                <w:szCs w:val="24"/>
                <w:lang w:eastAsia="zh-CN"/>
              </w:rPr>
              <w:t>cm/s。</w:t>
            </w:r>
          </w:p>
          <w:p w14:paraId="43E10063">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240" w:lineRule="atLeas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⑥</w:t>
            </w:r>
            <w:r>
              <w:rPr>
                <w:rFonts w:hint="eastAsia" w:ascii="宋体" w:hAnsi="宋体" w:eastAsia="宋体" w:cs="宋体"/>
                <w:color w:val="auto"/>
                <w:sz w:val="24"/>
                <w:szCs w:val="24"/>
                <w:lang w:eastAsia="zh-CN"/>
              </w:rPr>
              <w:t>一般防渗区</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eastAsia="zh-CN"/>
              </w:rPr>
              <w:t>加强一般污染区的防渗漏措施，对污染防治区进行划分，本项目重点污染防治区以外的地方为一般污染防治区。一般防渗区防渗设计要求</w:t>
            </w:r>
            <w:r>
              <w:rPr>
                <w:rFonts w:hint="eastAsia" w:ascii="宋体" w:hAnsi="宋体" w:eastAsia="宋体" w:cs="宋体"/>
                <w:color w:val="auto"/>
                <w:sz w:val="24"/>
                <w:szCs w:val="24"/>
              </w:rPr>
              <w:t>等效黏土防渗层Mb≥1.5m，K≤1×10</w:t>
            </w:r>
            <w:r>
              <w:rPr>
                <w:rFonts w:hint="eastAsia" w:ascii="宋体" w:hAnsi="宋体" w:eastAsia="宋体" w:cs="宋体"/>
                <w:color w:val="auto"/>
                <w:sz w:val="24"/>
                <w:szCs w:val="24"/>
                <w:vertAlign w:val="superscript"/>
              </w:rPr>
              <w:t>-7</w:t>
            </w:r>
            <w:r>
              <w:rPr>
                <w:rFonts w:hint="eastAsia" w:ascii="宋体" w:hAnsi="宋体" w:eastAsia="宋体" w:cs="宋体"/>
                <w:color w:val="auto"/>
                <w:sz w:val="24"/>
                <w:szCs w:val="24"/>
              </w:rPr>
              <w:t>cm/s</w:t>
            </w:r>
            <w:r>
              <w:rPr>
                <w:rFonts w:hint="eastAsia" w:ascii="宋体" w:hAnsi="宋体" w:eastAsia="宋体" w:cs="宋体"/>
                <w:color w:val="auto"/>
                <w:sz w:val="24"/>
                <w:szCs w:val="24"/>
                <w:lang w:eastAsia="zh-CN"/>
              </w:rPr>
              <w:t>。</w:t>
            </w:r>
          </w:p>
        </w:tc>
      </w:tr>
      <w:tr w14:paraId="78228E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0" w:type="dxa"/>
            <w:noWrap w:val="0"/>
            <w:vAlign w:val="center"/>
          </w:tcPr>
          <w:p w14:paraId="1A05261B">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rPr>
              <w:t>生态保护措施</w:t>
            </w:r>
          </w:p>
        </w:tc>
        <w:tc>
          <w:tcPr>
            <w:tcW w:w="7752" w:type="dxa"/>
            <w:gridSpan w:val="4"/>
            <w:noWrap w:val="0"/>
            <w:vAlign w:val="center"/>
          </w:tcPr>
          <w:p w14:paraId="7665012F">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p>
        </w:tc>
      </w:tr>
      <w:tr w14:paraId="0BBDCF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0" w:type="dxa"/>
            <w:noWrap w:val="0"/>
            <w:vAlign w:val="center"/>
          </w:tcPr>
          <w:p w14:paraId="2015E428">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rPr>
              <w:t>环境风险</w:t>
            </w:r>
          </w:p>
          <w:p w14:paraId="60FD1426">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rPr>
              <w:t>防范措施</w:t>
            </w:r>
          </w:p>
        </w:tc>
        <w:tc>
          <w:tcPr>
            <w:tcW w:w="7752" w:type="dxa"/>
            <w:gridSpan w:val="4"/>
            <w:noWrap w:val="0"/>
            <w:vAlign w:val="center"/>
          </w:tcPr>
          <w:p w14:paraId="63C4CF69">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危废暂存间</w:t>
            </w:r>
            <w:r>
              <w:rPr>
                <w:rFonts w:hint="eastAsia" w:ascii="宋体" w:hAnsi="宋体" w:eastAsia="宋体" w:cs="宋体"/>
                <w:color w:val="auto"/>
                <w:sz w:val="24"/>
                <w:szCs w:val="24"/>
              </w:rPr>
              <w:t>地面进行防渗，并设置托盘或者围堰，防止对土壤和地下水的污染；</w:t>
            </w:r>
          </w:p>
        </w:tc>
      </w:tr>
      <w:tr w14:paraId="7DBFFE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0" w:type="dxa"/>
            <w:noWrap w:val="0"/>
            <w:vAlign w:val="center"/>
          </w:tcPr>
          <w:p w14:paraId="64BF92E8">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rPr>
              <w:t>其他环境</w:t>
            </w:r>
          </w:p>
          <w:p w14:paraId="4EFD2C8F">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240" w:lineRule="atLeast"/>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rPr>
              <w:t>管理要求</w:t>
            </w:r>
          </w:p>
        </w:tc>
        <w:tc>
          <w:tcPr>
            <w:tcW w:w="7752" w:type="dxa"/>
            <w:gridSpan w:val="4"/>
            <w:noWrap w:val="0"/>
            <w:vAlign w:val="center"/>
          </w:tcPr>
          <w:p w14:paraId="71B5C5F5">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240" w:lineRule="atLeast"/>
              <w:ind w:left="0" w:right="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①废气监测记录信息包括监测时间、污染因子、监测设施、许可排放浓度限值、浓度监测结果、是否超标、数据来源。</w:t>
            </w:r>
          </w:p>
          <w:p w14:paraId="694BF5F5">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240" w:lineRule="atLeast"/>
              <w:ind w:left="0" w:right="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②监测数据所有记录均由专人建档保管。</w:t>
            </w:r>
          </w:p>
          <w:p w14:paraId="0812ECD2">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240" w:lineRule="atLeast"/>
              <w:ind w:left="0" w:right="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③记录形式：电子台账+纸质台账。</w:t>
            </w:r>
          </w:p>
          <w:p w14:paraId="738DCE86">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240" w:lineRule="atLeast"/>
              <w:ind w:left="0" w:right="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④台账保存期限不小于5年。</w:t>
            </w:r>
          </w:p>
        </w:tc>
      </w:tr>
    </w:tbl>
    <w:p w14:paraId="15818416">
      <w:pPr>
        <w:rPr>
          <w:rFonts w:hint="eastAsia"/>
        </w:rPr>
      </w:pPr>
    </w:p>
    <w:p w14:paraId="033741CB">
      <w:pPr>
        <w:pStyle w:val="10"/>
        <w:rPr>
          <w:rFonts w:hint="eastAsia"/>
        </w:rPr>
      </w:pPr>
    </w:p>
    <w:p w14:paraId="5C33C649">
      <w:pPr>
        <w:rPr>
          <w:rFonts w:hint="eastAsia"/>
        </w:rPr>
      </w:pPr>
    </w:p>
    <w:p w14:paraId="6E5B83F2">
      <w:pPr>
        <w:pStyle w:val="10"/>
        <w:rPr>
          <w:rFonts w:hint="eastAsia"/>
        </w:rPr>
      </w:pPr>
    </w:p>
    <w:p w14:paraId="65E5A189">
      <w:pPr>
        <w:rPr>
          <w:rFonts w:hint="eastAsia"/>
        </w:rPr>
      </w:pPr>
    </w:p>
    <w:p w14:paraId="5FA72552">
      <w:pPr>
        <w:pStyle w:val="10"/>
        <w:rPr>
          <w:rFonts w:hint="eastAsia"/>
        </w:rPr>
      </w:pPr>
    </w:p>
    <w:p w14:paraId="33F207E1">
      <w:pPr>
        <w:rPr>
          <w:rFonts w:hint="eastAsia"/>
        </w:rPr>
      </w:pPr>
    </w:p>
    <w:p w14:paraId="2C5C42BB">
      <w:pPr>
        <w:pStyle w:val="10"/>
        <w:rPr>
          <w:rFonts w:hint="eastAsia"/>
        </w:rPr>
      </w:pPr>
    </w:p>
    <w:p w14:paraId="2CF6CD8F">
      <w:pPr>
        <w:rPr>
          <w:rFonts w:hint="eastAsia"/>
        </w:rPr>
      </w:pPr>
    </w:p>
    <w:p w14:paraId="119FA3B4">
      <w:pPr>
        <w:rPr>
          <w:rFonts w:hint="eastAsia"/>
        </w:rPr>
      </w:pPr>
    </w:p>
    <w:p w14:paraId="6E243C42">
      <w:pPr>
        <w:rPr>
          <w:rFonts w:hint="eastAsia"/>
        </w:rPr>
      </w:pPr>
    </w:p>
    <w:p w14:paraId="1D2338B5">
      <w:pPr>
        <w:rPr>
          <w:rFonts w:hint="eastAsia"/>
        </w:rPr>
      </w:pPr>
    </w:p>
    <w:p w14:paraId="28CBC4DE">
      <w:pPr>
        <w:rPr>
          <w:rFonts w:hint="eastAsia"/>
        </w:rPr>
      </w:pPr>
    </w:p>
    <w:p w14:paraId="24965BD9">
      <w:pPr>
        <w:rPr>
          <w:rFonts w:hint="eastAsia"/>
        </w:rPr>
      </w:pPr>
    </w:p>
    <w:p w14:paraId="73ECDB80">
      <w:pPr>
        <w:rPr>
          <w:rFonts w:hint="eastAsia"/>
        </w:rPr>
      </w:pPr>
    </w:p>
    <w:p w14:paraId="60590A5B">
      <w:pPr>
        <w:rPr>
          <w:rFonts w:hint="eastAsia"/>
        </w:rPr>
      </w:pPr>
    </w:p>
    <w:p w14:paraId="7FFB179C">
      <w:pPr>
        <w:pStyle w:val="10"/>
        <w:rPr>
          <w:rFonts w:hint="eastAsia"/>
        </w:rPr>
      </w:pPr>
    </w:p>
    <w:bookmarkEnd w:id="170"/>
    <w:p w14:paraId="6C400770">
      <w:pPr>
        <w:jc w:val="left"/>
        <w:outlineLvl w:val="0"/>
        <w:rPr>
          <w:rStyle w:val="36"/>
          <w:rFonts w:hint="eastAsia"/>
        </w:rPr>
      </w:pPr>
      <w:bookmarkStart w:id="183" w:name="_Toc4339"/>
      <w:r>
        <w:rPr>
          <w:rStyle w:val="36"/>
          <w:rFonts w:hint="eastAsia"/>
        </w:rPr>
        <w:t>六、结论</w:t>
      </w:r>
      <w:bookmarkEnd w:id="183"/>
    </w:p>
    <w:tbl>
      <w:tblPr>
        <w:tblStyle w:val="30"/>
        <w:tblW w:w="906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66"/>
      </w:tblGrid>
      <w:tr w14:paraId="34CEAC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9" w:hRule="atLeast"/>
          <w:jc w:val="center"/>
        </w:trPr>
        <w:tc>
          <w:tcPr>
            <w:tcW w:w="9066" w:type="dxa"/>
            <w:noWrap w:val="0"/>
            <w:vAlign w:val="center"/>
          </w:tcPr>
          <w:p w14:paraId="56E8A95C">
            <w:pPr>
              <w:keepNext w:val="0"/>
              <w:keepLines w:val="0"/>
              <w:suppressLineNumbers w:val="0"/>
              <w:spacing w:before="0" w:beforeAutospacing="0" w:after="0" w:afterAutospacing="0"/>
              <w:ind w:left="0" w:right="0" w:firstLine="480" w:firstLineChars="200"/>
              <w:rPr>
                <w:rFonts w:hint="eastAsia" w:ascii="宋体" w:hAnsi="宋体" w:eastAsia="宋体" w:cs="宋体"/>
              </w:rPr>
            </w:pPr>
            <w:r>
              <w:rPr>
                <w:rFonts w:hint="eastAsia" w:ascii="宋体" w:hAnsi="宋体" w:eastAsia="宋体" w:cs="宋体"/>
              </w:rPr>
              <w:t>从环境保护角度，本项目的建设具有环境可行性。</w:t>
            </w:r>
          </w:p>
          <w:p w14:paraId="7E914B27">
            <w:pPr>
              <w:keepNext w:val="0"/>
              <w:keepLines w:val="0"/>
              <w:suppressLineNumbers w:val="0"/>
              <w:spacing w:before="0" w:beforeAutospacing="0" w:after="0" w:afterAutospacing="0"/>
              <w:ind w:left="0" w:right="0" w:firstLine="480" w:firstLineChars="200"/>
              <w:rPr>
                <w:rFonts w:hint="eastAsia" w:ascii="宋体" w:hAnsi="宋体" w:eastAsia="宋体" w:cs="宋体"/>
              </w:rPr>
            </w:pPr>
          </w:p>
          <w:p w14:paraId="00623C23">
            <w:pPr>
              <w:pStyle w:val="10"/>
              <w:keepNext w:val="0"/>
              <w:keepLines w:val="0"/>
              <w:suppressLineNumbers w:val="0"/>
              <w:spacing w:before="0" w:beforeAutospacing="0" w:after="0" w:afterAutospacing="0"/>
              <w:ind w:left="0" w:right="0"/>
              <w:rPr>
                <w:rFonts w:hint="eastAsia" w:ascii="宋体" w:hAnsi="宋体" w:eastAsia="宋体" w:cs="宋体"/>
              </w:rPr>
            </w:pPr>
          </w:p>
          <w:p w14:paraId="180C5170">
            <w:pPr>
              <w:pStyle w:val="16"/>
              <w:keepNext w:val="0"/>
              <w:keepLines w:val="0"/>
              <w:numPr>
                <w:ilvl w:val="0"/>
                <w:numId w:val="0"/>
              </w:numPr>
              <w:suppressLineNumbers w:val="0"/>
              <w:spacing w:before="0" w:beforeAutospacing="0" w:after="0" w:afterAutospacing="0"/>
              <w:ind w:left="0" w:right="0"/>
              <w:rPr>
                <w:rFonts w:hint="eastAsia" w:ascii="宋体" w:hAnsi="宋体" w:eastAsia="宋体" w:cs="宋体"/>
              </w:rPr>
            </w:pPr>
          </w:p>
          <w:p w14:paraId="3FDC0FDD">
            <w:pPr>
              <w:pStyle w:val="16"/>
              <w:keepNext w:val="0"/>
              <w:keepLines w:val="0"/>
              <w:numPr>
                <w:ilvl w:val="0"/>
                <w:numId w:val="0"/>
              </w:numPr>
              <w:suppressLineNumbers w:val="0"/>
              <w:spacing w:before="0" w:beforeAutospacing="0" w:after="0" w:afterAutospacing="0"/>
              <w:ind w:left="0" w:right="0"/>
              <w:rPr>
                <w:rFonts w:hint="eastAsia" w:ascii="宋体" w:hAnsi="宋体" w:eastAsia="宋体" w:cs="宋体"/>
              </w:rPr>
            </w:pPr>
          </w:p>
          <w:p w14:paraId="34FB45CB">
            <w:pPr>
              <w:pStyle w:val="16"/>
              <w:keepNext w:val="0"/>
              <w:keepLines w:val="0"/>
              <w:numPr>
                <w:ilvl w:val="0"/>
                <w:numId w:val="0"/>
              </w:numPr>
              <w:suppressLineNumbers w:val="0"/>
              <w:spacing w:before="0" w:beforeAutospacing="0" w:after="0" w:afterAutospacing="0"/>
              <w:ind w:left="0" w:right="0"/>
              <w:rPr>
                <w:rFonts w:hint="eastAsia" w:ascii="宋体" w:hAnsi="宋体" w:eastAsia="宋体" w:cs="宋体"/>
              </w:rPr>
            </w:pPr>
          </w:p>
          <w:p w14:paraId="6E6379D4">
            <w:pPr>
              <w:pStyle w:val="16"/>
              <w:keepNext w:val="0"/>
              <w:keepLines w:val="0"/>
              <w:numPr>
                <w:ilvl w:val="0"/>
                <w:numId w:val="0"/>
              </w:numPr>
              <w:suppressLineNumbers w:val="0"/>
              <w:spacing w:before="0" w:beforeAutospacing="0" w:after="0" w:afterAutospacing="0"/>
              <w:ind w:left="0" w:right="0"/>
              <w:rPr>
                <w:rFonts w:hint="eastAsia" w:ascii="宋体" w:hAnsi="宋体" w:eastAsia="宋体" w:cs="宋体"/>
              </w:rPr>
            </w:pPr>
          </w:p>
          <w:p w14:paraId="7BA92953">
            <w:pPr>
              <w:pStyle w:val="16"/>
              <w:keepNext w:val="0"/>
              <w:keepLines w:val="0"/>
              <w:numPr>
                <w:ilvl w:val="0"/>
                <w:numId w:val="0"/>
              </w:numPr>
              <w:suppressLineNumbers w:val="0"/>
              <w:spacing w:before="0" w:beforeAutospacing="0" w:after="0" w:afterAutospacing="0"/>
              <w:ind w:left="0" w:right="0"/>
              <w:rPr>
                <w:rFonts w:hint="eastAsia" w:ascii="宋体" w:hAnsi="宋体" w:eastAsia="宋体" w:cs="宋体"/>
              </w:rPr>
            </w:pPr>
          </w:p>
          <w:p w14:paraId="2C2831FD">
            <w:pPr>
              <w:pStyle w:val="16"/>
              <w:keepNext w:val="0"/>
              <w:keepLines w:val="0"/>
              <w:numPr>
                <w:ilvl w:val="0"/>
                <w:numId w:val="0"/>
              </w:numPr>
              <w:suppressLineNumbers w:val="0"/>
              <w:spacing w:before="0" w:beforeAutospacing="0" w:after="0" w:afterAutospacing="0"/>
              <w:ind w:left="0" w:right="0"/>
              <w:rPr>
                <w:rFonts w:hint="eastAsia" w:ascii="宋体" w:hAnsi="宋体" w:eastAsia="宋体" w:cs="宋体"/>
              </w:rPr>
            </w:pPr>
          </w:p>
          <w:p w14:paraId="56CBF35C">
            <w:pPr>
              <w:pStyle w:val="16"/>
              <w:keepNext w:val="0"/>
              <w:keepLines w:val="0"/>
              <w:numPr>
                <w:ilvl w:val="0"/>
                <w:numId w:val="0"/>
              </w:numPr>
              <w:suppressLineNumbers w:val="0"/>
              <w:spacing w:before="0" w:beforeAutospacing="0" w:after="0" w:afterAutospacing="0"/>
              <w:ind w:left="0" w:right="0"/>
              <w:rPr>
                <w:rFonts w:hint="eastAsia" w:ascii="宋体" w:hAnsi="宋体" w:eastAsia="宋体" w:cs="宋体"/>
              </w:rPr>
            </w:pPr>
          </w:p>
          <w:p w14:paraId="493831BD">
            <w:pPr>
              <w:pStyle w:val="16"/>
              <w:keepNext w:val="0"/>
              <w:keepLines w:val="0"/>
              <w:numPr>
                <w:ilvl w:val="0"/>
                <w:numId w:val="0"/>
              </w:numPr>
              <w:suppressLineNumbers w:val="0"/>
              <w:spacing w:before="0" w:beforeAutospacing="0" w:after="0" w:afterAutospacing="0"/>
              <w:ind w:left="0" w:right="0"/>
              <w:rPr>
                <w:rFonts w:hint="eastAsia" w:ascii="宋体" w:hAnsi="宋体" w:eastAsia="宋体" w:cs="宋体"/>
              </w:rPr>
            </w:pPr>
          </w:p>
          <w:p w14:paraId="6B1FB257">
            <w:pPr>
              <w:pStyle w:val="16"/>
              <w:keepNext w:val="0"/>
              <w:keepLines w:val="0"/>
              <w:numPr>
                <w:ilvl w:val="0"/>
                <w:numId w:val="0"/>
              </w:numPr>
              <w:suppressLineNumbers w:val="0"/>
              <w:spacing w:before="0" w:beforeAutospacing="0" w:after="0" w:afterAutospacing="0"/>
              <w:ind w:left="0" w:right="0"/>
              <w:rPr>
                <w:rFonts w:hint="eastAsia" w:ascii="宋体" w:hAnsi="宋体" w:eastAsia="宋体" w:cs="宋体"/>
              </w:rPr>
            </w:pPr>
          </w:p>
          <w:p w14:paraId="03133B8D">
            <w:pPr>
              <w:pStyle w:val="16"/>
              <w:keepNext w:val="0"/>
              <w:keepLines w:val="0"/>
              <w:numPr>
                <w:ilvl w:val="0"/>
                <w:numId w:val="0"/>
              </w:numPr>
              <w:suppressLineNumbers w:val="0"/>
              <w:spacing w:before="0" w:beforeAutospacing="0" w:after="0" w:afterAutospacing="0"/>
              <w:ind w:left="0" w:right="0"/>
              <w:rPr>
                <w:rFonts w:hint="eastAsia" w:ascii="宋体" w:hAnsi="宋体" w:eastAsia="宋体" w:cs="宋体"/>
              </w:rPr>
            </w:pPr>
          </w:p>
          <w:p w14:paraId="347A3744">
            <w:pPr>
              <w:pStyle w:val="16"/>
              <w:keepNext w:val="0"/>
              <w:keepLines w:val="0"/>
              <w:numPr>
                <w:ilvl w:val="0"/>
                <w:numId w:val="0"/>
              </w:numPr>
              <w:suppressLineNumbers w:val="0"/>
              <w:spacing w:before="0" w:beforeAutospacing="0" w:after="0" w:afterAutospacing="0"/>
              <w:ind w:left="0" w:right="0"/>
              <w:rPr>
                <w:rFonts w:hint="eastAsia" w:ascii="宋体" w:hAnsi="宋体" w:eastAsia="宋体" w:cs="宋体"/>
              </w:rPr>
            </w:pPr>
          </w:p>
          <w:p w14:paraId="1B37A0D7">
            <w:pPr>
              <w:pStyle w:val="16"/>
              <w:keepNext w:val="0"/>
              <w:keepLines w:val="0"/>
              <w:numPr>
                <w:ilvl w:val="0"/>
                <w:numId w:val="0"/>
              </w:numPr>
              <w:suppressLineNumbers w:val="0"/>
              <w:spacing w:before="0" w:beforeAutospacing="0" w:after="0" w:afterAutospacing="0"/>
              <w:ind w:left="0" w:right="0"/>
              <w:rPr>
                <w:rFonts w:hint="eastAsia" w:ascii="宋体" w:hAnsi="宋体" w:eastAsia="宋体" w:cs="宋体"/>
              </w:rPr>
            </w:pPr>
          </w:p>
          <w:p w14:paraId="4B5FEADF">
            <w:pPr>
              <w:keepNext w:val="0"/>
              <w:keepLines w:val="0"/>
              <w:suppressLineNumbers w:val="0"/>
              <w:spacing w:before="0" w:beforeAutospacing="0" w:after="0" w:afterAutospacing="0"/>
              <w:ind w:left="0" w:right="0"/>
              <w:jc w:val="center"/>
              <w:rPr>
                <w:rFonts w:hint="eastAsia" w:ascii="宋体" w:hAnsi="宋体" w:eastAsia="宋体" w:cs="宋体"/>
                <w:color w:val="FF0000"/>
              </w:rPr>
            </w:pPr>
          </w:p>
          <w:p w14:paraId="43DAA6BC">
            <w:pPr>
              <w:pStyle w:val="10"/>
              <w:keepNext w:val="0"/>
              <w:keepLines w:val="0"/>
              <w:suppressLineNumbers w:val="0"/>
              <w:spacing w:before="0" w:beforeAutospacing="0" w:after="0" w:afterAutospacing="0"/>
              <w:ind w:left="0" w:right="0"/>
              <w:rPr>
                <w:rFonts w:hint="eastAsia" w:ascii="宋体" w:hAnsi="宋体" w:eastAsia="宋体" w:cs="宋体"/>
                <w:color w:val="FF0000"/>
              </w:rPr>
            </w:pPr>
          </w:p>
          <w:p w14:paraId="715449EB">
            <w:pPr>
              <w:pStyle w:val="16"/>
              <w:keepNext w:val="0"/>
              <w:keepLines w:val="0"/>
              <w:numPr>
                <w:ilvl w:val="0"/>
                <w:numId w:val="0"/>
              </w:numPr>
              <w:suppressLineNumbers w:val="0"/>
              <w:spacing w:before="0" w:beforeAutospacing="0" w:after="0" w:afterAutospacing="0"/>
              <w:ind w:left="0" w:right="0"/>
              <w:rPr>
                <w:rFonts w:hint="eastAsia" w:ascii="宋体" w:hAnsi="宋体" w:eastAsia="宋体" w:cs="宋体"/>
              </w:rPr>
            </w:pPr>
          </w:p>
          <w:p w14:paraId="7C8B5413">
            <w:pPr>
              <w:keepNext w:val="0"/>
              <w:keepLines w:val="0"/>
              <w:suppressLineNumbers w:val="0"/>
              <w:spacing w:before="0" w:beforeAutospacing="0" w:after="0" w:afterAutospacing="0"/>
              <w:ind w:left="0" w:right="0"/>
              <w:jc w:val="center"/>
              <w:rPr>
                <w:rFonts w:hint="eastAsia" w:ascii="宋体" w:hAnsi="宋体" w:eastAsia="宋体" w:cs="宋体"/>
                <w:color w:val="FF0000"/>
              </w:rPr>
            </w:pPr>
          </w:p>
          <w:p w14:paraId="1F3DE777">
            <w:pPr>
              <w:keepNext w:val="0"/>
              <w:keepLines w:val="0"/>
              <w:suppressLineNumbers w:val="0"/>
              <w:spacing w:before="0" w:beforeAutospacing="0" w:after="0" w:afterAutospacing="0"/>
              <w:ind w:left="0" w:right="0"/>
              <w:jc w:val="center"/>
              <w:rPr>
                <w:rFonts w:hint="eastAsia" w:ascii="宋体" w:hAnsi="宋体" w:eastAsia="宋体" w:cs="宋体"/>
                <w:color w:val="FF0000"/>
              </w:rPr>
            </w:pPr>
          </w:p>
          <w:p w14:paraId="7AA4F1A6">
            <w:pPr>
              <w:keepNext w:val="0"/>
              <w:keepLines w:val="0"/>
              <w:suppressLineNumbers w:val="0"/>
              <w:spacing w:before="0" w:beforeAutospacing="0" w:after="0" w:afterAutospacing="0"/>
              <w:ind w:left="0" w:right="0"/>
              <w:jc w:val="center"/>
              <w:rPr>
                <w:rFonts w:hint="eastAsia" w:ascii="宋体" w:hAnsi="宋体" w:eastAsia="宋体" w:cs="宋体"/>
                <w:color w:val="FF0000"/>
              </w:rPr>
            </w:pPr>
          </w:p>
          <w:p w14:paraId="4BB25F23">
            <w:pPr>
              <w:keepNext w:val="0"/>
              <w:keepLines w:val="0"/>
              <w:suppressLineNumbers w:val="0"/>
              <w:spacing w:before="0" w:beforeAutospacing="0" w:after="0" w:afterAutospacing="0"/>
              <w:ind w:left="0" w:right="0"/>
              <w:jc w:val="center"/>
              <w:rPr>
                <w:rFonts w:hint="eastAsia" w:ascii="宋体" w:hAnsi="宋体" w:eastAsia="宋体" w:cs="宋体"/>
                <w:color w:val="FF0000"/>
              </w:rPr>
            </w:pPr>
          </w:p>
        </w:tc>
      </w:tr>
    </w:tbl>
    <w:p w14:paraId="22083D2F">
      <w:pPr>
        <w:rPr>
          <w:rFonts w:hint="eastAsia" w:ascii="宋体" w:hAnsi="宋体" w:eastAsia="宋体" w:cs="宋体"/>
          <w:color w:val="FF0000"/>
        </w:rPr>
        <w:sectPr>
          <w:pgSz w:w="11906" w:h="16838"/>
          <w:pgMar w:top="1440" w:right="1800" w:bottom="1440" w:left="1800" w:header="851" w:footer="851" w:gutter="0"/>
          <w:pgBorders>
            <w:top w:val="none" w:sz="0" w:space="0"/>
            <w:left w:val="none" w:sz="0" w:space="0"/>
            <w:bottom w:val="none" w:sz="0" w:space="0"/>
            <w:right w:val="none" w:sz="0" w:space="0"/>
          </w:pgBorders>
          <w:cols w:space="720" w:num="1"/>
          <w:docGrid w:linePitch="312" w:charSpace="0"/>
        </w:sectPr>
      </w:pPr>
    </w:p>
    <w:p w14:paraId="4F38D2A4">
      <w:pPr>
        <w:pStyle w:val="2"/>
        <w:rPr>
          <w:rFonts w:hint="eastAsia" w:ascii="宋体" w:hAnsi="宋体" w:cs="宋体"/>
          <w:color w:val="auto"/>
        </w:rPr>
      </w:pPr>
      <w:bookmarkStart w:id="184" w:name="_Toc17650"/>
      <w:r>
        <w:rPr>
          <w:rFonts w:hint="eastAsia" w:ascii="宋体" w:hAnsi="宋体" w:cs="宋体"/>
          <w:color w:val="auto"/>
        </w:rPr>
        <w:t>建设项目污染物排放量汇总表</w:t>
      </w:r>
      <w:bookmarkEnd w:id="184"/>
    </w:p>
    <w:tbl>
      <w:tblPr>
        <w:tblStyle w:val="30"/>
        <w:tblW w:w="1460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76"/>
        <w:gridCol w:w="2116"/>
        <w:gridCol w:w="1175"/>
        <w:gridCol w:w="1415"/>
        <w:gridCol w:w="1550"/>
        <w:gridCol w:w="1807"/>
        <w:gridCol w:w="1311"/>
        <w:gridCol w:w="2100"/>
        <w:gridCol w:w="2156"/>
      </w:tblGrid>
      <w:tr w14:paraId="3AA454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76" w:type="dxa"/>
            <w:tcBorders>
              <w:tl2br w:val="single" w:color="auto" w:sz="4" w:space="0"/>
            </w:tcBorders>
            <w:noWrap w:val="0"/>
            <w:tcMar>
              <w:left w:w="28" w:type="dxa"/>
              <w:right w:w="28" w:type="dxa"/>
            </w:tcMar>
            <w:vAlign w:val="center"/>
          </w:tcPr>
          <w:p w14:paraId="21A9DF45">
            <w:pPr>
              <w:pStyle w:val="57"/>
              <w:keepNext w:val="0"/>
              <w:keepLines w:val="0"/>
              <w:suppressLineNumbers w:val="0"/>
              <w:spacing w:before="0" w:beforeLines="0" w:beforeAutospacing="0" w:after="0" w:afterLines="0" w:afterAutospacing="0" w:line="240" w:lineRule="atLeast"/>
              <w:ind w:left="0" w:right="0" w:firstLine="422"/>
              <w:jc w:val="both"/>
              <w:rPr>
                <w:rFonts w:hint="eastAsia" w:ascii="宋体" w:hAnsi="宋体" w:eastAsia="宋体" w:cs="宋体"/>
                <w:szCs w:val="21"/>
              </w:rPr>
            </w:pPr>
            <w:r>
              <w:rPr>
                <w:rFonts w:hint="eastAsia" w:ascii="宋体" w:hAnsi="宋体" w:eastAsia="宋体" w:cs="宋体"/>
                <w:szCs w:val="21"/>
              </w:rPr>
              <w:t>项目</w:t>
            </w:r>
          </w:p>
          <w:p w14:paraId="69AC61E0">
            <w:pPr>
              <w:pStyle w:val="57"/>
              <w:keepNext w:val="0"/>
              <w:keepLines w:val="0"/>
              <w:suppressLineNumbers w:val="0"/>
              <w:spacing w:before="0" w:beforeLines="0" w:beforeAutospacing="0" w:after="0" w:afterLines="0" w:afterAutospacing="0" w:line="240" w:lineRule="atLeast"/>
              <w:ind w:left="0" w:right="0" w:firstLine="0" w:firstLineChars="0"/>
              <w:jc w:val="both"/>
              <w:rPr>
                <w:rFonts w:hint="eastAsia" w:ascii="宋体" w:hAnsi="宋体" w:eastAsia="宋体" w:cs="宋体"/>
                <w:szCs w:val="21"/>
              </w:rPr>
            </w:pPr>
            <w:r>
              <w:rPr>
                <w:rFonts w:hint="eastAsia" w:ascii="宋体" w:hAnsi="宋体" w:eastAsia="宋体" w:cs="宋体"/>
                <w:szCs w:val="21"/>
              </w:rPr>
              <w:t>分类</w:t>
            </w:r>
          </w:p>
        </w:tc>
        <w:tc>
          <w:tcPr>
            <w:tcW w:w="2116" w:type="dxa"/>
            <w:noWrap w:val="0"/>
            <w:tcMar>
              <w:left w:w="28" w:type="dxa"/>
              <w:right w:w="28" w:type="dxa"/>
            </w:tcMar>
            <w:vAlign w:val="center"/>
          </w:tcPr>
          <w:p w14:paraId="4FCFA962">
            <w:pPr>
              <w:pStyle w:val="57"/>
              <w:keepNext w:val="0"/>
              <w:keepLines w:val="0"/>
              <w:suppressLineNumbers w:val="0"/>
              <w:spacing w:before="0" w:beforeLines="0" w:beforeAutospacing="0" w:after="0" w:afterLines="0" w:afterAutospacing="0" w:line="240" w:lineRule="atLeast"/>
              <w:ind w:left="0" w:right="0" w:firstLine="0" w:firstLineChars="0"/>
              <w:rPr>
                <w:rFonts w:hint="eastAsia" w:ascii="宋体" w:hAnsi="宋体" w:eastAsia="宋体" w:cs="宋体"/>
                <w:szCs w:val="21"/>
              </w:rPr>
            </w:pPr>
            <w:r>
              <w:rPr>
                <w:rFonts w:hint="eastAsia" w:ascii="宋体" w:hAnsi="宋体" w:eastAsia="宋体" w:cs="宋体"/>
                <w:szCs w:val="21"/>
              </w:rPr>
              <w:t>污染物名称</w:t>
            </w:r>
          </w:p>
        </w:tc>
        <w:tc>
          <w:tcPr>
            <w:tcW w:w="1175" w:type="dxa"/>
            <w:noWrap w:val="0"/>
            <w:tcMar>
              <w:left w:w="28" w:type="dxa"/>
              <w:right w:w="28" w:type="dxa"/>
            </w:tcMar>
            <w:vAlign w:val="center"/>
          </w:tcPr>
          <w:p w14:paraId="56BC149F">
            <w:pPr>
              <w:pStyle w:val="57"/>
              <w:keepNext w:val="0"/>
              <w:keepLines w:val="0"/>
              <w:suppressLineNumbers w:val="0"/>
              <w:spacing w:before="0" w:beforeLines="0" w:beforeAutospacing="0" w:after="0" w:afterLines="0" w:afterAutospacing="0" w:line="240" w:lineRule="atLeast"/>
              <w:ind w:left="0" w:right="0" w:firstLine="0" w:firstLineChars="0"/>
              <w:rPr>
                <w:rFonts w:hint="eastAsia" w:ascii="宋体" w:hAnsi="宋体" w:eastAsia="宋体" w:cs="宋体"/>
                <w:szCs w:val="21"/>
              </w:rPr>
            </w:pPr>
            <w:r>
              <w:rPr>
                <w:rFonts w:hint="eastAsia" w:ascii="宋体" w:hAnsi="宋体" w:eastAsia="宋体" w:cs="宋体"/>
                <w:szCs w:val="21"/>
              </w:rPr>
              <w:t>现有工程</w:t>
            </w:r>
          </w:p>
          <w:p w14:paraId="4881BBCB">
            <w:pPr>
              <w:pStyle w:val="57"/>
              <w:keepNext w:val="0"/>
              <w:keepLines w:val="0"/>
              <w:suppressLineNumbers w:val="0"/>
              <w:spacing w:before="0" w:beforeLines="0" w:beforeAutospacing="0" w:after="0" w:afterLines="0" w:afterAutospacing="0" w:line="240" w:lineRule="atLeast"/>
              <w:ind w:left="0" w:right="0" w:firstLine="0" w:firstLineChars="0"/>
              <w:rPr>
                <w:rFonts w:hint="eastAsia" w:ascii="宋体" w:hAnsi="宋体" w:eastAsia="宋体" w:cs="宋体"/>
                <w:szCs w:val="21"/>
              </w:rPr>
            </w:pPr>
            <w:r>
              <w:rPr>
                <w:rFonts w:hint="eastAsia" w:ascii="宋体" w:hAnsi="宋体" w:eastAsia="宋体" w:cs="宋体"/>
                <w:szCs w:val="21"/>
              </w:rPr>
              <w:t>排放量(t/a)</w:t>
            </w:r>
            <w:r>
              <w:rPr>
                <w:rFonts w:hint="eastAsia" w:ascii="宋体" w:hAnsi="宋体" w:eastAsia="宋体" w:cs="宋体"/>
                <w:szCs w:val="21"/>
              </w:rPr>
              <w:fldChar w:fldCharType="begin"/>
            </w:r>
            <w:r>
              <w:rPr>
                <w:rFonts w:hint="eastAsia" w:ascii="宋体" w:hAnsi="宋体" w:eastAsia="宋体" w:cs="宋体"/>
                <w:szCs w:val="21"/>
              </w:rPr>
              <w:instrText xml:space="preserve"> = 1 \* GB3 \* MERGEFORMAT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p>
        </w:tc>
        <w:tc>
          <w:tcPr>
            <w:tcW w:w="1415" w:type="dxa"/>
            <w:noWrap w:val="0"/>
            <w:tcMar>
              <w:left w:w="28" w:type="dxa"/>
              <w:right w:w="28" w:type="dxa"/>
            </w:tcMar>
            <w:vAlign w:val="center"/>
          </w:tcPr>
          <w:p w14:paraId="173ACFC3">
            <w:pPr>
              <w:pStyle w:val="57"/>
              <w:keepNext w:val="0"/>
              <w:keepLines w:val="0"/>
              <w:suppressLineNumbers w:val="0"/>
              <w:spacing w:before="0" w:beforeLines="0" w:beforeAutospacing="0" w:after="0" w:afterLines="0" w:afterAutospacing="0" w:line="240" w:lineRule="atLeast"/>
              <w:ind w:left="0" w:right="0" w:firstLine="0" w:firstLineChars="0"/>
              <w:rPr>
                <w:rFonts w:hint="eastAsia" w:ascii="宋体" w:hAnsi="宋体" w:eastAsia="宋体" w:cs="宋体"/>
                <w:szCs w:val="21"/>
              </w:rPr>
            </w:pPr>
            <w:r>
              <w:rPr>
                <w:rFonts w:hint="eastAsia" w:ascii="宋体" w:hAnsi="宋体" w:eastAsia="宋体" w:cs="宋体"/>
                <w:szCs w:val="21"/>
              </w:rPr>
              <w:t>现有工程</w:t>
            </w:r>
          </w:p>
          <w:p w14:paraId="743A5706">
            <w:pPr>
              <w:pStyle w:val="57"/>
              <w:keepNext w:val="0"/>
              <w:keepLines w:val="0"/>
              <w:suppressLineNumbers w:val="0"/>
              <w:spacing w:before="0" w:beforeLines="0" w:beforeAutospacing="0" w:after="0" w:afterLines="0" w:afterAutospacing="0" w:line="240" w:lineRule="atLeast"/>
              <w:ind w:left="0" w:right="0" w:firstLine="0" w:firstLineChars="0"/>
              <w:rPr>
                <w:rFonts w:hint="eastAsia" w:ascii="宋体" w:hAnsi="宋体" w:eastAsia="宋体" w:cs="宋体"/>
                <w:szCs w:val="21"/>
              </w:rPr>
            </w:pPr>
            <w:r>
              <w:rPr>
                <w:rFonts w:hint="eastAsia" w:ascii="宋体" w:hAnsi="宋体" w:eastAsia="宋体" w:cs="宋体"/>
                <w:szCs w:val="21"/>
              </w:rPr>
              <w:t>许可排放量(t/a)</w:t>
            </w:r>
            <w:r>
              <w:rPr>
                <w:rFonts w:hint="eastAsia" w:ascii="宋体" w:hAnsi="宋体" w:eastAsia="宋体" w:cs="宋体"/>
                <w:szCs w:val="21"/>
              </w:rPr>
              <w:fldChar w:fldCharType="begin"/>
            </w:r>
            <w:r>
              <w:rPr>
                <w:rFonts w:hint="eastAsia" w:ascii="宋体" w:hAnsi="宋体" w:eastAsia="宋体" w:cs="宋体"/>
                <w:szCs w:val="21"/>
              </w:rPr>
              <w:instrText xml:space="preserve"> = 2 \* GB3 \* MERGEFORMAT </w:instrText>
            </w:r>
            <w:r>
              <w:rPr>
                <w:rFonts w:hint="eastAsia" w:ascii="宋体" w:hAnsi="宋体" w:eastAsia="宋体" w:cs="宋体"/>
                <w:szCs w:val="21"/>
              </w:rPr>
              <w:fldChar w:fldCharType="separate"/>
            </w:r>
            <w:r>
              <w:rPr>
                <w:rFonts w:hint="eastAsia" w:ascii="宋体" w:hAnsi="宋体" w:eastAsia="宋体" w:cs="宋体"/>
                <w:szCs w:val="21"/>
              </w:rPr>
              <w:t>②</w:t>
            </w:r>
            <w:r>
              <w:rPr>
                <w:rFonts w:hint="eastAsia" w:ascii="宋体" w:hAnsi="宋体" w:eastAsia="宋体" w:cs="宋体"/>
                <w:szCs w:val="21"/>
              </w:rPr>
              <w:fldChar w:fldCharType="end"/>
            </w:r>
          </w:p>
        </w:tc>
        <w:tc>
          <w:tcPr>
            <w:tcW w:w="1550" w:type="dxa"/>
            <w:noWrap w:val="0"/>
            <w:tcMar>
              <w:left w:w="28" w:type="dxa"/>
              <w:right w:w="28" w:type="dxa"/>
            </w:tcMar>
            <w:vAlign w:val="center"/>
          </w:tcPr>
          <w:p w14:paraId="203FA948">
            <w:pPr>
              <w:pStyle w:val="57"/>
              <w:keepNext w:val="0"/>
              <w:keepLines w:val="0"/>
              <w:suppressLineNumbers w:val="0"/>
              <w:spacing w:before="0" w:beforeLines="0" w:beforeAutospacing="0" w:after="0" w:afterLines="0" w:afterAutospacing="0" w:line="240" w:lineRule="atLeast"/>
              <w:ind w:left="0" w:right="0" w:firstLine="0" w:firstLineChars="0"/>
              <w:rPr>
                <w:rFonts w:hint="eastAsia" w:ascii="宋体" w:hAnsi="宋体" w:eastAsia="宋体" w:cs="宋体"/>
                <w:szCs w:val="21"/>
              </w:rPr>
            </w:pPr>
            <w:r>
              <w:rPr>
                <w:rFonts w:hint="eastAsia" w:ascii="宋体" w:hAnsi="宋体" w:eastAsia="宋体" w:cs="宋体"/>
                <w:szCs w:val="21"/>
              </w:rPr>
              <w:t>在建工程</w:t>
            </w:r>
          </w:p>
          <w:p w14:paraId="356ABFED">
            <w:pPr>
              <w:pStyle w:val="57"/>
              <w:keepNext w:val="0"/>
              <w:keepLines w:val="0"/>
              <w:suppressLineNumbers w:val="0"/>
              <w:spacing w:before="0" w:beforeLines="0" w:beforeAutospacing="0" w:after="0" w:afterLines="0" w:afterAutospacing="0" w:line="240" w:lineRule="atLeast"/>
              <w:ind w:left="0" w:right="0" w:firstLine="0" w:firstLineChars="0"/>
              <w:rPr>
                <w:rFonts w:hint="eastAsia" w:ascii="宋体" w:hAnsi="宋体" w:eastAsia="宋体" w:cs="宋体"/>
                <w:szCs w:val="21"/>
              </w:rPr>
            </w:pPr>
            <w:r>
              <w:rPr>
                <w:rFonts w:hint="eastAsia" w:ascii="宋体" w:hAnsi="宋体" w:eastAsia="宋体" w:cs="宋体"/>
                <w:szCs w:val="21"/>
              </w:rPr>
              <w:t>排放量(t/a)</w:t>
            </w:r>
            <w:r>
              <w:rPr>
                <w:rFonts w:hint="eastAsia" w:ascii="宋体" w:hAnsi="宋体" w:eastAsia="宋体" w:cs="宋体"/>
                <w:szCs w:val="21"/>
              </w:rPr>
              <w:fldChar w:fldCharType="begin"/>
            </w:r>
            <w:r>
              <w:rPr>
                <w:rFonts w:hint="eastAsia" w:ascii="宋体" w:hAnsi="宋体" w:eastAsia="宋体" w:cs="宋体"/>
                <w:szCs w:val="21"/>
              </w:rPr>
              <w:instrText xml:space="preserve"> = 3 \* GB3 \* MERGEFORMAT </w:instrText>
            </w:r>
            <w:r>
              <w:rPr>
                <w:rFonts w:hint="eastAsia" w:ascii="宋体" w:hAnsi="宋体" w:eastAsia="宋体" w:cs="宋体"/>
                <w:szCs w:val="21"/>
              </w:rPr>
              <w:fldChar w:fldCharType="separate"/>
            </w:r>
            <w:r>
              <w:rPr>
                <w:rFonts w:hint="eastAsia" w:ascii="宋体" w:hAnsi="宋体" w:eastAsia="宋体" w:cs="宋体"/>
                <w:szCs w:val="21"/>
              </w:rPr>
              <w:t>③</w:t>
            </w:r>
            <w:r>
              <w:rPr>
                <w:rFonts w:hint="eastAsia" w:ascii="宋体" w:hAnsi="宋体" w:eastAsia="宋体" w:cs="宋体"/>
                <w:szCs w:val="21"/>
              </w:rPr>
              <w:fldChar w:fldCharType="end"/>
            </w:r>
          </w:p>
        </w:tc>
        <w:tc>
          <w:tcPr>
            <w:tcW w:w="1807" w:type="dxa"/>
            <w:noWrap w:val="0"/>
            <w:tcMar>
              <w:left w:w="28" w:type="dxa"/>
              <w:right w:w="28" w:type="dxa"/>
            </w:tcMar>
            <w:vAlign w:val="center"/>
          </w:tcPr>
          <w:p w14:paraId="131A435A">
            <w:pPr>
              <w:pStyle w:val="57"/>
              <w:keepNext w:val="0"/>
              <w:keepLines w:val="0"/>
              <w:suppressLineNumbers w:val="0"/>
              <w:spacing w:before="0" w:beforeLines="0" w:beforeAutospacing="0" w:after="0" w:afterLines="0" w:afterAutospacing="0" w:line="240" w:lineRule="atLeast"/>
              <w:ind w:left="0" w:right="0" w:firstLine="0" w:firstLineChars="0"/>
              <w:rPr>
                <w:rFonts w:hint="eastAsia" w:ascii="宋体" w:hAnsi="宋体" w:eastAsia="宋体" w:cs="宋体"/>
                <w:szCs w:val="21"/>
              </w:rPr>
            </w:pPr>
            <w:r>
              <w:rPr>
                <w:rFonts w:hint="eastAsia" w:ascii="宋体" w:hAnsi="宋体" w:eastAsia="宋体" w:cs="宋体"/>
                <w:szCs w:val="21"/>
              </w:rPr>
              <w:t>本项目排放量(t/a)（固体废物产生量）</w:t>
            </w:r>
            <w:r>
              <w:rPr>
                <w:rFonts w:hint="eastAsia" w:ascii="宋体" w:hAnsi="宋体" w:eastAsia="宋体" w:cs="宋体"/>
                <w:szCs w:val="21"/>
              </w:rPr>
              <w:fldChar w:fldCharType="begin"/>
            </w:r>
            <w:r>
              <w:rPr>
                <w:rFonts w:hint="eastAsia" w:ascii="宋体" w:hAnsi="宋体" w:eastAsia="宋体" w:cs="宋体"/>
                <w:szCs w:val="21"/>
              </w:rPr>
              <w:instrText xml:space="preserve"> = 4 \* GB3 \* MERGEFORMAT </w:instrText>
            </w:r>
            <w:r>
              <w:rPr>
                <w:rFonts w:hint="eastAsia" w:ascii="宋体" w:hAnsi="宋体" w:eastAsia="宋体" w:cs="宋体"/>
                <w:szCs w:val="21"/>
              </w:rPr>
              <w:fldChar w:fldCharType="separate"/>
            </w:r>
            <w:r>
              <w:rPr>
                <w:rFonts w:hint="eastAsia" w:ascii="宋体" w:hAnsi="宋体" w:eastAsia="宋体" w:cs="宋体"/>
                <w:szCs w:val="21"/>
              </w:rPr>
              <w:t>④</w:t>
            </w:r>
            <w:r>
              <w:rPr>
                <w:rFonts w:hint="eastAsia" w:ascii="宋体" w:hAnsi="宋体" w:eastAsia="宋体" w:cs="宋体"/>
                <w:szCs w:val="21"/>
              </w:rPr>
              <w:fldChar w:fldCharType="end"/>
            </w:r>
          </w:p>
        </w:tc>
        <w:tc>
          <w:tcPr>
            <w:tcW w:w="1311" w:type="dxa"/>
            <w:noWrap w:val="0"/>
            <w:tcMar>
              <w:left w:w="28" w:type="dxa"/>
              <w:right w:w="28" w:type="dxa"/>
            </w:tcMar>
            <w:vAlign w:val="center"/>
          </w:tcPr>
          <w:p w14:paraId="14591180">
            <w:pPr>
              <w:pStyle w:val="57"/>
              <w:keepNext w:val="0"/>
              <w:keepLines w:val="0"/>
              <w:suppressLineNumbers w:val="0"/>
              <w:spacing w:before="0" w:beforeLines="0" w:beforeAutospacing="0" w:after="0" w:afterLines="0" w:afterAutospacing="0" w:line="240" w:lineRule="atLeast"/>
              <w:ind w:left="0" w:right="0" w:firstLine="0" w:firstLineChars="0"/>
              <w:rPr>
                <w:rFonts w:hint="eastAsia" w:ascii="宋体" w:hAnsi="宋体" w:eastAsia="宋体" w:cs="宋体"/>
                <w:szCs w:val="21"/>
              </w:rPr>
            </w:pPr>
            <w:r>
              <w:rPr>
                <w:rFonts w:hint="eastAsia" w:ascii="宋体" w:hAnsi="宋体" w:eastAsia="宋体" w:cs="宋体"/>
                <w:szCs w:val="21"/>
              </w:rPr>
              <w:t>以新带老削减量（新建项目不填）</w:t>
            </w:r>
            <w:r>
              <w:rPr>
                <w:rFonts w:hint="eastAsia" w:ascii="宋体" w:hAnsi="宋体" w:eastAsia="宋体" w:cs="宋体"/>
                <w:szCs w:val="21"/>
              </w:rPr>
              <w:fldChar w:fldCharType="begin"/>
            </w:r>
            <w:r>
              <w:rPr>
                <w:rFonts w:hint="eastAsia" w:ascii="宋体" w:hAnsi="宋体" w:eastAsia="宋体" w:cs="宋体"/>
                <w:szCs w:val="21"/>
              </w:rPr>
              <w:instrText xml:space="preserve"> = 5 \* GB3 \* MERGEFORMAT </w:instrText>
            </w:r>
            <w:r>
              <w:rPr>
                <w:rFonts w:hint="eastAsia" w:ascii="宋体" w:hAnsi="宋体" w:eastAsia="宋体" w:cs="宋体"/>
                <w:szCs w:val="21"/>
              </w:rPr>
              <w:fldChar w:fldCharType="separate"/>
            </w:r>
            <w:r>
              <w:rPr>
                <w:rFonts w:hint="eastAsia" w:ascii="宋体" w:hAnsi="宋体" w:eastAsia="宋体" w:cs="宋体"/>
                <w:szCs w:val="21"/>
              </w:rPr>
              <w:t>⑤</w:t>
            </w:r>
            <w:r>
              <w:rPr>
                <w:rFonts w:hint="eastAsia" w:ascii="宋体" w:hAnsi="宋体" w:eastAsia="宋体" w:cs="宋体"/>
                <w:szCs w:val="21"/>
              </w:rPr>
              <w:fldChar w:fldCharType="end"/>
            </w:r>
          </w:p>
        </w:tc>
        <w:tc>
          <w:tcPr>
            <w:tcW w:w="2100" w:type="dxa"/>
            <w:noWrap w:val="0"/>
            <w:tcMar>
              <w:left w:w="28" w:type="dxa"/>
              <w:right w:w="28" w:type="dxa"/>
            </w:tcMar>
            <w:vAlign w:val="center"/>
          </w:tcPr>
          <w:p w14:paraId="34733EC1">
            <w:pPr>
              <w:pStyle w:val="57"/>
              <w:keepNext w:val="0"/>
              <w:keepLines w:val="0"/>
              <w:suppressLineNumbers w:val="0"/>
              <w:spacing w:before="0" w:beforeLines="0" w:beforeAutospacing="0" w:after="0" w:afterLines="0" w:afterAutospacing="0" w:line="240" w:lineRule="atLeast"/>
              <w:ind w:left="0" w:right="0" w:firstLine="0" w:firstLineChars="0"/>
              <w:rPr>
                <w:rFonts w:hint="eastAsia" w:ascii="宋体" w:hAnsi="宋体" w:eastAsia="宋体" w:cs="宋体"/>
                <w:szCs w:val="21"/>
              </w:rPr>
            </w:pPr>
            <w:r>
              <w:rPr>
                <w:rFonts w:hint="eastAsia" w:ascii="宋体" w:hAnsi="宋体" w:eastAsia="宋体" w:cs="宋体"/>
                <w:szCs w:val="21"/>
              </w:rPr>
              <w:t>本项目建成后</w:t>
            </w:r>
          </w:p>
          <w:p w14:paraId="2E66F42D">
            <w:pPr>
              <w:pStyle w:val="57"/>
              <w:keepNext w:val="0"/>
              <w:keepLines w:val="0"/>
              <w:suppressLineNumbers w:val="0"/>
              <w:spacing w:before="0" w:beforeLines="0" w:beforeAutospacing="0" w:after="0" w:afterLines="0" w:afterAutospacing="0" w:line="240" w:lineRule="atLeast"/>
              <w:ind w:left="0" w:right="0" w:firstLine="0" w:firstLineChars="0"/>
              <w:rPr>
                <w:rFonts w:hint="eastAsia" w:ascii="宋体" w:hAnsi="宋体" w:eastAsia="宋体" w:cs="宋体"/>
                <w:szCs w:val="21"/>
              </w:rPr>
            </w:pPr>
            <w:r>
              <w:rPr>
                <w:rFonts w:hint="eastAsia" w:ascii="宋体" w:hAnsi="宋体" w:eastAsia="宋体" w:cs="宋体"/>
                <w:szCs w:val="21"/>
              </w:rPr>
              <w:t>全厂排放量(t/a)（固体废物产生量）</w:t>
            </w:r>
            <w:r>
              <w:rPr>
                <w:rFonts w:hint="eastAsia" w:ascii="宋体" w:hAnsi="宋体" w:eastAsia="宋体" w:cs="宋体"/>
                <w:szCs w:val="21"/>
              </w:rPr>
              <w:fldChar w:fldCharType="begin"/>
            </w:r>
            <w:r>
              <w:rPr>
                <w:rFonts w:hint="eastAsia" w:ascii="宋体" w:hAnsi="宋体" w:eastAsia="宋体" w:cs="宋体"/>
                <w:szCs w:val="21"/>
              </w:rPr>
              <w:instrText xml:space="preserve"> = 6 \* GB3 \* MERGEFORMAT </w:instrText>
            </w:r>
            <w:r>
              <w:rPr>
                <w:rFonts w:hint="eastAsia" w:ascii="宋体" w:hAnsi="宋体" w:eastAsia="宋体" w:cs="宋体"/>
                <w:szCs w:val="21"/>
              </w:rPr>
              <w:fldChar w:fldCharType="separate"/>
            </w:r>
            <w:r>
              <w:rPr>
                <w:rFonts w:hint="eastAsia" w:ascii="宋体" w:hAnsi="宋体" w:eastAsia="宋体" w:cs="宋体"/>
                <w:szCs w:val="21"/>
              </w:rPr>
              <w:t>⑥</w:t>
            </w:r>
            <w:r>
              <w:rPr>
                <w:rFonts w:hint="eastAsia" w:ascii="宋体" w:hAnsi="宋体" w:eastAsia="宋体" w:cs="宋体"/>
                <w:szCs w:val="21"/>
              </w:rPr>
              <w:fldChar w:fldCharType="end"/>
            </w:r>
          </w:p>
        </w:tc>
        <w:tc>
          <w:tcPr>
            <w:tcW w:w="2156" w:type="dxa"/>
            <w:noWrap w:val="0"/>
            <w:tcMar>
              <w:left w:w="28" w:type="dxa"/>
              <w:right w:w="28" w:type="dxa"/>
            </w:tcMar>
            <w:vAlign w:val="center"/>
          </w:tcPr>
          <w:p w14:paraId="720353FE">
            <w:pPr>
              <w:pStyle w:val="57"/>
              <w:keepNext w:val="0"/>
              <w:keepLines w:val="0"/>
              <w:suppressLineNumbers w:val="0"/>
              <w:spacing w:before="0" w:beforeLines="0" w:beforeAutospacing="0" w:after="0" w:afterLines="0" w:afterAutospacing="0" w:line="240" w:lineRule="atLeast"/>
              <w:ind w:left="0" w:right="0" w:firstLine="0" w:firstLineChars="0"/>
              <w:rPr>
                <w:rFonts w:hint="eastAsia" w:ascii="宋体" w:hAnsi="宋体" w:eastAsia="宋体" w:cs="宋体"/>
                <w:szCs w:val="21"/>
              </w:rPr>
            </w:pPr>
            <w:r>
              <w:rPr>
                <w:rFonts w:hint="eastAsia" w:ascii="宋体" w:hAnsi="宋体" w:eastAsia="宋体" w:cs="宋体"/>
                <w:szCs w:val="21"/>
              </w:rPr>
              <w:t>变化量(t/a)</w:t>
            </w:r>
          </w:p>
          <w:p w14:paraId="1571C5D9">
            <w:pPr>
              <w:pStyle w:val="57"/>
              <w:keepNext w:val="0"/>
              <w:keepLines w:val="0"/>
              <w:suppressLineNumbers w:val="0"/>
              <w:spacing w:before="0" w:beforeLines="0" w:beforeAutospacing="0" w:after="0" w:afterLines="0" w:afterAutospacing="0" w:line="240" w:lineRule="atLeast"/>
              <w:ind w:left="0" w:right="0" w:firstLine="0" w:firstLineChars="0"/>
              <w:rPr>
                <w:rFonts w:hint="eastAsia" w:ascii="宋体" w:hAnsi="宋体" w:eastAsia="宋体" w:cs="宋体"/>
                <w:szCs w:val="21"/>
              </w:rPr>
            </w:pPr>
            <w:r>
              <w:rPr>
                <w:rFonts w:hint="eastAsia" w:ascii="宋体" w:hAnsi="宋体" w:eastAsia="宋体" w:cs="宋体"/>
                <w:szCs w:val="21"/>
              </w:rPr>
              <w:fldChar w:fldCharType="begin"/>
            </w:r>
            <w:r>
              <w:rPr>
                <w:rFonts w:hint="eastAsia" w:ascii="宋体" w:hAnsi="宋体" w:eastAsia="宋体" w:cs="宋体"/>
                <w:szCs w:val="21"/>
              </w:rPr>
              <w:instrText xml:space="preserve"> = 7 \* GB3 \* MERGEFORMAT </w:instrText>
            </w:r>
            <w:r>
              <w:rPr>
                <w:rFonts w:hint="eastAsia" w:ascii="宋体" w:hAnsi="宋体" w:eastAsia="宋体" w:cs="宋体"/>
                <w:szCs w:val="21"/>
              </w:rPr>
              <w:fldChar w:fldCharType="separate"/>
            </w:r>
            <w:r>
              <w:rPr>
                <w:rFonts w:hint="eastAsia" w:ascii="宋体" w:hAnsi="宋体" w:eastAsia="宋体" w:cs="宋体"/>
                <w:szCs w:val="21"/>
              </w:rPr>
              <w:t>⑦</w:t>
            </w:r>
            <w:r>
              <w:rPr>
                <w:rFonts w:hint="eastAsia" w:ascii="宋体" w:hAnsi="宋体" w:eastAsia="宋体" w:cs="宋体"/>
                <w:szCs w:val="21"/>
              </w:rPr>
              <w:fldChar w:fldCharType="end"/>
            </w:r>
          </w:p>
        </w:tc>
      </w:tr>
      <w:tr w14:paraId="0425AC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976" w:type="dxa"/>
            <w:vMerge w:val="restart"/>
            <w:noWrap w:val="0"/>
            <w:vAlign w:val="center"/>
          </w:tcPr>
          <w:p w14:paraId="5B43D5EC">
            <w:pPr>
              <w:pStyle w:val="13"/>
              <w:keepNext w:val="0"/>
              <w:keepLines w:val="0"/>
              <w:suppressLineNumbers w:val="0"/>
              <w:snapToGrid w:val="0"/>
              <w:spacing w:before="0" w:beforeAutospacing="0" w:after="0" w:afterAutospacing="0" w:line="240" w:lineRule="atLeast"/>
              <w:ind w:left="0" w:right="0" w:firstLine="0" w:firstLineChars="0"/>
              <w:rPr>
                <w:rFonts w:hint="eastAsia" w:ascii="宋体" w:hAnsi="宋体" w:eastAsia="宋体" w:cs="宋体"/>
                <w:szCs w:val="21"/>
              </w:rPr>
            </w:pPr>
            <w:r>
              <w:rPr>
                <w:rFonts w:hint="eastAsia" w:ascii="宋体" w:hAnsi="宋体" w:eastAsia="宋体" w:cs="宋体"/>
                <w:szCs w:val="21"/>
              </w:rPr>
              <w:t>废气</w:t>
            </w:r>
          </w:p>
        </w:tc>
        <w:tc>
          <w:tcPr>
            <w:tcW w:w="2116" w:type="dxa"/>
            <w:noWrap w:val="0"/>
            <w:vAlign w:val="center"/>
          </w:tcPr>
          <w:p w14:paraId="3C992F21">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颗粒物（</w:t>
            </w:r>
            <w:r>
              <w:rPr>
                <w:rFonts w:hint="eastAsia" w:ascii="宋体" w:hAnsi="宋体" w:eastAsia="宋体" w:cs="宋体"/>
                <w:sz w:val="21"/>
                <w:szCs w:val="21"/>
                <w:lang w:eastAsia="zh-CN"/>
              </w:rPr>
              <w:t>有</w:t>
            </w:r>
            <w:r>
              <w:rPr>
                <w:rFonts w:hint="eastAsia" w:ascii="宋体" w:hAnsi="宋体" w:eastAsia="宋体" w:cs="宋体"/>
                <w:sz w:val="21"/>
                <w:szCs w:val="21"/>
              </w:rPr>
              <w:t>组织）</w:t>
            </w:r>
          </w:p>
        </w:tc>
        <w:tc>
          <w:tcPr>
            <w:tcW w:w="1175" w:type="dxa"/>
            <w:noWrap w:val="0"/>
            <w:vAlign w:val="center"/>
          </w:tcPr>
          <w:p w14:paraId="10F13D7F">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sz w:val="21"/>
                <w:szCs w:val="21"/>
              </w:rPr>
            </w:pPr>
            <w:r>
              <w:rPr>
                <w:rFonts w:hint="eastAsia" w:ascii="宋体" w:hAnsi="宋体" w:eastAsia="宋体" w:cs="宋体"/>
                <w:sz w:val="21"/>
                <w:szCs w:val="21"/>
              </w:rPr>
              <w:t>0</w:t>
            </w:r>
          </w:p>
        </w:tc>
        <w:tc>
          <w:tcPr>
            <w:tcW w:w="1415" w:type="dxa"/>
            <w:noWrap w:val="0"/>
            <w:vAlign w:val="center"/>
          </w:tcPr>
          <w:p w14:paraId="69C7E245">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sz w:val="21"/>
                <w:szCs w:val="21"/>
              </w:rPr>
            </w:pPr>
            <w:r>
              <w:rPr>
                <w:rFonts w:hint="eastAsia" w:ascii="宋体" w:hAnsi="宋体" w:eastAsia="宋体" w:cs="宋体"/>
                <w:sz w:val="21"/>
                <w:szCs w:val="21"/>
              </w:rPr>
              <w:t>0</w:t>
            </w:r>
          </w:p>
        </w:tc>
        <w:tc>
          <w:tcPr>
            <w:tcW w:w="1550" w:type="dxa"/>
            <w:noWrap w:val="0"/>
            <w:vAlign w:val="center"/>
          </w:tcPr>
          <w:p w14:paraId="6109E618">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sz w:val="21"/>
                <w:szCs w:val="21"/>
              </w:rPr>
            </w:pPr>
            <w:r>
              <w:rPr>
                <w:rFonts w:hint="eastAsia" w:ascii="宋体" w:hAnsi="宋体" w:eastAsia="宋体" w:cs="宋体"/>
                <w:sz w:val="21"/>
                <w:szCs w:val="21"/>
              </w:rPr>
              <w:t>0</w:t>
            </w:r>
          </w:p>
        </w:tc>
        <w:tc>
          <w:tcPr>
            <w:tcW w:w="1807" w:type="dxa"/>
            <w:noWrap w:val="0"/>
            <w:vAlign w:val="center"/>
          </w:tcPr>
          <w:p w14:paraId="6CABBB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0.526</w:t>
            </w:r>
          </w:p>
        </w:tc>
        <w:tc>
          <w:tcPr>
            <w:tcW w:w="1311" w:type="dxa"/>
            <w:noWrap w:val="0"/>
            <w:vAlign w:val="center"/>
          </w:tcPr>
          <w:p w14:paraId="63C7A37E">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sz w:val="21"/>
                <w:szCs w:val="21"/>
              </w:rPr>
            </w:pPr>
            <w:r>
              <w:rPr>
                <w:rFonts w:hint="eastAsia" w:ascii="宋体" w:hAnsi="宋体" w:eastAsia="宋体" w:cs="宋体"/>
                <w:sz w:val="21"/>
                <w:szCs w:val="21"/>
              </w:rPr>
              <w:t>0</w:t>
            </w:r>
          </w:p>
        </w:tc>
        <w:tc>
          <w:tcPr>
            <w:tcW w:w="2100" w:type="dxa"/>
            <w:noWrap w:val="0"/>
            <w:vAlign w:val="center"/>
          </w:tcPr>
          <w:p w14:paraId="5548D5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0.526</w:t>
            </w:r>
          </w:p>
        </w:tc>
        <w:tc>
          <w:tcPr>
            <w:tcW w:w="2156" w:type="dxa"/>
            <w:noWrap w:val="0"/>
            <w:vAlign w:val="center"/>
          </w:tcPr>
          <w:p w14:paraId="1C05A5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+0.526</w:t>
            </w:r>
          </w:p>
        </w:tc>
      </w:tr>
      <w:tr w14:paraId="492A3F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976" w:type="dxa"/>
            <w:vMerge w:val="continue"/>
            <w:noWrap w:val="0"/>
            <w:vAlign w:val="center"/>
          </w:tcPr>
          <w:p w14:paraId="39AA1EBF">
            <w:pPr>
              <w:pStyle w:val="13"/>
              <w:keepNext w:val="0"/>
              <w:keepLines w:val="0"/>
              <w:suppressLineNumbers w:val="0"/>
              <w:snapToGrid w:val="0"/>
              <w:spacing w:before="0" w:beforeAutospacing="0" w:after="0" w:afterAutospacing="0" w:line="240" w:lineRule="atLeast"/>
              <w:ind w:left="0" w:right="0" w:firstLine="0" w:firstLineChars="0"/>
              <w:rPr>
                <w:rFonts w:hint="eastAsia" w:ascii="宋体" w:hAnsi="宋体" w:eastAsia="宋体" w:cs="宋体"/>
                <w:szCs w:val="21"/>
              </w:rPr>
            </w:pPr>
          </w:p>
        </w:tc>
        <w:tc>
          <w:tcPr>
            <w:tcW w:w="2116" w:type="dxa"/>
            <w:noWrap w:val="0"/>
            <w:vAlign w:val="center"/>
          </w:tcPr>
          <w:p w14:paraId="149C0DDD">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非甲烷总烃</w:t>
            </w:r>
            <w:r>
              <w:rPr>
                <w:rFonts w:hint="eastAsia" w:ascii="宋体" w:hAnsi="宋体" w:eastAsia="宋体" w:cs="宋体"/>
                <w:sz w:val="21"/>
                <w:szCs w:val="21"/>
              </w:rPr>
              <w:t>（</w:t>
            </w:r>
            <w:r>
              <w:rPr>
                <w:rFonts w:hint="eastAsia" w:ascii="宋体" w:hAnsi="宋体" w:eastAsia="宋体" w:cs="宋体"/>
                <w:sz w:val="21"/>
                <w:szCs w:val="21"/>
                <w:lang w:eastAsia="zh-CN"/>
              </w:rPr>
              <w:t>有</w:t>
            </w:r>
            <w:r>
              <w:rPr>
                <w:rFonts w:hint="eastAsia" w:ascii="宋体" w:hAnsi="宋体" w:eastAsia="宋体" w:cs="宋体"/>
                <w:sz w:val="21"/>
                <w:szCs w:val="21"/>
              </w:rPr>
              <w:t>组织）</w:t>
            </w:r>
          </w:p>
        </w:tc>
        <w:tc>
          <w:tcPr>
            <w:tcW w:w="1175" w:type="dxa"/>
            <w:noWrap w:val="0"/>
            <w:vAlign w:val="center"/>
          </w:tcPr>
          <w:p w14:paraId="438EFB6B">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kern w:val="2"/>
                <w:sz w:val="21"/>
                <w:szCs w:val="21"/>
                <w:lang w:val="en-US" w:eastAsia="zh-CN" w:bidi="ar-SA"/>
              </w:rPr>
            </w:pPr>
            <w:r>
              <w:rPr>
                <w:rFonts w:hint="eastAsia" w:ascii="宋体" w:hAnsi="宋体" w:eastAsia="宋体" w:cs="宋体"/>
                <w:sz w:val="21"/>
                <w:szCs w:val="21"/>
              </w:rPr>
              <w:t>0</w:t>
            </w:r>
          </w:p>
        </w:tc>
        <w:tc>
          <w:tcPr>
            <w:tcW w:w="1415" w:type="dxa"/>
            <w:noWrap w:val="0"/>
            <w:vAlign w:val="center"/>
          </w:tcPr>
          <w:p w14:paraId="0B71D873">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kern w:val="2"/>
                <w:sz w:val="21"/>
                <w:szCs w:val="21"/>
                <w:lang w:val="en-US" w:eastAsia="zh-CN" w:bidi="ar-SA"/>
              </w:rPr>
            </w:pPr>
            <w:r>
              <w:rPr>
                <w:rFonts w:hint="eastAsia" w:ascii="宋体" w:hAnsi="宋体" w:eastAsia="宋体" w:cs="宋体"/>
                <w:sz w:val="21"/>
                <w:szCs w:val="21"/>
              </w:rPr>
              <w:t>0</w:t>
            </w:r>
          </w:p>
        </w:tc>
        <w:tc>
          <w:tcPr>
            <w:tcW w:w="1550" w:type="dxa"/>
            <w:noWrap w:val="0"/>
            <w:vAlign w:val="center"/>
          </w:tcPr>
          <w:p w14:paraId="05B38B2D">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kern w:val="2"/>
                <w:sz w:val="21"/>
                <w:szCs w:val="21"/>
                <w:lang w:val="en-US" w:eastAsia="zh-CN" w:bidi="ar-SA"/>
              </w:rPr>
            </w:pPr>
            <w:r>
              <w:rPr>
                <w:rFonts w:hint="eastAsia" w:ascii="宋体" w:hAnsi="宋体" w:eastAsia="宋体" w:cs="宋体"/>
                <w:sz w:val="21"/>
                <w:szCs w:val="21"/>
              </w:rPr>
              <w:t>0</w:t>
            </w:r>
          </w:p>
        </w:tc>
        <w:tc>
          <w:tcPr>
            <w:tcW w:w="1807" w:type="dxa"/>
            <w:noWrap w:val="0"/>
            <w:vAlign w:val="center"/>
          </w:tcPr>
          <w:p w14:paraId="1A4938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0.002</w:t>
            </w:r>
          </w:p>
        </w:tc>
        <w:tc>
          <w:tcPr>
            <w:tcW w:w="1311" w:type="dxa"/>
            <w:noWrap w:val="0"/>
            <w:vAlign w:val="center"/>
          </w:tcPr>
          <w:p w14:paraId="227FD9A2">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sz w:val="21"/>
                <w:szCs w:val="21"/>
              </w:rPr>
            </w:pPr>
            <w:r>
              <w:rPr>
                <w:rFonts w:hint="eastAsia" w:ascii="宋体" w:hAnsi="宋体" w:eastAsia="宋体" w:cs="宋体"/>
                <w:sz w:val="21"/>
                <w:szCs w:val="21"/>
                <w:lang w:val="en-US" w:eastAsia="zh-CN"/>
              </w:rPr>
              <w:t>0</w:t>
            </w:r>
          </w:p>
        </w:tc>
        <w:tc>
          <w:tcPr>
            <w:tcW w:w="2100" w:type="dxa"/>
            <w:noWrap w:val="0"/>
            <w:vAlign w:val="center"/>
          </w:tcPr>
          <w:p w14:paraId="7447D0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0.002</w:t>
            </w:r>
          </w:p>
        </w:tc>
        <w:tc>
          <w:tcPr>
            <w:tcW w:w="2156" w:type="dxa"/>
            <w:noWrap w:val="0"/>
            <w:vAlign w:val="center"/>
          </w:tcPr>
          <w:p w14:paraId="6C30A8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+0.002</w:t>
            </w:r>
          </w:p>
        </w:tc>
      </w:tr>
      <w:tr w14:paraId="43385E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976" w:type="dxa"/>
            <w:vMerge w:val="continue"/>
            <w:noWrap w:val="0"/>
            <w:vAlign w:val="center"/>
          </w:tcPr>
          <w:p w14:paraId="5E34F366">
            <w:pPr>
              <w:pStyle w:val="13"/>
              <w:keepNext w:val="0"/>
              <w:keepLines w:val="0"/>
              <w:suppressLineNumbers w:val="0"/>
              <w:snapToGrid w:val="0"/>
              <w:spacing w:before="0" w:beforeAutospacing="0" w:after="0" w:afterAutospacing="0" w:line="240" w:lineRule="atLeast"/>
              <w:ind w:left="0" w:right="0" w:firstLine="0" w:firstLineChars="0"/>
              <w:rPr>
                <w:rFonts w:hint="eastAsia" w:ascii="宋体" w:hAnsi="宋体" w:eastAsia="宋体" w:cs="宋体"/>
                <w:szCs w:val="21"/>
              </w:rPr>
            </w:pPr>
          </w:p>
        </w:tc>
        <w:tc>
          <w:tcPr>
            <w:tcW w:w="2116" w:type="dxa"/>
            <w:noWrap w:val="0"/>
            <w:vAlign w:val="center"/>
          </w:tcPr>
          <w:p w14:paraId="3678AD53">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二氧化硫</w:t>
            </w:r>
            <w:r>
              <w:rPr>
                <w:rFonts w:hint="eastAsia" w:ascii="宋体" w:hAnsi="宋体" w:eastAsia="宋体" w:cs="宋体"/>
                <w:sz w:val="21"/>
                <w:szCs w:val="21"/>
              </w:rPr>
              <w:t>（</w:t>
            </w:r>
            <w:r>
              <w:rPr>
                <w:rFonts w:hint="eastAsia" w:ascii="宋体" w:hAnsi="宋体" w:eastAsia="宋体" w:cs="宋体"/>
                <w:sz w:val="21"/>
                <w:szCs w:val="21"/>
                <w:lang w:eastAsia="zh-CN"/>
              </w:rPr>
              <w:t>有</w:t>
            </w:r>
            <w:r>
              <w:rPr>
                <w:rFonts w:hint="eastAsia" w:ascii="宋体" w:hAnsi="宋体" w:eastAsia="宋体" w:cs="宋体"/>
                <w:sz w:val="21"/>
                <w:szCs w:val="21"/>
              </w:rPr>
              <w:t>组织）</w:t>
            </w:r>
          </w:p>
        </w:tc>
        <w:tc>
          <w:tcPr>
            <w:tcW w:w="1175" w:type="dxa"/>
            <w:noWrap w:val="0"/>
            <w:vAlign w:val="center"/>
          </w:tcPr>
          <w:p w14:paraId="49432B0E">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kern w:val="2"/>
                <w:sz w:val="21"/>
                <w:szCs w:val="21"/>
                <w:lang w:val="en-US" w:eastAsia="zh-CN" w:bidi="ar-SA"/>
              </w:rPr>
            </w:pPr>
            <w:r>
              <w:rPr>
                <w:rFonts w:hint="eastAsia" w:ascii="宋体" w:hAnsi="宋体" w:eastAsia="宋体" w:cs="宋体"/>
                <w:sz w:val="21"/>
                <w:szCs w:val="21"/>
              </w:rPr>
              <w:t>0</w:t>
            </w:r>
          </w:p>
        </w:tc>
        <w:tc>
          <w:tcPr>
            <w:tcW w:w="1415" w:type="dxa"/>
            <w:noWrap w:val="0"/>
            <w:vAlign w:val="center"/>
          </w:tcPr>
          <w:p w14:paraId="106E47BC">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kern w:val="2"/>
                <w:sz w:val="21"/>
                <w:szCs w:val="21"/>
                <w:lang w:val="en-US" w:eastAsia="zh-CN" w:bidi="ar-SA"/>
              </w:rPr>
            </w:pPr>
            <w:r>
              <w:rPr>
                <w:rFonts w:hint="eastAsia" w:ascii="宋体" w:hAnsi="宋体" w:eastAsia="宋体" w:cs="宋体"/>
                <w:sz w:val="21"/>
                <w:szCs w:val="21"/>
              </w:rPr>
              <w:t>0</w:t>
            </w:r>
          </w:p>
        </w:tc>
        <w:tc>
          <w:tcPr>
            <w:tcW w:w="1550" w:type="dxa"/>
            <w:noWrap w:val="0"/>
            <w:vAlign w:val="center"/>
          </w:tcPr>
          <w:p w14:paraId="29516C70">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kern w:val="2"/>
                <w:sz w:val="21"/>
                <w:szCs w:val="21"/>
                <w:lang w:val="en-US" w:eastAsia="zh-CN" w:bidi="ar-SA"/>
              </w:rPr>
            </w:pPr>
            <w:r>
              <w:rPr>
                <w:rFonts w:hint="eastAsia" w:ascii="宋体" w:hAnsi="宋体" w:eastAsia="宋体" w:cs="宋体"/>
                <w:sz w:val="21"/>
                <w:szCs w:val="21"/>
              </w:rPr>
              <w:t>0</w:t>
            </w:r>
          </w:p>
        </w:tc>
        <w:tc>
          <w:tcPr>
            <w:tcW w:w="1807" w:type="dxa"/>
            <w:noWrap w:val="0"/>
            <w:vAlign w:val="center"/>
          </w:tcPr>
          <w:p w14:paraId="0B80F0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0.02</w:t>
            </w:r>
          </w:p>
        </w:tc>
        <w:tc>
          <w:tcPr>
            <w:tcW w:w="1311" w:type="dxa"/>
            <w:noWrap w:val="0"/>
            <w:vAlign w:val="center"/>
          </w:tcPr>
          <w:p w14:paraId="7ADE746D">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sz w:val="21"/>
                <w:szCs w:val="21"/>
              </w:rPr>
            </w:pPr>
            <w:r>
              <w:rPr>
                <w:rFonts w:hint="eastAsia" w:ascii="宋体" w:hAnsi="宋体" w:eastAsia="宋体" w:cs="宋体"/>
                <w:sz w:val="21"/>
                <w:szCs w:val="21"/>
                <w:lang w:val="en-US" w:eastAsia="zh-CN"/>
              </w:rPr>
              <w:t>0</w:t>
            </w:r>
          </w:p>
        </w:tc>
        <w:tc>
          <w:tcPr>
            <w:tcW w:w="2100" w:type="dxa"/>
            <w:noWrap w:val="0"/>
            <w:vAlign w:val="center"/>
          </w:tcPr>
          <w:p w14:paraId="4087D4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0.02</w:t>
            </w:r>
          </w:p>
        </w:tc>
        <w:tc>
          <w:tcPr>
            <w:tcW w:w="2156" w:type="dxa"/>
            <w:noWrap w:val="0"/>
            <w:vAlign w:val="center"/>
          </w:tcPr>
          <w:p w14:paraId="4294F6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+0.02</w:t>
            </w:r>
          </w:p>
        </w:tc>
      </w:tr>
      <w:tr w14:paraId="0E2981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976" w:type="dxa"/>
            <w:vMerge w:val="continue"/>
            <w:noWrap w:val="0"/>
            <w:vAlign w:val="center"/>
          </w:tcPr>
          <w:p w14:paraId="1284B90A">
            <w:pPr>
              <w:pStyle w:val="13"/>
              <w:keepNext w:val="0"/>
              <w:keepLines w:val="0"/>
              <w:suppressLineNumbers w:val="0"/>
              <w:snapToGrid w:val="0"/>
              <w:spacing w:before="0" w:beforeAutospacing="0" w:after="0" w:afterAutospacing="0" w:line="240" w:lineRule="atLeast"/>
              <w:ind w:left="0" w:right="0" w:firstLine="0" w:firstLineChars="0"/>
              <w:rPr>
                <w:rFonts w:hint="eastAsia" w:ascii="宋体" w:hAnsi="宋体" w:eastAsia="宋体" w:cs="宋体"/>
                <w:szCs w:val="21"/>
              </w:rPr>
            </w:pPr>
          </w:p>
        </w:tc>
        <w:tc>
          <w:tcPr>
            <w:tcW w:w="2116" w:type="dxa"/>
            <w:noWrap w:val="0"/>
            <w:vAlign w:val="center"/>
          </w:tcPr>
          <w:p w14:paraId="4C7D775C">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氮氧化物</w:t>
            </w:r>
            <w:r>
              <w:rPr>
                <w:rFonts w:hint="eastAsia" w:ascii="宋体" w:hAnsi="宋体" w:eastAsia="宋体" w:cs="宋体"/>
                <w:sz w:val="21"/>
                <w:szCs w:val="21"/>
              </w:rPr>
              <w:t>（</w:t>
            </w:r>
            <w:r>
              <w:rPr>
                <w:rFonts w:hint="eastAsia" w:ascii="宋体" w:hAnsi="宋体" w:eastAsia="宋体" w:cs="宋体"/>
                <w:sz w:val="21"/>
                <w:szCs w:val="21"/>
                <w:lang w:eastAsia="zh-CN"/>
              </w:rPr>
              <w:t>有</w:t>
            </w:r>
            <w:r>
              <w:rPr>
                <w:rFonts w:hint="eastAsia" w:ascii="宋体" w:hAnsi="宋体" w:eastAsia="宋体" w:cs="宋体"/>
                <w:sz w:val="21"/>
                <w:szCs w:val="21"/>
              </w:rPr>
              <w:t>组织）</w:t>
            </w:r>
          </w:p>
        </w:tc>
        <w:tc>
          <w:tcPr>
            <w:tcW w:w="1175" w:type="dxa"/>
            <w:noWrap w:val="0"/>
            <w:vAlign w:val="center"/>
          </w:tcPr>
          <w:p w14:paraId="7AAA498B">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kern w:val="2"/>
                <w:sz w:val="21"/>
                <w:szCs w:val="21"/>
                <w:lang w:val="en-US" w:eastAsia="zh-CN" w:bidi="ar-SA"/>
              </w:rPr>
            </w:pPr>
            <w:r>
              <w:rPr>
                <w:rFonts w:hint="eastAsia" w:ascii="宋体" w:hAnsi="宋体" w:eastAsia="宋体" w:cs="宋体"/>
                <w:sz w:val="21"/>
                <w:szCs w:val="21"/>
              </w:rPr>
              <w:t>0</w:t>
            </w:r>
          </w:p>
        </w:tc>
        <w:tc>
          <w:tcPr>
            <w:tcW w:w="1415" w:type="dxa"/>
            <w:noWrap w:val="0"/>
            <w:vAlign w:val="center"/>
          </w:tcPr>
          <w:p w14:paraId="6CEA635D">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kern w:val="2"/>
                <w:sz w:val="21"/>
                <w:szCs w:val="21"/>
                <w:lang w:val="en-US" w:eastAsia="zh-CN" w:bidi="ar-SA"/>
              </w:rPr>
            </w:pPr>
            <w:r>
              <w:rPr>
                <w:rFonts w:hint="eastAsia" w:ascii="宋体" w:hAnsi="宋体" w:eastAsia="宋体" w:cs="宋体"/>
                <w:sz w:val="21"/>
                <w:szCs w:val="21"/>
              </w:rPr>
              <w:t>0</w:t>
            </w:r>
          </w:p>
        </w:tc>
        <w:tc>
          <w:tcPr>
            <w:tcW w:w="1550" w:type="dxa"/>
            <w:noWrap w:val="0"/>
            <w:vAlign w:val="center"/>
          </w:tcPr>
          <w:p w14:paraId="236EB79B">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kern w:val="2"/>
                <w:sz w:val="21"/>
                <w:szCs w:val="21"/>
                <w:lang w:val="en-US" w:eastAsia="zh-CN" w:bidi="ar-SA"/>
              </w:rPr>
            </w:pPr>
            <w:r>
              <w:rPr>
                <w:rFonts w:hint="eastAsia" w:ascii="宋体" w:hAnsi="宋体" w:eastAsia="宋体" w:cs="宋体"/>
                <w:sz w:val="21"/>
                <w:szCs w:val="21"/>
              </w:rPr>
              <w:t>0</w:t>
            </w:r>
          </w:p>
        </w:tc>
        <w:tc>
          <w:tcPr>
            <w:tcW w:w="1807" w:type="dxa"/>
            <w:noWrap w:val="0"/>
            <w:vAlign w:val="center"/>
          </w:tcPr>
          <w:p w14:paraId="448562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0.187</w:t>
            </w:r>
          </w:p>
        </w:tc>
        <w:tc>
          <w:tcPr>
            <w:tcW w:w="1311" w:type="dxa"/>
            <w:noWrap w:val="0"/>
            <w:vAlign w:val="center"/>
          </w:tcPr>
          <w:p w14:paraId="661931C1">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sz w:val="21"/>
                <w:szCs w:val="21"/>
              </w:rPr>
            </w:pPr>
            <w:r>
              <w:rPr>
                <w:rFonts w:hint="eastAsia" w:ascii="宋体" w:hAnsi="宋体" w:eastAsia="宋体" w:cs="宋体"/>
                <w:sz w:val="21"/>
                <w:szCs w:val="21"/>
                <w:lang w:val="en-US" w:eastAsia="zh-CN"/>
              </w:rPr>
              <w:t>0</w:t>
            </w:r>
          </w:p>
        </w:tc>
        <w:tc>
          <w:tcPr>
            <w:tcW w:w="2100" w:type="dxa"/>
            <w:noWrap w:val="0"/>
            <w:vAlign w:val="center"/>
          </w:tcPr>
          <w:p w14:paraId="693CE6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0.187</w:t>
            </w:r>
          </w:p>
        </w:tc>
        <w:tc>
          <w:tcPr>
            <w:tcW w:w="2156" w:type="dxa"/>
            <w:noWrap w:val="0"/>
            <w:vAlign w:val="center"/>
          </w:tcPr>
          <w:p w14:paraId="07AF6A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+0.187</w:t>
            </w:r>
          </w:p>
        </w:tc>
      </w:tr>
      <w:tr w14:paraId="670AF3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976" w:type="dxa"/>
            <w:vMerge w:val="continue"/>
            <w:noWrap w:val="0"/>
            <w:vAlign w:val="center"/>
          </w:tcPr>
          <w:p w14:paraId="619E70F6">
            <w:pPr>
              <w:pStyle w:val="13"/>
              <w:keepNext w:val="0"/>
              <w:keepLines w:val="0"/>
              <w:suppressLineNumbers w:val="0"/>
              <w:snapToGrid w:val="0"/>
              <w:spacing w:before="0" w:beforeAutospacing="0" w:after="0" w:afterAutospacing="0" w:line="240" w:lineRule="atLeast"/>
              <w:ind w:left="0" w:right="0" w:firstLine="0" w:firstLineChars="0"/>
              <w:rPr>
                <w:rFonts w:hint="eastAsia" w:ascii="宋体" w:hAnsi="宋体" w:eastAsia="宋体" w:cs="宋体"/>
                <w:szCs w:val="21"/>
              </w:rPr>
            </w:pPr>
          </w:p>
        </w:tc>
        <w:tc>
          <w:tcPr>
            <w:tcW w:w="2116" w:type="dxa"/>
            <w:noWrap w:val="0"/>
            <w:vAlign w:val="center"/>
          </w:tcPr>
          <w:p w14:paraId="0EC2C25B">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eastAsia="zh-CN"/>
              </w:rPr>
            </w:pPr>
            <w:r>
              <w:rPr>
                <w:rFonts w:hint="eastAsia" w:ascii="宋体" w:hAnsi="宋体" w:eastAsia="宋体" w:cs="宋体"/>
                <w:sz w:val="21"/>
                <w:szCs w:val="21"/>
              </w:rPr>
              <w:t>颗粒物（</w:t>
            </w:r>
            <w:r>
              <w:rPr>
                <w:rFonts w:hint="eastAsia" w:ascii="宋体" w:hAnsi="宋体" w:eastAsia="宋体" w:cs="宋体"/>
                <w:sz w:val="21"/>
                <w:szCs w:val="21"/>
                <w:lang w:eastAsia="zh-CN"/>
              </w:rPr>
              <w:t>无</w:t>
            </w:r>
            <w:r>
              <w:rPr>
                <w:rFonts w:hint="eastAsia" w:ascii="宋体" w:hAnsi="宋体" w:eastAsia="宋体" w:cs="宋体"/>
                <w:sz w:val="21"/>
                <w:szCs w:val="21"/>
              </w:rPr>
              <w:t>组织）</w:t>
            </w:r>
          </w:p>
        </w:tc>
        <w:tc>
          <w:tcPr>
            <w:tcW w:w="1175" w:type="dxa"/>
            <w:noWrap w:val="0"/>
            <w:vAlign w:val="center"/>
          </w:tcPr>
          <w:p w14:paraId="045FF8D9">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kern w:val="2"/>
                <w:sz w:val="21"/>
                <w:szCs w:val="21"/>
                <w:lang w:val="en-US" w:eastAsia="zh-CN" w:bidi="ar-SA"/>
              </w:rPr>
            </w:pPr>
            <w:r>
              <w:rPr>
                <w:rFonts w:hint="eastAsia" w:ascii="宋体" w:hAnsi="宋体" w:eastAsia="宋体" w:cs="宋体"/>
                <w:sz w:val="21"/>
                <w:szCs w:val="21"/>
              </w:rPr>
              <w:t>0</w:t>
            </w:r>
          </w:p>
        </w:tc>
        <w:tc>
          <w:tcPr>
            <w:tcW w:w="1415" w:type="dxa"/>
            <w:noWrap w:val="0"/>
            <w:vAlign w:val="center"/>
          </w:tcPr>
          <w:p w14:paraId="36E14CA6">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kern w:val="2"/>
                <w:sz w:val="21"/>
                <w:szCs w:val="21"/>
                <w:lang w:val="en-US" w:eastAsia="zh-CN" w:bidi="ar-SA"/>
              </w:rPr>
            </w:pPr>
            <w:r>
              <w:rPr>
                <w:rFonts w:hint="eastAsia" w:ascii="宋体" w:hAnsi="宋体" w:eastAsia="宋体" w:cs="宋体"/>
                <w:sz w:val="21"/>
                <w:szCs w:val="21"/>
              </w:rPr>
              <w:t>0</w:t>
            </w:r>
          </w:p>
        </w:tc>
        <w:tc>
          <w:tcPr>
            <w:tcW w:w="1550" w:type="dxa"/>
            <w:noWrap w:val="0"/>
            <w:vAlign w:val="center"/>
          </w:tcPr>
          <w:p w14:paraId="1F0E2EE3">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kern w:val="2"/>
                <w:sz w:val="21"/>
                <w:szCs w:val="21"/>
                <w:lang w:val="en-US" w:eastAsia="zh-CN" w:bidi="ar-SA"/>
              </w:rPr>
            </w:pPr>
            <w:r>
              <w:rPr>
                <w:rFonts w:hint="eastAsia" w:ascii="宋体" w:hAnsi="宋体" w:eastAsia="宋体" w:cs="宋体"/>
                <w:sz w:val="21"/>
                <w:szCs w:val="21"/>
              </w:rPr>
              <w:t>0</w:t>
            </w:r>
          </w:p>
        </w:tc>
        <w:tc>
          <w:tcPr>
            <w:tcW w:w="1807" w:type="dxa"/>
            <w:noWrap w:val="0"/>
            <w:vAlign w:val="center"/>
          </w:tcPr>
          <w:p w14:paraId="3F229D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color w:val="auto"/>
                <w:kern w:val="2"/>
                <w:sz w:val="21"/>
                <w:szCs w:val="21"/>
                <w:lang w:val="en-US" w:eastAsia="zh-CN" w:bidi="zh-CN"/>
              </w:rPr>
              <w:t>0.524</w:t>
            </w:r>
          </w:p>
        </w:tc>
        <w:tc>
          <w:tcPr>
            <w:tcW w:w="1311" w:type="dxa"/>
            <w:noWrap w:val="0"/>
            <w:vAlign w:val="center"/>
          </w:tcPr>
          <w:p w14:paraId="3097B948">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w:t>
            </w:r>
          </w:p>
        </w:tc>
        <w:tc>
          <w:tcPr>
            <w:tcW w:w="2100" w:type="dxa"/>
            <w:noWrap w:val="0"/>
            <w:vAlign w:val="center"/>
          </w:tcPr>
          <w:p w14:paraId="739D4D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color w:val="auto"/>
                <w:kern w:val="2"/>
                <w:sz w:val="21"/>
                <w:szCs w:val="21"/>
                <w:lang w:val="en-US" w:eastAsia="zh-CN" w:bidi="zh-CN"/>
              </w:rPr>
              <w:t>0.524</w:t>
            </w:r>
          </w:p>
        </w:tc>
        <w:tc>
          <w:tcPr>
            <w:tcW w:w="2156" w:type="dxa"/>
            <w:noWrap w:val="0"/>
            <w:vAlign w:val="center"/>
          </w:tcPr>
          <w:p w14:paraId="6A89CB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color w:val="auto"/>
                <w:kern w:val="2"/>
                <w:sz w:val="21"/>
                <w:szCs w:val="21"/>
                <w:lang w:val="en-US" w:eastAsia="zh-CN" w:bidi="zh-CN"/>
              </w:rPr>
              <w:t>+0.524</w:t>
            </w:r>
          </w:p>
        </w:tc>
      </w:tr>
      <w:tr w14:paraId="19E15F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976" w:type="dxa"/>
            <w:vMerge w:val="continue"/>
            <w:noWrap w:val="0"/>
            <w:vAlign w:val="center"/>
          </w:tcPr>
          <w:p w14:paraId="37FED53D">
            <w:pPr>
              <w:pStyle w:val="13"/>
              <w:keepNext w:val="0"/>
              <w:keepLines w:val="0"/>
              <w:suppressLineNumbers w:val="0"/>
              <w:snapToGrid w:val="0"/>
              <w:spacing w:before="0" w:beforeAutospacing="0" w:after="0" w:afterAutospacing="0" w:line="240" w:lineRule="atLeast"/>
              <w:ind w:left="0" w:right="0" w:firstLine="0" w:firstLineChars="0"/>
              <w:rPr>
                <w:rFonts w:hint="eastAsia" w:ascii="宋体" w:hAnsi="宋体" w:eastAsia="宋体" w:cs="宋体"/>
                <w:szCs w:val="21"/>
              </w:rPr>
            </w:pPr>
          </w:p>
        </w:tc>
        <w:tc>
          <w:tcPr>
            <w:tcW w:w="2116" w:type="dxa"/>
            <w:noWrap w:val="0"/>
            <w:vAlign w:val="center"/>
          </w:tcPr>
          <w:p w14:paraId="14DC8F07">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非甲烷总烃</w:t>
            </w:r>
            <w:r>
              <w:rPr>
                <w:rFonts w:hint="eastAsia" w:ascii="宋体" w:hAnsi="宋体" w:eastAsia="宋体" w:cs="宋体"/>
                <w:sz w:val="21"/>
                <w:szCs w:val="21"/>
              </w:rPr>
              <w:t>（</w:t>
            </w:r>
            <w:r>
              <w:rPr>
                <w:rFonts w:hint="eastAsia" w:ascii="宋体" w:hAnsi="宋体" w:eastAsia="宋体" w:cs="宋体"/>
                <w:sz w:val="21"/>
                <w:szCs w:val="21"/>
                <w:lang w:eastAsia="zh-CN"/>
              </w:rPr>
              <w:t>无</w:t>
            </w:r>
            <w:r>
              <w:rPr>
                <w:rFonts w:hint="eastAsia" w:ascii="宋体" w:hAnsi="宋体" w:eastAsia="宋体" w:cs="宋体"/>
                <w:sz w:val="21"/>
                <w:szCs w:val="21"/>
              </w:rPr>
              <w:t>组织）</w:t>
            </w:r>
          </w:p>
        </w:tc>
        <w:tc>
          <w:tcPr>
            <w:tcW w:w="1175" w:type="dxa"/>
            <w:noWrap w:val="0"/>
            <w:vAlign w:val="center"/>
          </w:tcPr>
          <w:p w14:paraId="30A5DA32">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kern w:val="2"/>
                <w:sz w:val="21"/>
                <w:szCs w:val="21"/>
                <w:lang w:val="en-US" w:eastAsia="zh-CN" w:bidi="ar-SA"/>
              </w:rPr>
            </w:pPr>
            <w:r>
              <w:rPr>
                <w:rFonts w:hint="eastAsia" w:ascii="宋体" w:hAnsi="宋体" w:eastAsia="宋体" w:cs="宋体"/>
                <w:sz w:val="21"/>
                <w:szCs w:val="21"/>
              </w:rPr>
              <w:t>0</w:t>
            </w:r>
          </w:p>
        </w:tc>
        <w:tc>
          <w:tcPr>
            <w:tcW w:w="1415" w:type="dxa"/>
            <w:noWrap w:val="0"/>
            <w:vAlign w:val="center"/>
          </w:tcPr>
          <w:p w14:paraId="27318AF1">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kern w:val="2"/>
                <w:sz w:val="21"/>
                <w:szCs w:val="21"/>
                <w:lang w:val="en-US" w:eastAsia="zh-CN" w:bidi="ar-SA"/>
              </w:rPr>
            </w:pPr>
            <w:r>
              <w:rPr>
                <w:rFonts w:hint="eastAsia" w:ascii="宋体" w:hAnsi="宋体" w:eastAsia="宋体" w:cs="宋体"/>
                <w:sz w:val="21"/>
                <w:szCs w:val="21"/>
              </w:rPr>
              <w:t>0</w:t>
            </w:r>
          </w:p>
        </w:tc>
        <w:tc>
          <w:tcPr>
            <w:tcW w:w="1550" w:type="dxa"/>
            <w:noWrap w:val="0"/>
            <w:vAlign w:val="center"/>
          </w:tcPr>
          <w:p w14:paraId="20B2AA0C">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kern w:val="2"/>
                <w:sz w:val="21"/>
                <w:szCs w:val="21"/>
                <w:lang w:val="en-US" w:eastAsia="zh-CN" w:bidi="ar-SA"/>
              </w:rPr>
            </w:pPr>
            <w:r>
              <w:rPr>
                <w:rFonts w:hint="eastAsia" w:ascii="宋体" w:hAnsi="宋体" w:eastAsia="宋体" w:cs="宋体"/>
                <w:sz w:val="21"/>
                <w:szCs w:val="21"/>
              </w:rPr>
              <w:t>0</w:t>
            </w:r>
          </w:p>
        </w:tc>
        <w:tc>
          <w:tcPr>
            <w:tcW w:w="1807" w:type="dxa"/>
            <w:noWrap w:val="0"/>
            <w:vAlign w:val="center"/>
          </w:tcPr>
          <w:p w14:paraId="529221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default" w:ascii="宋体" w:hAnsi="宋体" w:eastAsia="宋体" w:cs="宋体"/>
                <w:kern w:val="0"/>
                <w:sz w:val="21"/>
                <w:szCs w:val="21"/>
                <w:lang w:val="en-US" w:eastAsia="zh-CN" w:bidi="ar-SA"/>
              </w:rPr>
            </w:pPr>
            <w:r>
              <w:rPr>
                <w:rFonts w:hint="eastAsia" w:ascii="宋体" w:hAnsi="宋体" w:eastAsia="宋体" w:cs="宋体"/>
                <w:color w:val="auto"/>
                <w:kern w:val="2"/>
                <w:sz w:val="21"/>
                <w:szCs w:val="21"/>
                <w:lang w:val="en-US" w:eastAsia="zh-CN" w:bidi="zh-CN"/>
              </w:rPr>
              <w:t>0.002</w:t>
            </w:r>
          </w:p>
        </w:tc>
        <w:tc>
          <w:tcPr>
            <w:tcW w:w="1311" w:type="dxa"/>
            <w:noWrap w:val="0"/>
            <w:vAlign w:val="center"/>
          </w:tcPr>
          <w:p w14:paraId="6D382BD2">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w:t>
            </w:r>
          </w:p>
        </w:tc>
        <w:tc>
          <w:tcPr>
            <w:tcW w:w="2100" w:type="dxa"/>
            <w:noWrap w:val="0"/>
            <w:vAlign w:val="center"/>
          </w:tcPr>
          <w:p w14:paraId="55D9E4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color w:val="auto"/>
                <w:kern w:val="2"/>
                <w:sz w:val="21"/>
                <w:szCs w:val="21"/>
                <w:lang w:val="en-US" w:eastAsia="zh-CN" w:bidi="zh-CN"/>
              </w:rPr>
              <w:t>0.002</w:t>
            </w:r>
          </w:p>
        </w:tc>
        <w:tc>
          <w:tcPr>
            <w:tcW w:w="2156" w:type="dxa"/>
            <w:noWrap w:val="0"/>
            <w:vAlign w:val="center"/>
          </w:tcPr>
          <w:p w14:paraId="574970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color w:val="auto"/>
                <w:kern w:val="2"/>
                <w:sz w:val="21"/>
                <w:szCs w:val="21"/>
                <w:lang w:val="en-US" w:eastAsia="zh-CN" w:bidi="zh-CN"/>
              </w:rPr>
              <w:t>+0.002</w:t>
            </w:r>
          </w:p>
        </w:tc>
      </w:tr>
      <w:tr w14:paraId="0CB019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976" w:type="dxa"/>
            <w:vMerge w:val="restart"/>
            <w:noWrap w:val="0"/>
            <w:vAlign w:val="center"/>
          </w:tcPr>
          <w:p w14:paraId="1F9FCE7C">
            <w:pPr>
              <w:pStyle w:val="13"/>
              <w:keepNext w:val="0"/>
              <w:keepLines w:val="0"/>
              <w:suppressLineNumbers w:val="0"/>
              <w:snapToGrid w:val="0"/>
              <w:spacing w:before="0" w:beforeAutospacing="0" w:after="0" w:afterAutospacing="0" w:line="240" w:lineRule="atLeast"/>
              <w:ind w:left="0" w:right="0" w:firstLine="0" w:firstLineChars="0"/>
              <w:rPr>
                <w:rFonts w:hint="eastAsia" w:ascii="宋体" w:hAnsi="宋体" w:eastAsia="宋体" w:cs="宋体"/>
                <w:szCs w:val="21"/>
              </w:rPr>
            </w:pPr>
            <w:r>
              <w:rPr>
                <w:rFonts w:hint="eastAsia" w:ascii="宋体" w:hAnsi="宋体" w:eastAsia="宋体" w:cs="宋体"/>
                <w:szCs w:val="21"/>
              </w:rPr>
              <w:t>废水</w:t>
            </w:r>
          </w:p>
        </w:tc>
        <w:tc>
          <w:tcPr>
            <w:tcW w:w="2116" w:type="dxa"/>
            <w:noWrap w:val="0"/>
            <w:vAlign w:val="center"/>
          </w:tcPr>
          <w:p w14:paraId="5FA0A6E4">
            <w:pPr>
              <w:pStyle w:val="13"/>
              <w:keepNext w:val="0"/>
              <w:keepLines w:val="0"/>
              <w:suppressLineNumbers w:val="0"/>
              <w:snapToGrid w:val="0"/>
              <w:spacing w:before="0" w:beforeAutospacing="0" w:after="0" w:afterAutospacing="0" w:line="240" w:lineRule="atLeast"/>
              <w:ind w:left="0" w:right="0" w:firstLine="0" w:firstLineChars="0"/>
              <w:rPr>
                <w:rFonts w:hint="eastAsia" w:ascii="宋体" w:hAnsi="宋体" w:eastAsia="宋体" w:cs="宋体"/>
                <w:szCs w:val="21"/>
              </w:rPr>
            </w:pPr>
            <w:r>
              <w:rPr>
                <w:rFonts w:hint="eastAsia" w:ascii="宋体" w:hAnsi="宋体" w:eastAsia="宋体" w:cs="宋体"/>
                <w:szCs w:val="21"/>
              </w:rPr>
              <w:t>水量</w:t>
            </w:r>
          </w:p>
        </w:tc>
        <w:tc>
          <w:tcPr>
            <w:tcW w:w="1175" w:type="dxa"/>
            <w:noWrap w:val="0"/>
            <w:vAlign w:val="center"/>
          </w:tcPr>
          <w:p w14:paraId="7BC80A9F">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sz w:val="21"/>
                <w:szCs w:val="21"/>
              </w:rPr>
            </w:pPr>
            <w:r>
              <w:rPr>
                <w:rFonts w:hint="eastAsia" w:ascii="宋体" w:hAnsi="宋体" w:eastAsia="宋体" w:cs="宋体"/>
                <w:sz w:val="21"/>
                <w:szCs w:val="21"/>
              </w:rPr>
              <w:t>0</w:t>
            </w:r>
          </w:p>
        </w:tc>
        <w:tc>
          <w:tcPr>
            <w:tcW w:w="1415" w:type="dxa"/>
            <w:noWrap w:val="0"/>
            <w:vAlign w:val="center"/>
          </w:tcPr>
          <w:p w14:paraId="539F6F34">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sz w:val="21"/>
                <w:szCs w:val="21"/>
              </w:rPr>
            </w:pPr>
            <w:r>
              <w:rPr>
                <w:rFonts w:hint="eastAsia" w:ascii="宋体" w:hAnsi="宋体" w:eastAsia="宋体" w:cs="宋体"/>
                <w:sz w:val="21"/>
                <w:szCs w:val="21"/>
              </w:rPr>
              <w:t>0</w:t>
            </w:r>
          </w:p>
        </w:tc>
        <w:tc>
          <w:tcPr>
            <w:tcW w:w="1550" w:type="dxa"/>
            <w:noWrap w:val="0"/>
            <w:vAlign w:val="center"/>
          </w:tcPr>
          <w:p w14:paraId="5CC74D02">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sz w:val="21"/>
                <w:szCs w:val="21"/>
              </w:rPr>
            </w:pPr>
            <w:r>
              <w:rPr>
                <w:rFonts w:hint="eastAsia" w:ascii="宋体" w:hAnsi="宋体" w:eastAsia="宋体" w:cs="宋体"/>
                <w:sz w:val="21"/>
                <w:szCs w:val="21"/>
              </w:rPr>
              <w:t>0</w:t>
            </w:r>
          </w:p>
        </w:tc>
        <w:tc>
          <w:tcPr>
            <w:tcW w:w="1807" w:type="dxa"/>
            <w:noWrap w:val="0"/>
            <w:vAlign w:val="center"/>
          </w:tcPr>
          <w:p w14:paraId="5BBE12A9">
            <w:pPr>
              <w:keepNext w:val="0"/>
              <w:keepLines w:val="0"/>
              <w:suppressLineNumbers w:val="0"/>
              <w:adjustRightInd w:val="0"/>
              <w:snapToGrid w:val="0"/>
              <w:spacing w:before="0" w:beforeAutospacing="0" w:after="0" w:afterAutospacing="0" w:line="240" w:lineRule="atLeast"/>
              <w:ind w:left="0" w:righ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1207</w:t>
            </w:r>
          </w:p>
        </w:tc>
        <w:tc>
          <w:tcPr>
            <w:tcW w:w="1311" w:type="dxa"/>
            <w:noWrap w:val="0"/>
            <w:vAlign w:val="center"/>
          </w:tcPr>
          <w:p w14:paraId="08E865C3">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sz w:val="21"/>
                <w:szCs w:val="21"/>
              </w:rPr>
            </w:pPr>
            <w:r>
              <w:rPr>
                <w:rFonts w:hint="eastAsia" w:ascii="宋体" w:hAnsi="宋体" w:eastAsia="宋体" w:cs="宋体"/>
                <w:sz w:val="21"/>
                <w:szCs w:val="21"/>
              </w:rPr>
              <w:t>0</w:t>
            </w:r>
          </w:p>
        </w:tc>
        <w:tc>
          <w:tcPr>
            <w:tcW w:w="2100" w:type="dxa"/>
            <w:noWrap w:val="0"/>
            <w:vAlign w:val="center"/>
          </w:tcPr>
          <w:p w14:paraId="6B5EDE7C">
            <w:pPr>
              <w:keepNext w:val="0"/>
              <w:keepLines w:val="0"/>
              <w:suppressLineNumbers w:val="0"/>
              <w:adjustRightInd w:val="0"/>
              <w:snapToGrid w:val="0"/>
              <w:spacing w:before="0" w:beforeAutospacing="0" w:after="0" w:afterAutospacing="0" w:line="240" w:lineRule="atLeast"/>
              <w:ind w:left="0" w:leftChars="0" w:right="0" w:rightChars="0"/>
              <w:jc w:val="center"/>
              <w:textAlignment w:val="baseline"/>
              <w:rPr>
                <w:rFonts w:hint="default" w:ascii="宋体" w:hAnsi="宋体" w:eastAsia="宋体" w:cs="宋体"/>
                <w:sz w:val="21"/>
                <w:szCs w:val="21"/>
              </w:rPr>
            </w:pPr>
            <w:r>
              <w:rPr>
                <w:rFonts w:hint="eastAsia" w:ascii="宋体" w:hAnsi="宋体" w:eastAsia="宋体" w:cs="宋体"/>
                <w:sz w:val="21"/>
                <w:szCs w:val="21"/>
                <w:lang w:val="en-US" w:eastAsia="zh-CN"/>
              </w:rPr>
              <w:t>1207</w:t>
            </w:r>
          </w:p>
        </w:tc>
        <w:tc>
          <w:tcPr>
            <w:tcW w:w="2156" w:type="dxa"/>
            <w:noWrap w:val="0"/>
            <w:vAlign w:val="center"/>
          </w:tcPr>
          <w:p w14:paraId="6D0BF2F3">
            <w:pPr>
              <w:keepNext w:val="0"/>
              <w:keepLines w:val="0"/>
              <w:suppressLineNumbers w:val="0"/>
              <w:adjustRightInd w:val="0"/>
              <w:snapToGrid w:val="0"/>
              <w:spacing w:before="0" w:beforeAutospacing="0" w:after="0" w:afterAutospacing="0" w:line="240" w:lineRule="atLeast"/>
              <w:ind w:left="0" w:leftChars="0" w:right="0" w:rightChars="0"/>
              <w:jc w:val="center"/>
              <w:textAlignment w:val="baseline"/>
              <w:rPr>
                <w:rFonts w:hint="default" w:ascii="宋体" w:hAnsi="宋体" w:eastAsia="宋体" w:cs="宋体"/>
                <w:sz w:val="21"/>
                <w:szCs w:val="21"/>
              </w:rPr>
            </w:pPr>
            <w:r>
              <w:rPr>
                <w:rFonts w:hint="eastAsia" w:ascii="宋体" w:hAnsi="宋体" w:eastAsia="宋体" w:cs="宋体"/>
                <w:sz w:val="21"/>
                <w:szCs w:val="21"/>
                <w:lang w:val="en-US" w:eastAsia="zh-CN"/>
              </w:rPr>
              <w:t>1207</w:t>
            </w:r>
          </w:p>
        </w:tc>
      </w:tr>
      <w:tr w14:paraId="035B72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1" w:hRule="exact"/>
          <w:jc w:val="center"/>
        </w:trPr>
        <w:tc>
          <w:tcPr>
            <w:tcW w:w="976" w:type="dxa"/>
            <w:vMerge w:val="continue"/>
            <w:noWrap w:val="0"/>
            <w:vAlign w:val="center"/>
          </w:tcPr>
          <w:p w14:paraId="34DBC1A3">
            <w:pPr>
              <w:pStyle w:val="13"/>
              <w:keepNext w:val="0"/>
              <w:keepLines w:val="0"/>
              <w:suppressLineNumbers w:val="0"/>
              <w:snapToGrid w:val="0"/>
              <w:spacing w:before="0" w:beforeAutospacing="0" w:after="0" w:afterAutospacing="0" w:line="240" w:lineRule="atLeast"/>
              <w:ind w:left="0" w:right="0" w:firstLine="420"/>
              <w:rPr>
                <w:rFonts w:hint="eastAsia" w:ascii="宋体" w:hAnsi="宋体" w:eastAsia="宋体" w:cs="宋体"/>
                <w:szCs w:val="21"/>
              </w:rPr>
            </w:pPr>
            <w:bookmarkStart w:id="185" w:name="OLE_LINK1" w:colFirst="5" w:colLast="5"/>
          </w:p>
        </w:tc>
        <w:tc>
          <w:tcPr>
            <w:tcW w:w="2116" w:type="dxa"/>
            <w:noWrap w:val="0"/>
            <w:vAlign w:val="center"/>
          </w:tcPr>
          <w:p w14:paraId="02B52AE2">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sz w:val="21"/>
                <w:szCs w:val="21"/>
              </w:rPr>
            </w:pPr>
            <w:r>
              <w:rPr>
                <w:rFonts w:hint="eastAsia" w:ascii="宋体" w:hAnsi="宋体" w:eastAsia="宋体" w:cs="宋体"/>
                <w:sz w:val="21"/>
                <w:szCs w:val="21"/>
              </w:rPr>
              <w:t>COD</w:t>
            </w:r>
          </w:p>
        </w:tc>
        <w:tc>
          <w:tcPr>
            <w:tcW w:w="1175" w:type="dxa"/>
            <w:noWrap w:val="0"/>
            <w:vAlign w:val="center"/>
          </w:tcPr>
          <w:p w14:paraId="02E1435B">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sz w:val="21"/>
                <w:szCs w:val="21"/>
              </w:rPr>
            </w:pPr>
            <w:r>
              <w:rPr>
                <w:rFonts w:hint="eastAsia" w:ascii="宋体" w:hAnsi="宋体" w:eastAsia="宋体" w:cs="宋体"/>
                <w:sz w:val="21"/>
                <w:szCs w:val="21"/>
              </w:rPr>
              <w:t>0</w:t>
            </w:r>
          </w:p>
        </w:tc>
        <w:tc>
          <w:tcPr>
            <w:tcW w:w="1415" w:type="dxa"/>
            <w:noWrap w:val="0"/>
            <w:vAlign w:val="center"/>
          </w:tcPr>
          <w:p w14:paraId="6C543A23">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sz w:val="21"/>
                <w:szCs w:val="21"/>
              </w:rPr>
            </w:pPr>
            <w:r>
              <w:rPr>
                <w:rFonts w:hint="eastAsia" w:ascii="宋体" w:hAnsi="宋体" w:eastAsia="宋体" w:cs="宋体"/>
                <w:sz w:val="21"/>
                <w:szCs w:val="21"/>
              </w:rPr>
              <w:t>0</w:t>
            </w:r>
          </w:p>
        </w:tc>
        <w:tc>
          <w:tcPr>
            <w:tcW w:w="1550" w:type="dxa"/>
            <w:noWrap w:val="0"/>
            <w:vAlign w:val="center"/>
          </w:tcPr>
          <w:p w14:paraId="788A9CBB">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sz w:val="21"/>
                <w:szCs w:val="21"/>
              </w:rPr>
            </w:pPr>
            <w:r>
              <w:rPr>
                <w:rFonts w:hint="eastAsia" w:ascii="宋体" w:hAnsi="宋体" w:eastAsia="宋体" w:cs="宋体"/>
                <w:sz w:val="21"/>
                <w:szCs w:val="21"/>
              </w:rPr>
              <w:t>0</w:t>
            </w:r>
          </w:p>
        </w:tc>
        <w:tc>
          <w:tcPr>
            <w:tcW w:w="1807" w:type="dxa"/>
            <w:noWrap w:val="0"/>
            <w:vAlign w:val="center"/>
          </w:tcPr>
          <w:p w14:paraId="6D6B5704">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sz w:val="21"/>
                <w:szCs w:val="21"/>
              </w:rPr>
            </w:pPr>
            <w:r>
              <w:rPr>
                <w:rFonts w:hint="eastAsia" w:ascii="宋体" w:hAnsi="宋体" w:eastAsia="宋体" w:cs="宋体"/>
                <w:sz w:val="21"/>
                <w:szCs w:val="21"/>
                <w:lang w:val="en-US" w:eastAsia="zh-CN"/>
              </w:rPr>
              <w:t>0.6</w:t>
            </w:r>
            <w:r>
              <w:rPr>
                <w:rFonts w:hint="eastAsia" w:ascii="宋体" w:hAnsi="宋体" w:eastAsia="宋体" w:cs="宋体"/>
                <w:sz w:val="21"/>
                <w:szCs w:val="21"/>
              </w:rPr>
              <w:t>（0.</w:t>
            </w:r>
            <w:r>
              <w:rPr>
                <w:rFonts w:hint="eastAsia" w:ascii="宋体" w:hAnsi="宋体" w:eastAsia="宋体" w:cs="宋体"/>
                <w:sz w:val="21"/>
                <w:szCs w:val="21"/>
                <w:lang w:val="en-US" w:eastAsia="zh-CN"/>
              </w:rPr>
              <w:t>06</w:t>
            </w:r>
            <w:r>
              <w:rPr>
                <w:rFonts w:hint="eastAsia" w:ascii="宋体" w:hAnsi="宋体" w:eastAsia="宋体" w:cs="宋体"/>
                <w:sz w:val="21"/>
                <w:szCs w:val="21"/>
              </w:rPr>
              <w:t>）</w:t>
            </w:r>
          </w:p>
        </w:tc>
        <w:tc>
          <w:tcPr>
            <w:tcW w:w="1311" w:type="dxa"/>
            <w:noWrap w:val="0"/>
            <w:vAlign w:val="center"/>
          </w:tcPr>
          <w:p w14:paraId="2D007FEF">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sz w:val="21"/>
                <w:szCs w:val="21"/>
              </w:rPr>
            </w:pPr>
            <w:r>
              <w:rPr>
                <w:rFonts w:hint="eastAsia" w:ascii="宋体" w:hAnsi="宋体" w:eastAsia="宋体" w:cs="宋体"/>
                <w:sz w:val="21"/>
                <w:szCs w:val="21"/>
              </w:rPr>
              <w:t>0</w:t>
            </w:r>
          </w:p>
        </w:tc>
        <w:tc>
          <w:tcPr>
            <w:tcW w:w="2100" w:type="dxa"/>
            <w:noWrap w:val="0"/>
            <w:vAlign w:val="center"/>
          </w:tcPr>
          <w:p w14:paraId="4B20DA84">
            <w:pPr>
              <w:keepNext w:val="0"/>
              <w:keepLines w:val="0"/>
              <w:suppressLineNumbers w:val="0"/>
              <w:adjustRightInd w:val="0"/>
              <w:snapToGrid w:val="0"/>
              <w:spacing w:before="0" w:beforeAutospacing="0" w:after="0" w:afterAutospacing="0" w:line="240" w:lineRule="atLeast"/>
              <w:ind w:left="0" w:leftChars="0" w:right="0" w:rightChars="0"/>
              <w:jc w:val="center"/>
              <w:textAlignment w:val="baseline"/>
              <w:rPr>
                <w:rFonts w:hint="eastAsia" w:ascii="宋体" w:hAnsi="宋体" w:eastAsia="宋体" w:cs="宋体"/>
                <w:sz w:val="21"/>
                <w:szCs w:val="21"/>
              </w:rPr>
            </w:pPr>
            <w:r>
              <w:rPr>
                <w:rFonts w:hint="eastAsia" w:ascii="宋体" w:hAnsi="宋体" w:eastAsia="宋体" w:cs="宋体"/>
                <w:sz w:val="21"/>
                <w:szCs w:val="21"/>
                <w:lang w:val="en-US" w:eastAsia="zh-CN"/>
              </w:rPr>
              <w:t>0.6</w:t>
            </w:r>
            <w:r>
              <w:rPr>
                <w:rFonts w:hint="eastAsia" w:ascii="宋体" w:hAnsi="宋体" w:eastAsia="宋体" w:cs="宋体"/>
                <w:sz w:val="21"/>
                <w:szCs w:val="21"/>
              </w:rPr>
              <w:t>（0.</w:t>
            </w:r>
            <w:r>
              <w:rPr>
                <w:rFonts w:hint="eastAsia" w:ascii="宋体" w:hAnsi="宋体" w:eastAsia="宋体" w:cs="宋体"/>
                <w:sz w:val="21"/>
                <w:szCs w:val="21"/>
                <w:lang w:val="en-US" w:eastAsia="zh-CN"/>
              </w:rPr>
              <w:t>06</w:t>
            </w:r>
            <w:r>
              <w:rPr>
                <w:rFonts w:hint="eastAsia" w:ascii="宋体" w:hAnsi="宋体" w:eastAsia="宋体" w:cs="宋体"/>
                <w:sz w:val="21"/>
                <w:szCs w:val="21"/>
              </w:rPr>
              <w:t>）</w:t>
            </w:r>
          </w:p>
        </w:tc>
        <w:tc>
          <w:tcPr>
            <w:tcW w:w="2156" w:type="dxa"/>
            <w:noWrap w:val="0"/>
            <w:vAlign w:val="center"/>
          </w:tcPr>
          <w:p w14:paraId="2DF99600">
            <w:pPr>
              <w:keepNext w:val="0"/>
              <w:keepLines w:val="0"/>
              <w:suppressLineNumbers w:val="0"/>
              <w:adjustRightInd w:val="0"/>
              <w:snapToGrid w:val="0"/>
              <w:spacing w:before="0" w:beforeAutospacing="0" w:after="0" w:afterAutospacing="0" w:line="240" w:lineRule="atLeast"/>
              <w:ind w:left="0" w:leftChars="0" w:right="0" w:rightChars="0"/>
              <w:jc w:val="center"/>
              <w:textAlignment w:val="baseline"/>
              <w:rPr>
                <w:rFonts w:hint="eastAsia" w:ascii="宋体" w:hAnsi="宋体" w:eastAsia="宋体" w:cs="宋体"/>
                <w:sz w:val="21"/>
                <w:szCs w:val="21"/>
              </w:rPr>
            </w:pPr>
            <w:r>
              <w:rPr>
                <w:rFonts w:hint="eastAsia" w:ascii="宋体" w:hAnsi="宋体" w:eastAsia="宋体" w:cs="宋体"/>
                <w:sz w:val="21"/>
                <w:szCs w:val="21"/>
                <w:lang w:val="en-US" w:eastAsia="zh-CN"/>
              </w:rPr>
              <w:t>+0.6</w:t>
            </w:r>
            <w:r>
              <w:rPr>
                <w:rFonts w:hint="eastAsia" w:ascii="宋体" w:hAnsi="宋体" w:eastAsia="宋体" w:cs="宋体"/>
                <w:sz w:val="21"/>
                <w:szCs w:val="21"/>
              </w:rPr>
              <w:t>（0.</w:t>
            </w:r>
            <w:r>
              <w:rPr>
                <w:rFonts w:hint="eastAsia" w:ascii="宋体" w:hAnsi="宋体" w:eastAsia="宋体" w:cs="宋体"/>
                <w:sz w:val="21"/>
                <w:szCs w:val="21"/>
                <w:lang w:val="en-US" w:eastAsia="zh-CN"/>
              </w:rPr>
              <w:t>06</w:t>
            </w:r>
            <w:r>
              <w:rPr>
                <w:rFonts w:hint="eastAsia" w:ascii="宋体" w:hAnsi="宋体" w:eastAsia="宋体" w:cs="宋体"/>
                <w:sz w:val="21"/>
                <w:szCs w:val="21"/>
              </w:rPr>
              <w:t>）</w:t>
            </w:r>
          </w:p>
        </w:tc>
      </w:tr>
      <w:tr w14:paraId="1F19A8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6" w:hRule="exact"/>
          <w:jc w:val="center"/>
        </w:trPr>
        <w:tc>
          <w:tcPr>
            <w:tcW w:w="976" w:type="dxa"/>
            <w:vMerge w:val="continue"/>
            <w:noWrap w:val="0"/>
            <w:vAlign w:val="center"/>
          </w:tcPr>
          <w:p w14:paraId="1E22A438">
            <w:pPr>
              <w:pStyle w:val="13"/>
              <w:keepNext w:val="0"/>
              <w:keepLines w:val="0"/>
              <w:suppressLineNumbers w:val="0"/>
              <w:snapToGrid w:val="0"/>
              <w:spacing w:before="0" w:beforeAutospacing="0" w:after="0" w:afterAutospacing="0" w:line="240" w:lineRule="atLeast"/>
              <w:ind w:left="0" w:right="0" w:firstLine="420"/>
              <w:rPr>
                <w:rFonts w:hint="eastAsia" w:ascii="宋体" w:hAnsi="宋体" w:eastAsia="宋体" w:cs="宋体"/>
                <w:szCs w:val="21"/>
              </w:rPr>
            </w:pPr>
          </w:p>
        </w:tc>
        <w:tc>
          <w:tcPr>
            <w:tcW w:w="2116" w:type="dxa"/>
            <w:noWrap w:val="0"/>
            <w:vAlign w:val="center"/>
          </w:tcPr>
          <w:p w14:paraId="56FB804E">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sz w:val="21"/>
                <w:szCs w:val="21"/>
              </w:rPr>
            </w:pPr>
            <w:r>
              <w:rPr>
                <w:rFonts w:hint="eastAsia" w:ascii="宋体" w:hAnsi="宋体" w:eastAsia="宋体" w:cs="宋体"/>
                <w:sz w:val="21"/>
                <w:szCs w:val="21"/>
              </w:rPr>
              <w:t>SS</w:t>
            </w:r>
          </w:p>
        </w:tc>
        <w:tc>
          <w:tcPr>
            <w:tcW w:w="1175" w:type="dxa"/>
            <w:noWrap w:val="0"/>
            <w:vAlign w:val="center"/>
          </w:tcPr>
          <w:p w14:paraId="26A41FDE">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sz w:val="21"/>
                <w:szCs w:val="21"/>
              </w:rPr>
            </w:pPr>
            <w:r>
              <w:rPr>
                <w:rFonts w:hint="eastAsia" w:ascii="宋体" w:hAnsi="宋体" w:eastAsia="宋体" w:cs="宋体"/>
                <w:sz w:val="21"/>
                <w:szCs w:val="21"/>
              </w:rPr>
              <w:t>0</w:t>
            </w:r>
          </w:p>
        </w:tc>
        <w:tc>
          <w:tcPr>
            <w:tcW w:w="1415" w:type="dxa"/>
            <w:noWrap w:val="0"/>
            <w:vAlign w:val="center"/>
          </w:tcPr>
          <w:p w14:paraId="74783A74">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sz w:val="21"/>
                <w:szCs w:val="21"/>
              </w:rPr>
            </w:pPr>
            <w:r>
              <w:rPr>
                <w:rFonts w:hint="eastAsia" w:ascii="宋体" w:hAnsi="宋体" w:eastAsia="宋体" w:cs="宋体"/>
                <w:sz w:val="21"/>
                <w:szCs w:val="21"/>
              </w:rPr>
              <w:t>0</w:t>
            </w:r>
          </w:p>
        </w:tc>
        <w:tc>
          <w:tcPr>
            <w:tcW w:w="1550" w:type="dxa"/>
            <w:noWrap w:val="0"/>
            <w:vAlign w:val="center"/>
          </w:tcPr>
          <w:p w14:paraId="6FA5523C">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sz w:val="21"/>
                <w:szCs w:val="21"/>
              </w:rPr>
            </w:pPr>
            <w:r>
              <w:rPr>
                <w:rFonts w:hint="eastAsia" w:ascii="宋体" w:hAnsi="宋体" w:eastAsia="宋体" w:cs="宋体"/>
                <w:sz w:val="21"/>
                <w:szCs w:val="21"/>
              </w:rPr>
              <w:t>0</w:t>
            </w:r>
          </w:p>
        </w:tc>
        <w:tc>
          <w:tcPr>
            <w:tcW w:w="1807" w:type="dxa"/>
            <w:noWrap w:val="0"/>
            <w:vAlign w:val="center"/>
          </w:tcPr>
          <w:p w14:paraId="141701F2">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sz w:val="21"/>
                <w:szCs w:val="21"/>
              </w:rPr>
            </w:pPr>
            <w:r>
              <w:rPr>
                <w:rFonts w:hint="eastAsia" w:ascii="宋体" w:hAnsi="宋体" w:eastAsia="宋体" w:cs="宋体"/>
                <w:sz w:val="21"/>
                <w:szCs w:val="21"/>
              </w:rPr>
              <w:t>0.</w:t>
            </w:r>
            <w:r>
              <w:rPr>
                <w:rFonts w:hint="eastAsia" w:ascii="宋体" w:hAnsi="宋体" w:eastAsia="宋体" w:cs="宋体"/>
                <w:sz w:val="21"/>
                <w:szCs w:val="21"/>
                <w:lang w:val="en-US" w:eastAsia="zh-CN"/>
              </w:rPr>
              <w:t>482</w:t>
            </w:r>
            <w:r>
              <w:rPr>
                <w:rFonts w:hint="eastAsia" w:ascii="宋体" w:hAnsi="宋体" w:eastAsia="宋体" w:cs="宋体"/>
                <w:sz w:val="21"/>
                <w:szCs w:val="21"/>
              </w:rPr>
              <w:t>（0.0</w:t>
            </w:r>
            <w:r>
              <w:rPr>
                <w:rFonts w:hint="eastAsia" w:ascii="宋体" w:hAnsi="宋体" w:eastAsia="宋体" w:cs="宋体"/>
                <w:sz w:val="21"/>
                <w:szCs w:val="21"/>
                <w:lang w:val="en-US" w:eastAsia="zh-CN"/>
              </w:rPr>
              <w:t>12</w:t>
            </w:r>
            <w:r>
              <w:rPr>
                <w:rFonts w:hint="eastAsia" w:ascii="宋体" w:hAnsi="宋体" w:eastAsia="宋体" w:cs="宋体"/>
                <w:sz w:val="21"/>
                <w:szCs w:val="21"/>
              </w:rPr>
              <w:t>）</w:t>
            </w:r>
          </w:p>
        </w:tc>
        <w:tc>
          <w:tcPr>
            <w:tcW w:w="1311" w:type="dxa"/>
            <w:noWrap w:val="0"/>
            <w:vAlign w:val="center"/>
          </w:tcPr>
          <w:p w14:paraId="7D428863">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sz w:val="21"/>
                <w:szCs w:val="21"/>
              </w:rPr>
            </w:pPr>
            <w:r>
              <w:rPr>
                <w:rFonts w:hint="eastAsia" w:ascii="宋体" w:hAnsi="宋体" w:eastAsia="宋体" w:cs="宋体"/>
                <w:sz w:val="21"/>
                <w:szCs w:val="21"/>
              </w:rPr>
              <w:t>0</w:t>
            </w:r>
          </w:p>
        </w:tc>
        <w:tc>
          <w:tcPr>
            <w:tcW w:w="2100" w:type="dxa"/>
            <w:noWrap w:val="0"/>
            <w:vAlign w:val="center"/>
          </w:tcPr>
          <w:p w14:paraId="7894A441">
            <w:pPr>
              <w:keepNext w:val="0"/>
              <w:keepLines w:val="0"/>
              <w:suppressLineNumbers w:val="0"/>
              <w:adjustRightInd w:val="0"/>
              <w:snapToGrid w:val="0"/>
              <w:spacing w:before="0" w:beforeAutospacing="0" w:after="0" w:afterAutospacing="0" w:line="240" w:lineRule="atLeast"/>
              <w:ind w:left="0" w:leftChars="0" w:right="0" w:rightChars="0"/>
              <w:jc w:val="center"/>
              <w:textAlignment w:val="baseline"/>
              <w:rPr>
                <w:rFonts w:hint="eastAsia" w:ascii="宋体" w:hAnsi="宋体" w:eastAsia="宋体" w:cs="宋体"/>
                <w:sz w:val="21"/>
                <w:szCs w:val="21"/>
              </w:rPr>
            </w:pPr>
            <w:r>
              <w:rPr>
                <w:rFonts w:hint="eastAsia" w:ascii="宋体" w:hAnsi="宋体" w:eastAsia="宋体" w:cs="宋体"/>
                <w:sz w:val="21"/>
                <w:szCs w:val="21"/>
              </w:rPr>
              <w:t>0.</w:t>
            </w:r>
            <w:r>
              <w:rPr>
                <w:rFonts w:hint="eastAsia" w:ascii="宋体" w:hAnsi="宋体" w:eastAsia="宋体" w:cs="宋体"/>
                <w:sz w:val="21"/>
                <w:szCs w:val="21"/>
                <w:lang w:val="en-US" w:eastAsia="zh-CN"/>
              </w:rPr>
              <w:t>482</w:t>
            </w:r>
            <w:r>
              <w:rPr>
                <w:rFonts w:hint="eastAsia" w:ascii="宋体" w:hAnsi="宋体" w:eastAsia="宋体" w:cs="宋体"/>
                <w:sz w:val="21"/>
                <w:szCs w:val="21"/>
              </w:rPr>
              <w:t>（0.0</w:t>
            </w:r>
            <w:r>
              <w:rPr>
                <w:rFonts w:hint="eastAsia" w:ascii="宋体" w:hAnsi="宋体" w:eastAsia="宋体" w:cs="宋体"/>
                <w:sz w:val="21"/>
                <w:szCs w:val="21"/>
                <w:lang w:val="en-US" w:eastAsia="zh-CN"/>
              </w:rPr>
              <w:t>12</w:t>
            </w:r>
            <w:r>
              <w:rPr>
                <w:rFonts w:hint="eastAsia" w:ascii="宋体" w:hAnsi="宋体" w:eastAsia="宋体" w:cs="宋体"/>
                <w:sz w:val="21"/>
                <w:szCs w:val="21"/>
              </w:rPr>
              <w:t>）</w:t>
            </w:r>
          </w:p>
        </w:tc>
        <w:tc>
          <w:tcPr>
            <w:tcW w:w="2156" w:type="dxa"/>
            <w:noWrap w:val="0"/>
            <w:vAlign w:val="center"/>
          </w:tcPr>
          <w:p w14:paraId="67EC7013">
            <w:pPr>
              <w:keepNext w:val="0"/>
              <w:keepLines w:val="0"/>
              <w:suppressLineNumbers w:val="0"/>
              <w:adjustRightInd w:val="0"/>
              <w:snapToGrid w:val="0"/>
              <w:spacing w:before="0" w:beforeAutospacing="0" w:after="0" w:afterAutospacing="0" w:line="240" w:lineRule="atLeast"/>
              <w:ind w:left="0" w:leftChars="0" w:right="0" w:rightChars="0"/>
              <w:jc w:val="center"/>
              <w:textAlignment w:val="baseline"/>
              <w:rPr>
                <w:rFonts w:hint="eastAsia" w:ascii="宋体" w:hAnsi="宋体" w:eastAsia="宋体" w:cs="宋体"/>
                <w:sz w:val="21"/>
                <w:szCs w:val="21"/>
              </w:rPr>
            </w:pPr>
            <w:r>
              <w:rPr>
                <w:rFonts w:hint="eastAsia" w:ascii="宋体" w:hAnsi="宋体" w:eastAsia="宋体" w:cs="宋体"/>
                <w:sz w:val="21"/>
                <w:szCs w:val="21"/>
                <w:lang w:val="en-US" w:eastAsia="zh-CN"/>
              </w:rPr>
              <w:t>+</w:t>
            </w:r>
            <w:r>
              <w:rPr>
                <w:rFonts w:hint="eastAsia" w:ascii="宋体" w:hAnsi="宋体" w:eastAsia="宋体" w:cs="宋体"/>
                <w:sz w:val="21"/>
                <w:szCs w:val="21"/>
              </w:rPr>
              <w:t>0.</w:t>
            </w:r>
            <w:r>
              <w:rPr>
                <w:rFonts w:hint="eastAsia" w:ascii="宋体" w:hAnsi="宋体" w:eastAsia="宋体" w:cs="宋体"/>
                <w:sz w:val="21"/>
                <w:szCs w:val="21"/>
                <w:lang w:val="en-US" w:eastAsia="zh-CN"/>
              </w:rPr>
              <w:t>482</w:t>
            </w:r>
            <w:r>
              <w:rPr>
                <w:rFonts w:hint="eastAsia" w:ascii="宋体" w:hAnsi="宋体" w:eastAsia="宋体" w:cs="宋体"/>
                <w:sz w:val="21"/>
                <w:szCs w:val="21"/>
              </w:rPr>
              <w:t>（0.0</w:t>
            </w:r>
            <w:r>
              <w:rPr>
                <w:rFonts w:hint="eastAsia" w:ascii="宋体" w:hAnsi="宋体" w:eastAsia="宋体" w:cs="宋体"/>
                <w:sz w:val="21"/>
                <w:szCs w:val="21"/>
                <w:lang w:val="en-US" w:eastAsia="zh-CN"/>
              </w:rPr>
              <w:t>12</w:t>
            </w:r>
            <w:r>
              <w:rPr>
                <w:rFonts w:hint="eastAsia" w:ascii="宋体" w:hAnsi="宋体" w:eastAsia="宋体" w:cs="宋体"/>
                <w:sz w:val="21"/>
                <w:szCs w:val="21"/>
              </w:rPr>
              <w:t>）</w:t>
            </w:r>
          </w:p>
        </w:tc>
      </w:tr>
      <w:tr w14:paraId="7999EA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exact"/>
          <w:jc w:val="center"/>
        </w:trPr>
        <w:tc>
          <w:tcPr>
            <w:tcW w:w="976" w:type="dxa"/>
            <w:vMerge w:val="continue"/>
            <w:noWrap w:val="0"/>
            <w:vAlign w:val="center"/>
          </w:tcPr>
          <w:p w14:paraId="6D9F832E">
            <w:pPr>
              <w:pStyle w:val="13"/>
              <w:keepNext w:val="0"/>
              <w:keepLines w:val="0"/>
              <w:suppressLineNumbers w:val="0"/>
              <w:snapToGrid w:val="0"/>
              <w:spacing w:before="0" w:beforeAutospacing="0" w:after="0" w:afterAutospacing="0" w:line="240" w:lineRule="atLeast"/>
              <w:ind w:left="0" w:right="0" w:firstLine="420"/>
              <w:rPr>
                <w:rFonts w:hint="eastAsia" w:ascii="宋体" w:hAnsi="宋体" w:eastAsia="宋体" w:cs="宋体"/>
                <w:szCs w:val="21"/>
              </w:rPr>
            </w:pPr>
          </w:p>
        </w:tc>
        <w:tc>
          <w:tcPr>
            <w:tcW w:w="2116" w:type="dxa"/>
            <w:noWrap w:val="0"/>
            <w:vAlign w:val="center"/>
          </w:tcPr>
          <w:p w14:paraId="60D65811">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sz w:val="21"/>
                <w:szCs w:val="21"/>
              </w:rPr>
            </w:pPr>
            <w:r>
              <w:rPr>
                <w:rFonts w:hint="eastAsia" w:ascii="宋体" w:hAnsi="宋体" w:eastAsia="宋体" w:cs="宋体"/>
                <w:sz w:val="21"/>
                <w:szCs w:val="21"/>
              </w:rPr>
              <w:t>NH</w:t>
            </w:r>
            <w:r>
              <w:rPr>
                <w:rFonts w:hint="eastAsia" w:ascii="宋体" w:hAnsi="宋体" w:eastAsia="宋体" w:cs="宋体"/>
                <w:sz w:val="21"/>
                <w:szCs w:val="21"/>
                <w:vertAlign w:val="subscript"/>
              </w:rPr>
              <w:t>3</w:t>
            </w:r>
            <w:r>
              <w:rPr>
                <w:rFonts w:hint="eastAsia" w:ascii="宋体" w:hAnsi="宋体" w:eastAsia="宋体" w:cs="宋体"/>
                <w:sz w:val="21"/>
                <w:szCs w:val="21"/>
              </w:rPr>
              <w:t>-N</w:t>
            </w:r>
          </w:p>
        </w:tc>
        <w:tc>
          <w:tcPr>
            <w:tcW w:w="1175" w:type="dxa"/>
            <w:noWrap w:val="0"/>
            <w:vAlign w:val="center"/>
          </w:tcPr>
          <w:p w14:paraId="60A47448">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sz w:val="21"/>
                <w:szCs w:val="21"/>
              </w:rPr>
            </w:pPr>
            <w:r>
              <w:rPr>
                <w:rFonts w:hint="eastAsia" w:ascii="宋体" w:hAnsi="宋体" w:eastAsia="宋体" w:cs="宋体"/>
                <w:sz w:val="21"/>
                <w:szCs w:val="21"/>
              </w:rPr>
              <w:t>0</w:t>
            </w:r>
          </w:p>
        </w:tc>
        <w:tc>
          <w:tcPr>
            <w:tcW w:w="1415" w:type="dxa"/>
            <w:noWrap w:val="0"/>
            <w:vAlign w:val="center"/>
          </w:tcPr>
          <w:p w14:paraId="7D11F320">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sz w:val="21"/>
                <w:szCs w:val="21"/>
              </w:rPr>
            </w:pPr>
            <w:r>
              <w:rPr>
                <w:rFonts w:hint="eastAsia" w:ascii="宋体" w:hAnsi="宋体" w:eastAsia="宋体" w:cs="宋体"/>
                <w:sz w:val="21"/>
                <w:szCs w:val="21"/>
              </w:rPr>
              <w:t>0</w:t>
            </w:r>
          </w:p>
        </w:tc>
        <w:tc>
          <w:tcPr>
            <w:tcW w:w="1550" w:type="dxa"/>
            <w:noWrap w:val="0"/>
            <w:vAlign w:val="center"/>
          </w:tcPr>
          <w:p w14:paraId="3F2F7BAA">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sz w:val="21"/>
                <w:szCs w:val="21"/>
              </w:rPr>
            </w:pPr>
            <w:r>
              <w:rPr>
                <w:rFonts w:hint="eastAsia" w:ascii="宋体" w:hAnsi="宋体" w:eastAsia="宋体" w:cs="宋体"/>
                <w:sz w:val="21"/>
                <w:szCs w:val="21"/>
              </w:rPr>
              <w:t>0</w:t>
            </w:r>
          </w:p>
        </w:tc>
        <w:tc>
          <w:tcPr>
            <w:tcW w:w="1807" w:type="dxa"/>
            <w:noWrap w:val="0"/>
            <w:vAlign w:val="center"/>
          </w:tcPr>
          <w:p w14:paraId="09D548C4">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sz w:val="21"/>
                <w:szCs w:val="21"/>
              </w:rPr>
            </w:pPr>
            <w:r>
              <w:rPr>
                <w:rFonts w:hint="eastAsia" w:ascii="宋体" w:hAnsi="宋体" w:eastAsia="宋体" w:cs="宋体"/>
                <w:sz w:val="21"/>
                <w:szCs w:val="21"/>
              </w:rPr>
              <w:t>0.</w:t>
            </w:r>
            <w:r>
              <w:rPr>
                <w:rFonts w:hint="eastAsia" w:ascii="宋体" w:hAnsi="宋体" w:eastAsia="宋体" w:cs="宋体"/>
                <w:sz w:val="21"/>
                <w:szCs w:val="21"/>
                <w:lang w:val="en-US" w:eastAsia="zh-CN"/>
              </w:rPr>
              <w:t>054</w:t>
            </w:r>
            <w:r>
              <w:rPr>
                <w:rFonts w:hint="eastAsia" w:ascii="宋体" w:hAnsi="宋体" w:eastAsia="宋体" w:cs="宋体"/>
                <w:sz w:val="21"/>
                <w:szCs w:val="21"/>
              </w:rPr>
              <w:t>（0.0</w:t>
            </w:r>
            <w:r>
              <w:rPr>
                <w:rFonts w:hint="eastAsia" w:ascii="宋体" w:hAnsi="宋体" w:eastAsia="宋体" w:cs="宋体"/>
                <w:sz w:val="21"/>
                <w:szCs w:val="21"/>
                <w:lang w:val="en-US" w:eastAsia="zh-CN"/>
              </w:rPr>
              <w:t>05</w:t>
            </w:r>
            <w:r>
              <w:rPr>
                <w:rFonts w:hint="eastAsia" w:ascii="宋体" w:hAnsi="宋体" w:eastAsia="宋体" w:cs="宋体"/>
                <w:sz w:val="21"/>
                <w:szCs w:val="21"/>
              </w:rPr>
              <w:t>）</w:t>
            </w:r>
          </w:p>
        </w:tc>
        <w:tc>
          <w:tcPr>
            <w:tcW w:w="1311" w:type="dxa"/>
            <w:noWrap w:val="0"/>
            <w:vAlign w:val="center"/>
          </w:tcPr>
          <w:p w14:paraId="326EFC18">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sz w:val="21"/>
                <w:szCs w:val="21"/>
              </w:rPr>
            </w:pPr>
            <w:r>
              <w:rPr>
                <w:rFonts w:hint="eastAsia" w:ascii="宋体" w:hAnsi="宋体" w:eastAsia="宋体" w:cs="宋体"/>
                <w:sz w:val="21"/>
                <w:szCs w:val="21"/>
              </w:rPr>
              <w:t>0</w:t>
            </w:r>
          </w:p>
        </w:tc>
        <w:tc>
          <w:tcPr>
            <w:tcW w:w="2100" w:type="dxa"/>
            <w:noWrap w:val="0"/>
            <w:vAlign w:val="center"/>
          </w:tcPr>
          <w:p w14:paraId="7D15DC8A">
            <w:pPr>
              <w:keepNext w:val="0"/>
              <w:keepLines w:val="0"/>
              <w:suppressLineNumbers w:val="0"/>
              <w:adjustRightInd w:val="0"/>
              <w:snapToGrid w:val="0"/>
              <w:spacing w:before="0" w:beforeAutospacing="0" w:after="0" w:afterAutospacing="0" w:line="240" w:lineRule="atLeast"/>
              <w:ind w:left="0" w:leftChars="0" w:right="0" w:rightChars="0"/>
              <w:jc w:val="center"/>
              <w:textAlignment w:val="baseline"/>
              <w:rPr>
                <w:rFonts w:hint="eastAsia" w:ascii="宋体" w:hAnsi="宋体" w:eastAsia="宋体" w:cs="宋体"/>
                <w:sz w:val="21"/>
                <w:szCs w:val="21"/>
              </w:rPr>
            </w:pPr>
            <w:r>
              <w:rPr>
                <w:rFonts w:hint="eastAsia" w:ascii="宋体" w:hAnsi="宋体" w:eastAsia="宋体" w:cs="宋体"/>
                <w:sz w:val="21"/>
                <w:szCs w:val="21"/>
              </w:rPr>
              <w:t>0.</w:t>
            </w:r>
            <w:r>
              <w:rPr>
                <w:rFonts w:hint="eastAsia" w:ascii="宋体" w:hAnsi="宋体" w:eastAsia="宋体" w:cs="宋体"/>
                <w:sz w:val="21"/>
                <w:szCs w:val="21"/>
                <w:lang w:val="en-US" w:eastAsia="zh-CN"/>
              </w:rPr>
              <w:t>054</w:t>
            </w:r>
            <w:r>
              <w:rPr>
                <w:rFonts w:hint="eastAsia" w:ascii="宋体" w:hAnsi="宋体" w:eastAsia="宋体" w:cs="宋体"/>
                <w:sz w:val="21"/>
                <w:szCs w:val="21"/>
              </w:rPr>
              <w:t>（0.0</w:t>
            </w:r>
            <w:r>
              <w:rPr>
                <w:rFonts w:hint="eastAsia" w:ascii="宋体" w:hAnsi="宋体" w:eastAsia="宋体" w:cs="宋体"/>
                <w:sz w:val="21"/>
                <w:szCs w:val="21"/>
                <w:lang w:val="en-US" w:eastAsia="zh-CN"/>
              </w:rPr>
              <w:t>05</w:t>
            </w:r>
            <w:r>
              <w:rPr>
                <w:rFonts w:hint="eastAsia" w:ascii="宋体" w:hAnsi="宋体" w:eastAsia="宋体" w:cs="宋体"/>
                <w:sz w:val="21"/>
                <w:szCs w:val="21"/>
              </w:rPr>
              <w:t>）</w:t>
            </w:r>
          </w:p>
        </w:tc>
        <w:tc>
          <w:tcPr>
            <w:tcW w:w="2156" w:type="dxa"/>
            <w:noWrap w:val="0"/>
            <w:vAlign w:val="center"/>
          </w:tcPr>
          <w:p w14:paraId="33AC23F8">
            <w:pPr>
              <w:keepNext w:val="0"/>
              <w:keepLines w:val="0"/>
              <w:suppressLineNumbers w:val="0"/>
              <w:adjustRightInd w:val="0"/>
              <w:snapToGrid w:val="0"/>
              <w:spacing w:before="0" w:beforeAutospacing="0" w:after="0" w:afterAutospacing="0" w:line="240" w:lineRule="atLeast"/>
              <w:ind w:left="0" w:leftChars="0" w:right="0" w:rightChars="0"/>
              <w:jc w:val="center"/>
              <w:textAlignment w:val="baseline"/>
              <w:rPr>
                <w:rFonts w:hint="eastAsia" w:ascii="宋体" w:hAnsi="宋体" w:eastAsia="宋体" w:cs="宋体"/>
                <w:sz w:val="21"/>
                <w:szCs w:val="21"/>
              </w:rPr>
            </w:pPr>
            <w:r>
              <w:rPr>
                <w:rFonts w:hint="eastAsia" w:ascii="宋体" w:hAnsi="宋体" w:eastAsia="宋体" w:cs="宋体"/>
                <w:sz w:val="21"/>
                <w:szCs w:val="21"/>
                <w:lang w:val="en-US" w:eastAsia="zh-CN"/>
              </w:rPr>
              <w:t>+</w:t>
            </w:r>
            <w:r>
              <w:rPr>
                <w:rFonts w:hint="eastAsia" w:ascii="宋体" w:hAnsi="宋体" w:eastAsia="宋体" w:cs="宋体"/>
                <w:sz w:val="21"/>
                <w:szCs w:val="21"/>
              </w:rPr>
              <w:t>0.</w:t>
            </w:r>
            <w:r>
              <w:rPr>
                <w:rFonts w:hint="eastAsia" w:ascii="宋体" w:hAnsi="宋体" w:eastAsia="宋体" w:cs="宋体"/>
                <w:sz w:val="21"/>
                <w:szCs w:val="21"/>
                <w:lang w:val="en-US" w:eastAsia="zh-CN"/>
              </w:rPr>
              <w:t>054</w:t>
            </w:r>
            <w:r>
              <w:rPr>
                <w:rFonts w:hint="eastAsia" w:ascii="宋体" w:hAnsi="宋体" w:eastAsia="宋体" w:cs="宋体"/>
                <w:sz w:val="21"/>
                <w:szCs w:val="21"/>
              </w:rPr>
              <w:t>（0.0</w:t>
            </w:r>
            <w:r>
              <w:rPr>
                <w:rFonts w:hint="eastAsia" w:ascii="宋体" w:hAnsi="宋体" w:eastAsia="宋体" w:cs="宋体"/>
                <w:sz w:val="21"/>
                <w:szCs w:val="21"/>
                <w:lang w:val="en-US" w:eastAsia="zh-CN"/>
              </w:rPr>
              <w:t>05</w:t>
            </w:r>
            <w:r>
              <w:rPr>
                <w:rFonts w:hint="eastAsia" w:ascii="宋体" w:hAnsi="宋体" w:eastAsia="宋体" w:cs="宋体"/>
                <w:sz w:val="21"/>
                <w:szCs w:val="21"/>
              </w:rPr>
              <w:t>）</w:t>
            </w:r>
          </w:p>
        </w:tc>
      </w:tr>
      <w:tr w14:paraId="1753C9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 w:hRule="exact"/>
          <w:jc w:val="center"/>
        </w:trPr>
        <w:tc>
          <w:tcPr>
            <w:tcW w:w="976" w:type="dxa"/>
            <w:vMerge w:val="continue"/>
            <w:noWrap w:val="0"/>
            <w:vAlign w:val="center"/>
          </w:tcPr>
          <w:p w14:paraId="718DAB36">
            <w:pPr>
              <w:pStyle w:val="13"/>
              <w:keepNext w:val="0"/>
              <w:keepLines w:val="0"/>
              <w:suppressLineNumbers w:val="0"/>
              <w:snapToGrid w:val="0"/>
              <w:spacing w:before="0" w:beforeAutospacing="0" w:after="0" w:afterAutospacing="0" w:line="240" w:lineRule="atLeast"/>
              <w:ind w:left="0" w:right="0" w:firstLine="420"/>
              <w:rPr>
                <w:rFonts w:hint="eastAsia" w:ascii="宋体" w:hAnsi="宋体" w:eastAsia="宋体" w:cs="宋体"/>
                <w:szCs w:val="21"/>
              </w:rPr>
            </w:pPr>
          </w:p>
        </w:tc>
        <w:tc>
          <w:tcPr>
            <w:tcW w:w="2116" w:type="dxa"/>
            <w:noWrap w:val="0"/>
            <w:vAlign w:val="center"/>
          </w:tcPr>
          <w:p w14:paraId="72270D54">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sz w:val="21"/>
                <w:szCs w:val="21"/>
              </w:rPr>
            </w:pPr>
            <w:r>
              <w:rPr>
                <w:rFonts w:hint="eastAsia" w:ascii="宋体" w:hAnsi="宋体" w:eastAsia="宋体" w:cs="宋体"/>
                <w:sz w:val="21"/>
                <w:szCs w:val="21"/>
              </w:rPr>
              <w:t>总磷</w:t>
            </w:r>
          </w:p>
        </w:tc>
        <w:tc>
          <w:tcPr>
            <w:tcW w:w="1175" w:type="dxa"/>
            <w:noWrap w:val="0"/>
            <w:vAlign w:val="center"/>
          </w:tcPr>
          <w:p w14:paraId="65603617">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sz w:val="21"/>
                <w:szCs w:val="21"/>
              </w:rPr>
            </w:pPr>
            <w:r>
              <w:rPr>
                <w:rFonts w:hint="eastAsia" w:ascii="宋体" w:hAnsi="宋体" w:eastAsia="宋体" w:cs="宋体"/>
                <w:sz w:val="21"/>
                <w:szCs w:val="21"/>
              </w:rPr>
              <w:t>0</w:t>
            </w:r>
          </w:p>
        </w:tc>
        <w:tc>
          <w:tcPr>
            <w:tcW w:w="1415" w:type="dxa"/>
            <w:noWrap w:val="0"/>
            <w:vAlign w:val="center"/>
          </w:tcPr>
          <w:p w14:paraId="1B64AD71">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sz w:val="21"/>
                <w:szCs w:val="21"/>
              </w:rPr>
            </w:pPr>
            <w:r>
              <w:rPr>
                <w:rFonts w:hint="eastAsia" w:ascii="宋体" w:hAnsi="宋体" w:eastAsia="宋体" w:cs="宋体"/>
                <w:sz w:val="21"/>
                <w:szCs w:val="21"/>
              </w:rPr>
              <w:t>0</w:t>
            </w:r>
          </w:p>
        </w:tc>
        <w:tc>
          <w:tcPr>
            <w:tcW w:w="1550" w:type="dxa"/>
            <w:noWrap w:val="0"/>
            <w:vAlign w:val="center"/>
          </w:tcPr>
          <w:p w14:paraId="261157B0">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sz w:val="21"/>
                <w:szCs w:val="21"/>
              </w:rPr>
            </w:pPr>
            <w:r>
              <w:rPr>
                <w:rFonts w:hint="eastAsia" w:ascii="宋体" w:hAnsi="宋体" w:eastAsia="宋体" w:cs="宋体"/>
                <w:sz w:val="21"/>
                <w:szCs w:val="21"/>
              </w:rPr>
              <w:t>0</w:t>
            </w:r>
          </w:p>
        </w:tc>
        <w:tc>
          <w:tcPr>
            <w:tcW w:w="1807" w:type="dxa"/>
            <w:noWrap w:val="0"/>
            <w:vAlign w:val="center"/>
          </w:tcPr>
          <w:p w14:paraId="2B287E9F">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sz w:val="21"/>
                <w:szCs w:val="21"/>
              </w:rPr>
            </w:pPr>
            <w:r>
              <w:rPr>
                <w:rFonts w:hint="eastAsia" w:ascii="宋体" w:hAnsi="宋体" w:eastAsia="宋体" w:cs="宋体"/>
                <w:sz w:val="21"/>
                <w:szCs w:val="21"/>
              </w:rPr>
              <w:t>0.0</w:t>
            </w:r>
            <w:r>
              <w:rPr>
                <w:rFonts w:hint="eastAsia" w:ascii="宋体" w:hAnsi="宋体" w:eastAsia="宋体" w:cs="宋体"/>
                <w:sz w:val="21"/>
                <w:szCs w:val="21"/>
                <w:lang w:val="en-US" w:eastAsia="zh-CN"/>
              </w:rPr>
              <w:t>09</w:t>
            </w:r>
            <w:r>
              <w:rPr>
                <w:rFonts w:hint="eastAsia" w:ascii="宋体" w:hAnsi="宋体" w:eastAsia="宋体" w:cs="宋体"/>
                <w:sz w:val="21"/>
                <w:szCs w:val="21"/>
              </w:rPr>
              <w:t>（0.0</w:t>
            </w:r>
            <w:r>
              <w:rPr>
                <w:rFonts w:hint="eastAsia" w:ascii="宋体" w:hAnsi="宋体" w:eastAsia="宋体" w:cs="宋体"/>
                <w:sz w:val="21"/>
                <w:szCs w:val="21"/>
                <w:lang w:val="en-US" w:eastAsia="zh-CN"/>
              </w:rPr>
              <w:t>006</w:t>
            </w:r>
            <w:r>
              <w:rPr>
                <w:rFonts w:hint="eastAsia" w:ascii="宋体" w:hAnsi="宋体" w:eastAsia="宋体" w:cs="宋体"/>
                <w:sz w:val="21"/>
                <w:szCs w:val="21"/>
              </w:rPr>
              <w:t>）</w:t>
            </w:r>
          </w:p>
        </w:tc>
        <w:tc>
          <w:tcPr>
            <w:tcW w:w="1311" w:type="dxa"/>
            <w:noWrap w:val="0"/>
            <w:vAlign w:val="center"/>
          </w:tcPr>
          <w:p w14:paraId="780B42C1">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sz w:val="21"/>
                <w:szCs w:val="21"/>
              </w:rPr>
            </w:pPr>
            <w:r>
              <w:rPr>
                <w:rFonts w:hint="eastAsia" w:ascii="宋体" w:hAnsi="宋体" w:eastAsia="宋体" w:cs="宋体"/>
                <w:sz w:val="21"/>
                <w:szCs w:val="21"/>
              </w:rPr>
              <w:t>0</w:t>
            </w:r>
          </w:p>
        </w:tc>
        <w:tc>
          <w:tcPr>
            <w:tcW w:w="2100" w:type="dxa"/>
            <w:noWrap w:val="0"/>
            <w:vAlign w:val="center"/>
          </w:tcPr>
          <w:p w14:paraId="2A7E799C">
            <w:pPr>
              <w:keepNext w:val="0"/>
              <w:keepLines w:val="0"/>
              <w:suppressLineNumbers w:val="0"/>
              <w:adjustRightInd w:val="0"/>
              <w:snapToGrid w:val="0"/>
              <w:spacing w:before="0" w:beforeAutospacing="0" w:after="0" w:afterAutospacing="0" w:line="240" w:lineRule="atLeast"/>
              <w:ind w:left="0" w:leftChars="0" w:right="0" w:rightChars="0"/>
              <w:jc w:val="center"/>
              <w:textAlignment w:val="baseline"/>
              <w:rPr>
                <w:rFonts w:hint="eastAsia" w:ascii="宋体" w:hAnsi="宋体" w:eastAsia="宋体" w:cs="宋体"/>
                <w:sz w:val="21"/>
                <w:szCs w:val="21"/>
              </w:rPr>
            </w:pPr>
            <w:r>
              <w:rPr>
                <w:rFonts w:hint="eastAsia" w:ascii="宋体" w:hAnsi="宋体" w:eastAsia="宋体" w:cs="宋体"/>
                <w:sz w:val="21"/>
                <w:szCs w:val="21"/>
              </w:rPr>
              <w:t>0.0</w:t>
            </w:r>
            <w:r>
              <w:rPr>
                <w:rFonts w:hint="eastAsia" w:ascii="宋体" w:hAnsi="宋体" w:eastAsia="宋体" w:cs="宋体"/>
                <w:sz w:val="21"/>
                <w:szCs w:val="21"/>
                <w:lang w:val="en-US" w:eastAsia="zh-CN"/>
              </w:rPr>
              <w:t>09</w:t>
            </w:r>
            <w:r>
              <w:rPr>
                <w:rFonts w:hint="eastAsia" w:ascii="宋体" w:hAnsi="宋体" w:eastAsia="宋体" w:cs="宋体"/>
                <w:sz w:val="21"/>
                <w:szCs w:val="21"/>
              </w:rPr>
              <w:t>（0.0</w:t>
            </w:r>
            <w:r>
              <w:rPr>
                <w:rFonts w:hint="eastAsia" w:ascii="宋体" w:hAnsi="宋体" w:eastAsia="宋体" w:cs="宋体"/>
                <w:sz w:val="21"/>
                <w:szCs w:val="21"/>
                <w:lang w:val="en-US" w:eastAsia="zh-CN"/>
              </w:rPr>
              <w:t>006</w:t>
            </w:r>
            <w:r>
              <w:rPr>
                <w:rFonts w:hint="eastAsia" w:ascii="宋体" w:hAnsi="宋体" w:eastAsia="宋体" w:cs="宋体"/>
                <w:sz w:val="21"/>
                <w:szCs w:val="21"/>
              </w:rPr>
              <w:t>）</w:t>
            </w:r>
          </w:p>
        </w:tc>
        <w:tc>
          <w:tcPr>
            <w:tcW w:w="2156" w:type="dxa"/>
            <w:noWrap w:val="0"/>
            <w:vAlign w:val="center"/>
          </w:tcPr>
          <w:p w14:paraId="0B4CC568">
            <w:pPr>
              <w:keepNext w:val="0"/>
              <w:keepLines w:val="0"/>
              <w:suppressLineNumbers w:val="0"/>
              <w:adjustRightInd w:val="0"/>
              <w:snapToGrid w:val="0"/>
              <w:spacing w:before="0" w:beforeAutospacing="0" w:after="0" w:afterAutospacing="0" w:line="240" w:lineRule="atLeast"/>
              <w:ind w:left="0" w:leftChars="0" w:right="0" w:rightChars="0"/>
              <w:jc w:val="center"/>
              <w:textAlignment w:val="baseline"/>
              <w:rPr>
                <w:rFonts w:hint="eastAsia" w:ascii="宋体" w:hAnsi="宋体" w:eastAsia="宋体" w:cs="宋体"/>
                <w:sz w:val="21"/>
                <w:szCs w:val="21"/>
              </w:rPr>
            </w:pPr>
            <w:r>
              <w:rPr>
                <w:rFonts w:hint="eastAsia" w:ascii="宋体" w:hAnsi="宋体" w:eastAsia="宋体" w:cs="宋体"/>
                <w:sz w:val="21"/>
                <w:szCs w:val="21"/>
                <w:lang w:val="en-US" w:eastAsia="zh-CN"/>
              </w:rPr>
              <w:t>+</w:t>
            </w:r>
            <w:r>
              <w:rPr>
                <w:rFonts w:hint="eastAsia" w:ascii="宋体" w:hAnsi="宋体" w:eastAsia="宋体" w:cs="宋体"/>
                <w:sz w:val="21"/>
                <w:szCs w:val="21"/>
              </w:rPr>
              <w:t>0.0</w:t>
            </w:r>
            <w:r>
              <w:rPr>
                <w:rFonts w:hint="eastAsia" w:ascii="宋体" w:hAnsi="宋体" w:eastAsia="宋体" w:cs="宋体"/>
                <w:sz w:val="21"/>
                <w:szCs w:val="21"/>
                <w:lang w:val="en-US" w:eastAsia="zh-CN"/>
              </w:rPr>
              <w:t>09</w:t>
            </w:r>
            <w:r>
              <w:rPr>
                <w:rFonts w:hint="eastAsia" w:ascii="宋体" w:hAnsi="宋体" w:eastAsia="宋体" w:cs="宋体"/>
                <w:sz w:val="21"/>
                <w:szCs w:val="21"/>
              </w:rPr>
              <w:t>（0.0</w:t>
            </w:r>
            <w:r>
              <w:rPr>
                <w:rFonts w:hint="eastAsia" w:ascii="宋体" w:hAnsi="宋体" w:eastAsia="宋体" w:cs="宋体"/>
                <w:sz w:val="21"/>
                <w:szCs w:val="21"/>
                <w:lang w:val="en-US" w:eastAsia="zh-CN"/>
              </w:rPr>
              <w:t>006</w:t>
            </w:r>
            <w:r>
              <w:rPr>
                <w:rFonts w:hint="eastAsia" w:ascii="宋体" w:hAnsi="宋体" w:eastAsia="宋体" w:cs="宋体"/>
                <w:sz w:val="21"/>
                <w:szCs w:val="21"/>
              </w:rPr>
              <w:t>）</w:t>
            </w:r>
          </w:p>
        </w:tc>
      </w:tr>
      <w:tr w14:paraId="278F2A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1" w:hRule="exact"/>
          <w:jc w:val="center"/>
        </w:trPr>
        <w:tc>
          <w:tcPr>
            <w:tcW w:w="976" w:type="dxa"/>
            <w:vMerge w:val="continue"/>
            <w:noWrap w:val="0"/>
            <w:vAlign w:val="center"/>
          </w:tcPr>
          <w:p w14:paraId="3494DD62">
            <w:pPr>
              <w:pStyle w:val="13"/>
              <w:keepNext w:val="0"/>
              <w:keepLines w:val="0"/>
              <w:suppressLineNumbers w:val="0"/>
              <w:snapToGrid w:val="0"/>
              <w:spacing w:before="0" w:beforeAutospacing="0" w:after="0" w:afterAutospacing="0" w:line="240" w:lineRule="atLeast"/>
              <w:ind w:left="0" w:right="0" w:firstLine="420"/>
              <w:rPr>
                <w:rFonts w:hint="eastAsia" w:ascii="宋体" w:hAnsi="宋体" w:eastAsia="宋体" w:cs="宋体"/>
                <w:szCs w:val="21"/>
              </w:rPr>
            </w:pPr>
          </w:p>
        </w:tc>
        <w:tc>
          <w:tcPr>
            <w:tcW w:w="2116" w:type="dxa"/>
            <w:noWrap w:val="0"/>
            <w:vAlign w:val="center"/>
          </w:tcPr>
          <w:p w14:paraId="649B451C">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sz w:val="21"/>
                <w:szCs w:val="21"/>
              </w:rPr>
            </w:pPr>
            <w:r>
              <w:rPr>
                <w:rFonts w:hint="eastAsia" w:ascii="宋体" w:hAnsi="宋体" w:eastAsia="宋体" w:cs="宋体"/>
                <w:sz w:val="21"/>
                <w:szCs w:val="21"/>
              </w:rPr>
              <w:t>总氮</w:t>
            </w:r>
          </w:p>
        </w:tc>
        <w:tc>
          <w:tcPr>
            <w:tcW w:w="1175" w:type="dxa"/>
            <w:noWrap w:val="0"/>
            <w:vAlign w:val="center"/>
          </w:tcPr>
          <w:p w14:paraId="0EAEC815">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sz w:val="21"/>
                <w:szCs w:val="21"/>
              </w:rPr>
            </w:pPr>
            <w:r>
              <w:rPr>
                <w:rFonts w:hint="eastAsia" w:ascii="宋体" w:hAnsi="宋体" w:eastAsia="宋体" w:cs="宋体"/>
                <w:sz w:val="21"/>
                <w:szCs w:val="21"/>
              </w:rPr>
              <w:t>0</w:t>
            </w:r>
          </w:p>
        </w:tc>
        <w:tc>
          <w:tcPr>
            <w:tcW w:w="1415" w:type="dxa"/>
            <w:noWrap w:val="0"/>
            <w:vAlign w:val="center"/>
          </w:tcPr>
          <w:p w14:paraId="3F0255C3">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sz w:val="21"/>
                <w:szCs w:val="21"/>
              </w:rPr>
            </w:pPr>
            <w:r>
              <w:rPr>
                <w:rFonts w:hint="eastAsia" w:ascii="宋体" w:hAnsi="宋体" w:eastAsia="宋体" w:cs="宋体"/>
                <w:sz w:val="21"/>
                <w:szCs w:val="21"/>
              </w:rPr>
              <w:t>0</w:t>
            </w:r>
          </w:p>
        </w:tc>
        <w:tc>
          <w:tcPr>
            <w:tcW w:w="1550" w:type="dxa"/>
            <w:noWrap w:val="0"/>
            <w:vAlign w:val="center"/>
          </w:tcPr>
          <w:p w14:paraId="342D8305">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sz w:val="21"/>
                <w:szCs w:val="21"/>
              </w:rPr>
            </w:pPr>
            <w:r>
              <w:rPr>
                <w:rFonts w:hint="eastAsia" w:ascii="宋体" w:hAnsi="宋体" w:eastAsia="宋体" w:cs="宋体"/>
                <w:sz w:val="21"/>
                <w:szCs w:val="21"/>
              </w:rPr>
              <w:t>0</w:t>
            </w:r>
          </w:p>
        </w:tc>
        <w:tc>
          <w:tcPr>
            <w:tcW w:w="1807" w:type="dxa"/>
            <w:noWrap w:val="0"/>
            <w:vAlign w:val="center"/>
          </w:tcPr>
          <w:p w14:paraId="46D9B192">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sz w:val="21"/>
                <w:szCs w:val="21"/>
              </w:rPr>
            </w:pPr>
            <w:r>
              <w:rPr>
                <w:rFonts w:hint="eastAsia" w:ascii="宋体" w:hAnsi="宋体" w:eastAsia="宋体" w:cs="宋体"/>
                <w:sz w:val="21"/>
                <w:szCs w:val="21"/>
              </w:rPr>
              <w:t>0.</w:t>
            </w:r>
            <w:r>
              <w:rPr>
                <w:rFonts w:hint="eastAsia" w:ascii="宋体" w:hAnsi="宋体" w:eastAsia="宋体" w:cs="宋体"/>
                <w:sz w:val="21"/>
                <w:szCs w:val="21"/>
                <w:lang w:val="en-US" w:eastAsia="zh-CN"/>
              </w:rPr>
              <w:t>084</w:t>
            </w:r>
            <w:r>
              <w:rPr>
                <w:rFonts w:hint="eastAsia" w:ascii="宋体" w:hAnsi="宋体" w:eastAsia="宋体" w:cs="宋体"/>
                <w:sz w:val="21"/>
                <w:szCs w:val="21"/>
              </w:rPr>
              <w:t>（0.0</w:t>
            </w:r>
            <w:r>
              <w:rPr>
                <w:rFonts w:hint="eastAsia" w:ascii="宋体" w:hAnsi="宋体" w:eastAsia="宋体" w:cs="宋体"/>
                <w:sz w:val="21"/>
                <w:szCs w:val="21"/>
                <w:lang w:val="en-US" w:eastAsia="zh-CN"/>
              </w:rPr>
              <w:t>14</w:t>
            </w:r>
            <w:r>
              <w:rPr>
                <w:rFonts w:hint="eastAsia" w:ascii="宋体" w:hAnsi="宋体" w:eastAsia="宋体" w:cs="宋体"/>
                <w:sz w:val="21"/>
                <w:szCs w:val="21"/>
              </w:rPr>
              <w:t>）</w:t>
            </w:r>
          </w:p>
        </w:tc>
        <w:tc>
          <w:tcPr>
            <w:tcW w:w="1311" w:type="dxa"/>
            <w:noWrap w:val="0"/>
            <w:vAlign w:val="center"/>
          </w:tcPr>
          <w:p w14:paraId="30F8058E">
            <w:pPr>
              <w:keepNext w:val="0"/>
              <w:keepLines w:val="0"/>
              <w:suppressLineNumbers w:val="0"/>
              <w:adjustRightInd w:val="0"/>
              <w:snapToGrid w:val="0"/>
              <w:spacing w:before="0" w:beforeAutospacing="0" w:after="0" w:afterAutospacing="0" w:line="240" w:lineRule="atLeast"/>
              <w:ind w:left="0" w:right="0"/>
              <w:jc w:val="center"/>
              <w:textAlignment w:val="baseline"/>
              <w:rPr>
                <w:rFonts w:hint="eastAsia" w:ascii="宋体" w:hAnsi="宋体" w:eastAsia="宋体" w:cs="宋体"/>
                <w:sz w:val="21"/>
                <w:szCs w:val="21"/>
              </w:rPr>
            </w:pPr>
            <w:r>
              <w:rPr>
                <w:rFonts w:hint="eastAsia" w:ascii="宋体" w:hAnsi="宋体" w:eastAsia="宋体" w:cs="宋体"/>
                <w:sz w:val="21"/>
                <w:szCs w:val="21"/>
              </w:rPr>
              <w:t>0</w:t>
            </w:r>
          </w:p>
        </w:tc>
        <w:tc>
          <w:tcPr>
            <w:tcW w:w="2100" w:type="dxa"/>
            <w:noWrap w:val="0"/>
            <w:vAlign w:val="center"/>
          </w:tcPr>
          <w:p w14:paraId="4CB25729">
            <w:pPr>
              <w:keepNext w:val="0"/>
              <w:keepLines w:val="0"/>
              <w:suppressLineNumbers w:val="0"/>
              <w:adjustRightInd w:val="0"/>
              <w:snapToGrid w:val="0"/>
              <w:spacing w:before="0" w:beforeAutospacing="0" w:after="0" w:afterAutospacing="0" w:line="240" w:lineRule="atLeast"/>
              <w:ind w:left="0" w:leftChars="0" w:right="0" w:rightChars="0"/>
              <w:jc w:val="center"/>
              <w:textAlignment w:val="baseline"/>
              <w:rPr>
                <w:rFonts w:hint="eastAsia" w:ascii="宋体" w:hAnsi="宋体" w:eastAsia="宋体" w:cs="宋体"/>
                <w:sz w:val="21"/>
                <w:szCs w:val="21"/>
              </w:rPr>
            </w:pPr>
            <w:r>
              <w:rPr>
                <w:rFonts w:hint="eastAsia" w:ascii="宋体" w:hAnsi="宋体" w:eastAsia="宋体" w:cs="宋体"/>
                <w:sz w:val="21"/>
                <w:szCs w:val="21"/>
              </w:rPr>
              <w:t>0.</w:t>
            </w:r>
            <w:r>
              <w:rPr>
                <w:rFonts w:hint="eastAsia" w:ascii="宋体" w:hAnsi="宋体" w:eastAsia="宋体" w:cs="宋体"/>
                <w:sz w:val="21"/>
                <w:szCs w:val="21"/>
                <w:lang w:val="en-US" w:eastAsia="zh-CN"/>
              </w:rPr>
              <w:t>084</w:t>
            </w:r>
            <w:r>
              <w:rPr>
                <w:rFonts w:hint="eastAsia" w:ascii="宋体" w:hAnsi="宋体" w:eastAsia="宋体" w:cs="宋体"/>
                <w:sz w:val="21"/>
                <w:szCs w:val="21"/>
              </w:rPr>
              <w:t>（0.0</w:t>
            </w:r>
            <w:r>
              <w:rPr>
                <w:rFonts w:hint="eastAsia" w:ascii="宋体" w:hAnsi="宋体" w:eastAsia="宋体" w:cs="宋体"/>
                <w:sz w:val="21"/>
                <w:szCs w:val="21"/>
                <w:lang w:val="en-US" w:eastAsia="zh-CN"/>
              </w:rPr>
              <w:t>14</w:t>
            </w:r>
            <w:r>
              <w:rPr>
                <w:rFonts w:hint="eastAsia" w:ascii="宋体" w:hAnsi="宋体" w:eastAsia="宋体" w:cs="宋体"/>
                <w:sz w:val="21"/>
                <w:szCs w:val="21"/>
              </w:rPr>
              <w:t>）</w:t>
            </w:r>
          </w:p>
        </w:tc>
        <w:tc>
          <w:tcPr>
            <w:tcW w:w="2156" w:type="dxa"/>
            <w:noWrap w:val="0"/>
            <w:vAlign w:val="center"/>
          </w:tcPr>
          <w:p w14:paraId="32C536BF">
            <w:pPr>
              <w:keepNext w:val="0"/>
              <w:keepLines w:val="0"/>
              <w:suppressLineNumbers w:val="0"/>
              <w:adjustRightInd w:val="0"/>
              <w:snapToGrid w:val="0"/>
              <w:spacing w:before="0" w:beforeAutospacing="0" w:after="0" w:afterAutospacing="0" w:line="240" w:lineRule="atLeast"/>
              <w:ind w:left="0" w:leftChars="0" w:right="0" w:rightChars="0"/>
              <w:jc w:val="center"/>
              <w:textAlignment w:val="baseline"/>
              <w:rPr>
                <w:rFonts w:hint="eastAsia" w:ascii="宋体" w:hAnsi="宋体" w:eastAsia="宋体" w:cs="宋体"/>
                <w:sz w:val="21"/>
                <w:szCs w:val="21"/>
              </w:rPr>
            </w:pPr>
            <w:r>
              <w:rPr>
                <w:rFonts w:hint="eastAsia" w:ascii="宋体" w:hAnsi="宋体" w:eastAsia="宋体" w:cs="宋体"/>
                <w:sz w:val="21"/>
                <w:szCs w:val="21"/>
                <w:lang w:val="en-US" w:eastAsia="zh-CN"/>
              </w:rPr>
              <w:t>+</w:t>
            </w:r>
            <w:r>
              <w:rPr>
                <w:rFonts w:hint="eastAsia" w:ascii="宋体" w:hAnsi="宋体" w:eastAsia="宋体" w:cs="宋体"/>
                <w:sz w:val="21"/>
                <w:szCs w:val="21"/>
              </w:rPr>
              <w:t>0.</w:t>
            </w:r>
            <w:r>
              <w:rPr>
                <w:rFonts w:hint="eastAsia" w:ascii="宋体" w:hAnsi="宋体" w:eastAsia="宋体" w:cs="宋体"/>
                <w:sz w:val="21"/>
                <w:szCs w:val="21"/>
                <w:lang w:val="en-US" w:eastAsia="zh-CN"/>
              </w:rPr>
              <w:t>084</w:t>
            </w:r>
            <w:r>
              <w:rPr>
                <w:rFonts w:hint="eastAsia" w:ascii="宋体" w:hAnsi="宋体" w:eastAsia="宋体" w:cs="宋体"/>
                <w:sz w:val="21"/>
                <w:szCs w:val="21"/>
              </w:rPr>
              <w:t>（0.0</w:t>
            </w:r>
            <w:r>
              <w:rPr>
                <w:rFonts w:hint="eastAsia" w:ascii="宋体" w:hAnsi="宋体" w:eastAsia="宋体" w:cs="宋体"/>
                <w:sz w:val="21"/>
                <w:szCs w:val="21"/>
                <w:lang w:val="en-US" w:eastAsia="zh-CN"/>
              </w:rPr>
              <w:t>14</w:t>
            </w:r>
            <w:r>
              <w:rPr>
                <w:rFonts w:hint="eastAsia" w:ascii="宋体" w:hAnsi="宋体" w:eastAsia="宋体" w:cs="宋体"/>
                <w:sz w:val="21"/>
                <w:szCs w:val="21"/>
              </w:rPr>
              <w:t>）</w:t>
            </w:r>
          </w:p>
        </w:tc>
      </w:tr>
      <w:bookmarkEnd w:id="185"/>
      <w:tr w14:paraId="7B06C2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976" w:type="dxa"/>
            <w:vMerge w:val="restart"/>
            <w:noWrap w:val="0"/>
            <w:vAlign w:val="center"/>
          </w:tcPr>
          <w:p w14:paraId="361DEE0E">
            <w:pPr>
              <w:pStyle w:val="13"/>
              <w:keepNext w:val="0"/>
              <w:keepLines w:val="0"/>
              <w:suppressLineNumbers w:val="0"/>
              <w:snapToGrid w:val="0"/>
              <w:spacing w:before="0" w:beforeAutospacing="0" w:after="0" w:afterAutospacing="0" w:line="240" w:lineRule="atLeast"/>
              <w:ind w:left="0" w:right="0" w:firstLine="0" w:firstLineChars="0"/>
              <w:rPr>
                <w:rFonts w:hint="eastAsia" w:ascii="宋体" w:hAnsi="宋体" w:eastAsia="宋体" w:cs="宋体"/>
                <w:szCs w:val="21"/>
              </w:rPr>
            </w:pPr>
            <w:r>
              <w:rPr>
                <w:rFonts w:hint="eastAsia" w:ascii="宋体" w:hAnsi="宋体" w:eastAsia="宋体" w:cs="宋体"/>
                <w:szCs w:val="21"/>
              </w:rPr>
              <w:t>一般</w:t>
            </w:r>
          </w:p>
          <w:p w14:paraId="6118EECE">
            <w:pPr>
              <w:pStyle w:val="13"/>
              <w:keepNext w:val="0"/>
              <w:keepLines w:val="0"/>
              <w:suppressLineNumbers w:val="0"/>
              <w:snapToGrid w:val="0"/>
              <w:spacing w:before="0" w:beforeAutospacing="0" w:after="0" w:afterAutospacing="0" w:line="240" w:lineRule="atLeast"/>
              <w:ind w:left="0" w:right="0" w:firstLine="0" w:firstLineChars="0"/>
              <w:rPr>
                <w:rFonts w:hint="eastAsia" w:ascii="宋体" w:hAnsi="宋体" w:eastAsia="宋体" w:cs="宋体"/>
                <w:szCs w:val="21"/>
              </w:rPr>
            </w:pPr>
            <w:r>
              <w:rPr>
                <w:rFonts w:hint="eastAsia" w:ascii="宋体" w:hAnsi="宋体" w:eastAsia="宋体" w:cs="宋体"/>
                <w:szCs w:val="21"/>
              </w:rPr>
              <w:t>固废</w:t>
            </w:r>
          </w:p>
        </w:tc>
        <w:tc>
          <w:tcPr>
            <w:tcW w:w="2116" w:type="dxa"/>
            <w:noWrap w:val="0"/>
            <w:vAlign w:val="center"/>
          </w:tcPr>
          <w:p w14:paraId="081FCC63">
            <w:pPr>
              <w:keepNext w:val="0"/>
              <w:keepLines w:val="0"/>
              <w:widowControl/>
              <w:suppressLineNumbers w:val="0"/>
              <w:adjustRightInd w:val="0"/>
              <w:snapToGrid w:val="0"/>
              <w:spacing w:before="0" w:beforeAutospacing="0" w:after="0" w:afterAutospacing="0" w:line="240" w:lineRule="atLeast"/>
              <w:ind w:left="0" w:leftChars="0" w:right="0" w:rightChars="0"/>
              <w:jc w:val="center"/>
              <w:textAlignment w:val="center"/>
              <w:rPr>
                <w:rFonts w:hint="eastAsia" w:ascii="宋体" w:hAnsi="宋体" w:eastAsia="宋体" w:cs="宋体"/>
                <w:sz w:val="21"/>
                <w:szCs w:val="21"/>
                <w:lang w:eastAsia="zh-CN"/>
              </w:rPr>
            </w:pPr>
            <w:r>
              <w:rPr>
                <w:rFonts w:hint="eastAsia" w:ascii="宋体" w:hAnsi="宋体" w:eastAsia="宋体" w:cs="宋体"/>
                <w:kern w:val="0"/>
                <w:sz w:val="21"/>
                <w:szCs w:val="21"/>
                <w:lang w:bidi="ar"/>
              </w:rPr>
              <w:t>收集粉尘</w:t>
            </w:r>
          </w:p>
        </w:tc>
        <w:tc>
          <w:tcPr>
            <w:tcW w:w="1175" w:type="dxa"/>
            <w:noWrap w:val="0"/>
            <w:vAlign w:val="top"/>
          </w:tcPr>
          <w:p w14:paraId="6D20495B">
            <w:pPr>
              <w:keepNext w:val="0"/>
              <w:keepLines w:val="0"/>
              <w:widowControl/>
              <w:suppressLineNumbers w:val="0"/>
              <w:adjustRightInd w:val="0"/>
              <w:snapToGrid w:val="0"/>
              <w:spacing w:before="0" w:beforeAutospacing="0" w:after="0" w:afterAutospacing="0" w:line="240" w:lineRule="atLeast"/>
              <w:ind w:left="0" w:right="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0</w:t>
            </w:r>
          </w:p>
        </w:tc>
        <w:tc>
          <w:tcPr>
            <w:tcW w:w="1415" w:type="dxa"/>
            <w:noWrap w:val="0"/>
            <w:vAlign w:val="top"/>
          </w:tcPr>
          <w:p w14:paraId="28ADC878">
            <w:pPr>
              <w:keepNext w:val="0"/>
              <w:keepLines w:val="0"/>
              <w:widowControl/>
              <w:suppressLineNumbers w:val="0"/>
              <w:adjustRightInd w:val="0"/>
              <w:snapToGrid w:val="0"/>
              <w:spacing w:before="0" w:beforeAutospacing="0" w:after="0" w:afterAutospacing="0" w:line="240" w:lineRule="atLeast"/>
              <w:ind w:left="0" w:right="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0</w:t>
            </w:r>
          </w:p>
        </w:tc>
        <w:tc>
          <w:tcPr>
            <w:tcW w:w="1550" w:type="dxa"/>
            <w:noWrap w:val="0"/>
            <w:vAlign w:val="center"/>
          </w:tcPr>
          <w:p w14:paraId="2B5BBC5C">
            <w:pPr>
              <w:keepNext w:val="0"/>
              <w:keepLines w:val="0"/>
              <w:widowControl/>
              <w:suppressLineNumbers w:val="0"/>
              <w:adjustRightInd w:val="0"/>
              <w:snapToGrid w:val="0"/>
              <w:spacing w:before="0" w:beforeAutospacing="0" w:after="0" w:afterAutospacing="0" w:line="240" w:lineRule="atLeast"/>
              <w:ind w:left="0" w:right="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0</w:t>
            </w:r>
          </w:p>
        </w:tc>
        <w:tc>
          <w:tcPr>
            <w:tcW w:w="1807" w:type="dxa"/>
            <w:noWrap w:val="0"/>
            <w:vAlign w:val="center"/>
          </w:tcPr>
          <w:p w14:paraId="34A20A75">
            <w:pPr>
              <w:keepNext w:val="0"/>
              <w:keepLines w:val="0"/>
              <w:widowControl/>
              <w:suppressLineNumbers w:val="0"/>
              <w:adjustRightInd w:val="0"/>
              <w:snapToGrid w:val="0"/>
              <w:spacing w:before="0" w:beforeAutospacing="0" w:after="0" w:afterAutospacing="0" w:line="240" w:lineRule="atLeast"/>
              <w:ind w:left="0" w:right="0"/>
              <w:jc w:val="center"/>
              <w:textAlignment w:val="center"/>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1.98</w:t>
            </w:r>
          </w:p>
        </w:tc>
        <w:tc>
          <w:tcPr>
            <w:tcW w:w="1311" w:type="dxa"/>
            <w:noWrap w:val="0"/>
            <w:vAlign w:val="center"/>
          </w:tcPr>
          <w:p w14:paraId="400064DB">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w:t>
            </w:r>
          </w:p>
        </w:tc>
        <w:tc>
          <w:tcPr>
            <w:tcW w:w="2100" w:type="dxa"/>
            <w:noWrap w:val="0"/>
            <w:vAlign w:val="center"/>
          </w:tcPr>
          <w:p w14:paraId="16DB8848">
            <w:pPr>
              <w:keepNext w:val="0"/>
              <w:keepLines w:val="0"/>
              <w:widowControl/>
              <w:suppressLineNumbers w:val="0"/>
              <w:adjustRightInd w:val="0"/>
              <w:snapToGrid w:val="0"/>
              <w:spacing w:before="0" w:beforeAutospacing="0" w:after="0" w:afterAutospacing="0" w:line="240" w:lineRule="atLeast"/>
              <w:ind w:left="0" w:leftChars="0" w:right="0" w:rightChars="0"/>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val="en-US" w:eastAsia="zh-CN" w:bidi="ar"/>
              </w:rPr>
              <w:t>1.98</w:t>
            </w:r>
          </w:p>
        </w:tc>
        <w:tc>
          <w:tcPr>
            <w:tcW w:w="2156" w:type="dxa"/>
            <w:noWrap w:val="0"/>
            <w:vAlign w:val="center"/>
          </w:tcPr>
          <w:p w14:paraId="47C6FA93">
            <w:pPr>
              <w:keepNext w:val="0"/>
              <w:keepLines w:val="0"/>
              <w:widowControl/>
              <w:suppressLineNumbers w:val="0"/>
              <w:adjustRightInd w:val="0"/>
              <w:snapToGrid w:val="0"/>
              <w:spacing w:before="0" w:beforeAutospacing="0" w:after="0" w:afterAutospacing="0" w:line="240" w:lineRule="atLeast"/>
              <w:ind w:left="0" w:leftChars="0" w:right="0" w:rightChars="0"/>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val="en-US" w:eastAsia="zh-CN" w:bidi="ar"/>
              </w:rPr>
              <w:t>+1.98</w:t>
            </w:r>
          </w:p>
        </w:tc>
      </w:tr>
      <w:tr w14:paraId="535A6A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976" w:type="dxa"/>
            <w:vMerge w:val="continue"/>
            <w:noWrap w:val="0"/>
            <w:vAlign w:val="center"/>
          </w:tcPr>
          <w:p w14:paraId="6EA90E91">
            <w:pPr>
              <w:pStyle w:val="13"/>
              <w:keepNext w:val="0"/>
              <w:keepLines w:val="0"/>
              <w:suppressLineNumbers w:val="0"/>
              <w:snapToGrid w:val="0"/>
              <w:spacing w:before="0" w:beforeAutospacing="0" w:after="0" w:afterAutospacing="0" w:line="240" w:lineRule="atLeast"/>
              <w:ind w:left="0" w:right="0" w:firstLine="0" w:firstLineChars="0"/>
              <w:rPr>
                <w:rFonts w:hint="eastAsia" w:ascii="宋体" w:hAnsi="宋体" w:eastAsia="宋体" w:cs="宋体"/>
                <w:szCs w:val="21"/>
              </w:rPr>
            </w:pPr>
          </w:p>
        </w:tc>
        <w:tc>
          <w:tcPr>
            <w:tcW w:w="2116" w:type="dxa"/>
            <w:noWrap w:val="0"/>
            <w:vAlign w:val="center"/>
          </w:tcPr>
          <w:p w14:paraId="4FB9A5EF">
            <w:pPr>
              <w:keepNext w:val="0"/>
              <w:keepLines w:val="0"/>
              <w:widowControl/>
              <w:suppressLineNumbers w:val="0"/>
              <w:adjustRightInd w:val="0"/>
              <w:snapToGrid w:val="0"/>
              <w:spacing w:before="0" w:beforeAutospacing="0" w:after="0" w:afterAutospacing="0" w:line="240" w:lineRule="atLeast"/>
              <w:ind w:left="0" w:leftChars="0" w:right="0" w:right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废布袋</w:t>
            </w:r>
          </w:p>
        </w:tc>
        <w:tc>
          <w:tcPr>
            <w:tcW w:w="1175" w:type="dxa"/>
            <w:noWrap w:val="0"/>
            <w:vAlign w:val="top"/>
          </w:tcPr>
          <w:p w14:paraId="4CBF7E7F">
            <w:pPr>
              <w:keepNext w:val="0"/>
              <w:keepLines w:val="0"/>
              <w:widowControl/>
              <w:suppressLineNumbers w:val="0"/>
              <w:adjustRightInd w:val="0"/>
              <w:snapToGrid w:val="0"/>
              <w:spacing w:before="0" w:beforeAutospacing="0" w:after="0" w:afterAutospacing="0" w:line="240" w:lineRule="atLeast"/>
              <w:ind w:left="0" w:right="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0</w:t>
            </w:r>
          </w:p>
        </w:tc>
        <w:tc>
          <w:tcPr>
            <w:tcW w:w="1415" w:type="dxa"/>
            <w:noWrap w:val="0"/>
            <w:vAlign w:val="top"/>
          </w:tcPr>
          <w:p w14:paraId="43E85666">
            <w:pPr>
              <w:keepNext w:val="0"/>
              <w:keepLines w:val="0"/>
              <w:widowControl/>
              <w:suppressLineNumbers w:val="0"/>
              <w:adjustRightInd w:val="0"/>
              <w:snapToGrid w:val="0"/>
              <w:spacing w:before="0" w:beforeAutospacing="0" w:after="0" w:afterAutospacing="0" w:line="240" w:lineRule="atLeast"/>
              <w:ind w:left="0" w:right="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0</w:t>
            </w:r>
          </w:p>
        </w:tc>
        <w:tc>
          <w:tcPr>
            <w:tcW w:w="1550" w:type="dxa"/>
            <w:noWrap w:val="0"/>
            <w:vAlign w:val="center"/>
          </w:tcPr>
          <w:p w14:paraId="10726E51">
            <w:pPr>
              <w:keepNext w:val="0"/>
              <w:keepLines w:val="0"/>
              <w:widowControl/>
              <w:suppressLineNumbers w:val="0"/>
              <w:adjustRightInd w:val="0"/>
              <w:snapToGrid w:val="0"/>
              <w:spacing w:before="0" w:beforeAutospacing="0" w:after="0" w:afterAutospacing="0" w:line="240" w:lineRule="atLeast"/>
              <w:ind w:left="0" w:right="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0</w:t>
            </w:r>
          </w:p>
        </w:tc>
        <w:tc>
          <w:tcPr>
            <w:tcW w:w="1807" w:type="dxa"/>
            <w:noWrap w:val="0"/>
            <w:vAlign w:val="center"/>
          </w:tcPr>
          <w:p w14:paraId="201E11EA">
            <w:pPr>
              <w:keepNext w:val="0"/>
              <w:keepLines w:val="0"/>
              <w:widowControl/>
              <w:suppressLineNumbers w:val="0"/>
              <w:adjustRightInd w:val="0"/>
              <w:snapToGrid w:val="0"/>
              <w:spacing w:before="0" w:beforeAutospacing="0" w:after="0" w:afterAutospacing="0" w:line="240" w:lineRule="atLeast"/>
              <w:ind w:left="0" w:right="0"/>
              <w:jc w:val="center"/>
              <w:textAlignment w:val="center"/>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0.12</w:t>
            </w:r>
          </w:p>
        </w:tc>
        <w:tc>
          <w:tcPr>
            <w:tcW w:w="1311" w:type="dxa"/>
            <w:noWrap w:val="0"/>
            <w:vAlign w:val="center"/>
          </w:tcPr>
          <w:p w14:paraId="76C5CC78">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0</w:t>
            </w:r>
          </w:p>
        </w:tc>
        <w:tc>
          <w:tcPr>
            <w:tcW w:w="2100" w:type="dxa"/>
            <w:noWrap w:val="0"/>
            <w:vAlign w:val="center"/>
          </w:tcPr>
          <w:p w14:paraId="0509C522">
            <w:pPr>
              <w:keepNext w:val="0"/>
              <w:keepLines w:val="0"/>
              <w:widowControl/>
              <w:suppressLineNumbers w:val="0"/>
              <w:adjustRightInd w:val="0"/>
              <w:snapToGrid w:val="0"/>
              <w:spacing w:before="0" w:beforeAutospacing="0" w:after="0" w:afterAutospacing="0" w:line="240" w:lineRule="atLeast"/>
              <w:ind w:left="0" w:leftChars="0" w:right="0" w:rightChars="0"/>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val="en-US" w:eastAsia="zh-CN" w:bidi="ar"/>
              </w:rPr>
              <w:t>0.12</w:t>
            </w:r>
          </w:p>
        </w:tc>
        <w:tc>
          <w:tcPr>
            <w:tcW w:w="2156" w:type="dxa"/>
            <w:noWrap w:val="0"/>
            <w:vAlign w:val="center"/>
          </w:tcPr>
          <w:p w14:paraId="21E274F9">
            <w:pPr>
              <w:keepNext w:val="0"/>
              <w:keepLines w:val="0"/>
              <w:widowControl/>
              <w:suppressLineNumbers w:val="0"/>
              <w:adjustRightInd w:val="0"/>
              <w:snapToGrid w:val="0"/>
              <w:spacing w:before="0" w:beforeAutospacing="0" w:after="0" w:afterAutospacing="0" w:line="240" w:lineRule="atLeast"/>
              <w:ind w:left="0" w:leftChars="0" w:right="0" w:rightChars="0"/>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val="en-US" w:eastAsia="zh-CN" w:bidi="ar"/>
              </w:rPr>
              <w:t>+0.12</w:t>
            </w:r>
          </w:p>
        </w:tc>
      </w:tr>
      <w:tr w14:paraId="47C8CB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976" w:type="dxa"/>
            <w:vMerge w:val="continue"/>
            <w:noWrap w:val="0"/>
            <w:vAlign w:val="center"/>
          </w:tcPr>
          <w:p w14:paraId="177510A8">
            <w:pPr>
              <w:pStyle w:val="13"/>
              <w:keepNext w:val="0"/>
              <w:keepLines w:val="0"/>
              <w:suppressLineNumbers w:val="0"/>
              <w:snapToGrid w:val="0"/>
              <w:spacing w:before="0" w:beforeAutospacing="0" w:after="0" w:afterAutospacing="0" w:line="240" w:lineRule="atLeast"/>
              <w:ind w:left="0" w:right="0" w:firstLine="0" w:firstLineChars="0"/>
              <w:rPr>
                <w:rFonts w:hint="eastAsia" w:ascii="宋体" w:hAnsi="宋体" w:eastAsia="宋体" w:cs="宋体"/>
                <w:szCs w:val="21"/>
              </w:rPr>
            </w:pPr>
          </w:p>
        </w:tc>
        <w:tc>
          <w:tcPr>
            <w:tcW w:w="2116" w:type="dxa"/>
            <w:noWrap w:val="0"/>
            <w:vAlign w:val="center"/>
          </w:tcPr>
          <w:p w14:paraId="50371E69">
            <w:pPr>
              <w:keepNext w:val="0"/>
              <w:keepLines w:val="0"/>
              <w:widowControl/>
              <w:suppressLineNumbers w:val="0"/>
              <w:adjustRightInd w:val="0"/>
              <w:snapToGrid w:val="0"/>
              <w:spacing w:before="0" w:beforeAutospacing="0" w:after="0" w:afterAutospacing="0" w:line="240" w:lineRule="atLeast"/>
              <w:ind w:left="0" w:leftChars="0" w:right="0" w:right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废砂</w:t>
            </w:r>
          </w:p>
        </w:tc>
        <w:tc>
          <w:tcPr>
            <w:tcW w:w="1175" w:type="dxa"/>
            <w:noWrap w:val="0"/>
            <w:vAlign w:val="top"/>
          </w:tcPr>
          <w:p w14:paraId="1D758E2C">
            <w:pPr>
              <w:keepNext w:val="0"/>
              <w:keepLines w:val="0"/>
              <w:widowControl/>
              <w:suppressLineNumbers w:val="0"/>
              <w:adjustRightInd w:val="0"/>
              <w:snapToGrid w:val="0"/>
              <w:spacing w:before="0" w:beforeAutospacing="0" w:after="0" w:afterAutospacing="0" w:line="240" w:lineRule="atLeast"/>
              <w:ind w:left="0" w:right="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0</w:t>
            </w:r>
          </w:p>
        </w:tc>
        <w:tc>
          <w:tcPr>
            <w:tcW w:w="1415" w:type="dxa"/>
            <w:noWrap w:val="0"/>
            <w:vAlign w:val="top"/>
          </w:tcPr>
          <w:p w14:paraId="62C46932">
            <w:pPr>
              <w:keepNext w:val="0"/>
              <w:keepLines w:val="0"/>
              <w:widowControl/>
              <w:suppressLineNumbers w:val="0"/>
              <w:adjustRightInd w:val="0"/>
              <w:snapToGrid w:val="0"/>
              <w:spacing w:before="0" w:beforeAutospacing="0" w:after="0" w:afterAutospacing="0" w:line="240" w:lineRule="atLeast"/>
              <w:ind w:left="0" w:right="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0</w:t>
            </w:r>
          </w:p>
        </w:tc>
        <w:tc>
          <w:tcPr>
            <w:tcW w:w="1550" w:type="dxa"/>
            <w:noWrap w:val="0"/>
            <w:vAlign w:val="center"/>
          </w:tcPr>
          <w:p w14:paraId="764F92D9">
            <w:pPr>
              <w:keepNext w:val="0"/>
              <w:keepLines w:val="0"/>
              <w:widowControl/>
              <w:suppressLineNumbers w:val="0"/>
              <w:adjustRightInd w:val="0"/>
              <w:snapToGrid w:val="0"/>
              <w:spacing w:before="0" w:beforeAutospacing="0" w:after="0" w:afterAutospacing="0" w:line="240" w:lineRule="atLeast"/>
              <w:ind w:left="0" w:right="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0</w:t>
            </w:r>
          </w:p>
        </w:tc>
        <w:tc>
          <w:tcPr>
            <w:tcW w:w="1807" w:type="dxa"/>
            <w:noWrap w:val="0"/>
            <w:vAlign w:val="center"/>
          </w:tcPr>
          <w:p w14:paraId="713C3A9B">
            <w:pPr>
              <w:keepNext w:val="0"/>
              <w:keepLines w:val="0"/>
              <w:widowControl/>
              <w:suppressLineNumbers w:val="0"/>
              <w:adjustRightInd w:val="0"/>
              <w:snapToGrid w:val="0"/>
              <w:spacing w:before="0" w:beforeAutospacing="0" w:after="0" w:afterAutospacing="0" w:line="240" w:lineRule="atLeast"/>
              <w:ind w:left="0" w:right="0"/>
              <w:jc w:val="center"/>
              <w:textAlignment w:val="center"/>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0.2</w:t>
            </w:r>
          </w:p>
        </w:tc>
        <w:tc>
          <w:tcPr>
            <w:tcW w:w="1311" w:type="dxa"/>
            <w:noWrap w:val="0"/>
            <w:vAlign w:val="center"/>
          </w:tcPr>
          <w:p w14:paraId="5A6546A2">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0</w:t>
            </w:r>
          </w:p>
        </w:tc>
        <w:tc>
          <w:tcPr>
            <w:tcW w:w="2100" w:type="dxa"/>
            <w:noWrap w:val="0"/>
            <w:vAlign w:val="center"/>
          </w:tcPr>
          <w:p w14:paraId="585533F7">
            <w:pPr>
              <w:keepNext w:val="0"/>
              <w:keepLines w:val="0"/>
              <w:widowControl/>
              <w:suppressLineNumbers w:val="0"/>
              <w:adjustRightInd w:val="0"/>
              <w:snapToGrid w:val="0"/>
              <w:spacing w:before="0" w:beforeAutospacing="0" w:after="0" w:afterAutospacing="0" w:line="240" w:lineRule="atLeast"/>
              <w:ind w:left="0" w:leftChars="0" w:right="0" w:rightChars="0"/>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val="en-US" w:eastAsia="zh-CN" w:bidi="ar"/>
              </w:rPr>
              <w:t>0.2</w:t>
            </w:r>
          </w:p>
        </w:tc>
        <w:tc>
          <w:tcPr>
            <w:tcW w:w="2156" w:type="dxa"/>
            <w:noWrap w:val="0"/>
            <w:vAlign w:val="center"/>
          </w:tcPr>
          <w:p w14:paraId="4DAA2E5A">
            <w:pPr>
              <w:keepNext w:val="0"/>
              <w:keepLines w:val="0"/>
              <w:widowControl/>
              <w:suppressLineNumbers w:val="0"/>
              <w:adjustRightInd w:val="0"/>
              <w:snapToGrid w:val="0"/>
              <w:spacing w:before="0" w:beforeAutospacing="0" w:after="0" w:afterAutospacing="0" w:line="240" w:lineRule="atLeast"/>
              <w:ind w:left="0" w:leftChars="0" w:right="0" w:rightChars="0"/>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val="en-US" w:eastAsia="zh-CN" w:bidi="ar"/>
              </w:rPr>
              <w:t>+0.2</w:t>
            </w:r>
          </w:p>
        </w:tc>
      </w:tr>
      <w:tr w14:paraId="4C509E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976" w:type="dxa"/>
            <w:vMerge w:val="restart"/>
            <w:noWrap w:val="0"/>
            <w:vAlign w:val="center"/>
          </w:tcPr>
          <w:p w14:paraId="13FA8905">
            <w:pPr>
              <w:pStyle w:val="13"/>
              <w:keepNext w:val="0"/>
              <w:keepLines w:val="0"/>
              <w:suppressLineNumbers w:val="0"/>
              <w:snapToGrid w:val="0"/>
              <w:spacing w:before="0" w:beforeAutospacing="0" w:after="0" w:afterAutospacing="0" w:line="240" w:lineRule="atLeast"/>
              <w:ind w:left="0" w:right="0" w:firstLine="0" w:firstLineChars="0"/>
              <w:rPr>
                <w:rFonts w:hint="eastAsia" w:ascii="宋体" w:hAnsi="宋体" w:eastAsia="宋体" w:cs="宋体"/>
                <w:szCs w:val="21"/>
              </w:rPr>
            </w:pPr>
            <w:r>
              <w:rPr>
                <w:rFonts w:hint="eastAsia" w:ascii="宋体" w:hAnsi="宋体" w:eastAsia="宋体" w:cs="宋体"/>
                <w:szCs w:val="21"/>
              </w:rPr>
              <w:t>危险</w:t>
            </w:r>
          </w:p>
          <w:p w14:paraId="58BAAD7E">
            <w:pPr>
              <w:pStyle w:val="13"/>
              <w:keepNext w:val="0"/>
              <w:keepLines w:val="0"/>
              <w:suppressLineNumbers w:val="0"/>
              <w:snapToGrid w:val="0"/>
              <w:spacing w:before="0" w:beforeAutospacing="0" w:after="0" w:afterAutospacing="0" w:line="240" w:lineRule="atLeast"/>
              <w:ind w:left="0" w:right="0" w:firstLine="0" w:firstLineChars="0"/>
              <w:rPr>
                <w:rFonts w:hint="eastAsia" w:ascii="宋体" w:hAnsi="宋体" w:eastAsia="宋体" w:cs="宋体"/>
                <w:szCs w:val="21"/>
              </w:rPr>
            </w:pPr>
            <w:r>
              <w:rPr>
                <w:rFonts w:hint="eastAsia" w:ascii="宋体" w:hAnsi="宋体" w:eastAsia="宋体" w:cs="宋体"/>
                <w:szCs w:val="21"/>
              </w:rPr>
              <w:t>固废</w:t>
            </w:r>
          </w:p>
        </w:tc>
        <w:tc>
          <w:tcPr>
            <w:tcW w:w="2116" w:type="dxa"/>
            <w:noWrap w:val="0"/>
            <w:vAlign w:val="center"/>
          </w:tcPr>
          <w:p w14:paraId="3108CE18">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废脱脂液</w:t>
            </w:r>
          </w:p>
        </w:tc>
        <w:tc>
          <w:tcPr>
            <w:tcW w:w="1175" w:type="dxa"/>
            <w:noWrap w:val="0"/>
            <w:vAlign w:val="top"/>
          </w:tcPr>
          <w:p w14:paraId="044F8026">
            <w:pPr>
              <w:keepNext w:val="0"/>
              <w:keepLines w:val="0"/>
              <w:widowControl/>
              <w:suppressLineNumbers w:val="0"/>
              <w:adjustRightInd w:val="0"/>
              <w:snapToGrid w:val="0"/>
              <w:spacing w:before="0" w:beforeAutospacing="0" w:after="0" w:afterAutospacing="0" w:line="240" w:lineRule="atLeast"/>
              <w:ind w:left="0" w:right="0"/>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0</w:t>
            </w:r>
          </w:p>
        </w:tc>
        <w:tc>
          <w:tcPr>
            <w:tcW w:w="1415" w:type="dxa"/>
            <w:noWrap w:val="0"/>
            <w:vAlign w:val="top"/>
          </w:tcPr>
          <w:p w14:paraId="28DA76F5">
            <w:pPr>
              <w:keepNext w:val="0"/>
              <w:keepLines w:val="0"/>
              <w:widowControl/>
              <w:suppressLineNumbers w:val="0"/>
              <w:adjustRightInd w:val="0"/>
              <w:snapToGrid w:val="0"/>
              <w:spacing w:before="0" w:beforeAutospacing="0" w:after="0" w:afterAutospacing="0" w:line="240" w:lineRule="atLeast"/>
              <w:ind w:left="0" w:right="0"/>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0</w:t>
            </w:r>
          </w:p>
        </w:tc>
        <w:tc>
          <w:tcPr>
            <w:tcW w:w="1550" w:type="dxa"/>
            <w:noWrap w:val="0"/>
            <w:vAlign w:val="center"/>
          </w:tcPr>
          <w:p w14:paraId="7E297536">
            <w:pPr>
              <w:keepNext w:val="0"/>
              <w:keepLines w:val="0"/>
              <w:widowControl/>
              <w:suppressLineNumbers w:val="0"/>
              <w:adjustRightInd w:val="0"/>
              <w:snapToGrid w:val="0"/>
              <w:spacing w:before="0" w:beforeAutospacing="0" w:after="0" w:afterAutospacing="0" w:line="240" w:lineRule="atLeast"/>
              <w:ind w:left="0" w:right="0"/>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0</w:t>
            </w:r>
          </w:p>
        </w:tc>
        <w:tc>
          <w:tcPr>
            <w:tcW w:w="1807" w:type="dxa"/>
            <w:noWrap w:val="0"/>
            <w:vAlign w:val="center"/>
          </w:tcPr>
          <w:p w14:paraId="760D2D89">
            <w:pPr>
              <w:keepNext w:val="0"/>
              <w:keepLines w:val="0"/>
              <w:widowControl/>
              <w:suppressLineNumbers w:val="0"/>
              <w:adjustRightInd w:val="0"/>
              <w:snapToGrid w:val="0"/>
              <w:spacing w:before="0" w:beforeAutospacing="0" w:after="0" w:afterAutospacing="0" w:line="240" w:lineRule="atLeast"/>
              <w:ind w:left="0" w:right="0"/>
              <w:jc w:val="center"/>
              <w:textAlignment w:val="center"/>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3</w:t>
            </w:r>
          </w:p>
        </w:tc>
        <w:tc>
          <w:tcPr>
            <w:tcW w:w="1311" w:type="dxa"/>
            <w:noWrap w:val="0"/>
            <w:vAlign w:val="center"/>
          </w:tcPr>
          <w:p w14:paraId="5E105CF5">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0</w:t>
            </w:r>
          </w:p>
        </w:tc>
        <w:tc>
          <w:tcPr>
            <w:tcW w:w="2100" w:type="dxa"/>
            <w:noWrap w:val="0"/>
            <w:vAlign w:val="center"/>
          </w:tcPr>
          <w:p w14:paraId="66D19EC6">
            <w:pPr>
              <w:keepNext w:val="0"/>
              <w:keepLines w:val="0"/>
              <w:widowControl/>
              <w:suppressLineNumbers w:val="0"/>
              <w:adjustRightInd w:val="0"/>
              <w:snapToGrid w:val="0"/>
              <w:spacing w:before="0" w:beforeAutospacing="0" w:after="0" w:afterAutospacing="0" w:line="240" w:lineRule="atLeast"/>
              <w:ind w:left="0" w:leftChars="0" w:right="0" w:rightChars="0"/>
              <w:jc w:val="center"/>
              <w:textAlignment w:val="center"/>
              <w:rPr>
                <w:rFonts w:hint="default" w:ascii="宋体" w:hAnsi="宋体" w:eastAsia="宋体" w:cs="宋体"/>
                <w:sz w:val="21"/>
                <w:szCs w:val="21"/>
                <w:lang w:val="en-US" w:eastAsia="zh-CN"/>
              </w:rPr>
            </w:pPr>
            <w:r>
              <w:rPr>
                <w:rFonts w:hint="eastAsia" w:ascii="宋体" w:hAnsi="宋体" w:eastAsia="宋体" w:cs="宋体"/>
                <w:kern w:val="0"/>
                <w:sz w:val="21"/>
                <w:szCs w:val="21"/>
                <w:lang w:val="en-US" w:eastAsia="zh-CN" w:bidi="ar"/>
              </w:rPr>
              <w:t>3</w:t>
            </w:r>
          </w:p>
        </w:tc>
        <w:tc>
          <w:tcPr>
            <w:tcW w:w="2156" w:type="dxa"/>
            <w:noWrap w:val="0"/>
            <w:vAlign w:val="center"/>
          </w:tcPr>
          <w:p w14:paraId="04B1DA38">
            <w:pPr>
              <w:keepNext w:val="0"/>
              <w:keepLines w:val="0"/>
              <w:widowControl/>
              <w:suppressLineNumbers w:val="0"/>
              <w:adjustRightInd w:val="0"/>
              <w:snapToGrid w:val="0"/>
              <w:spacing w:before="0" w:beforeAutospacing="0" w:after="0" w:afterAutospacing="0" w:line="240" w:lineRule="atLeast"/>
              <w:ind w:left="0" w:leftChars="0" w:right="0" w:rightChars="0"/>
              <w:jc w:val="center"/>
              <w:textAlignment w:val="center"/>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+3</w:t>
            </w:r>
          </w:p>
        </w:tc>
      </w:tr>
      <w:tr w14:paraId="4B406E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976" w:type="dxa"/>
            <w:vMerge w:val="continue"/>
            <w:noWrap w:val="0"/>
            <w:vAlign w:val="center"/>
          </w:tcPr>
          <w:p w14:paraId="3179B29A">
            <w:pPr>
              <w:pStyle w:val="13"/>
              <w:keepNext w:val="0"/>
              <w:keepLines w:val="0"/>
              <w:suppressLineNumbers w:val="0"/>
              <w:snapToGrid w:val="0"/>
              <w:spacing w:before="0" w:beforeAutospacing="0" w:after="0" w:afterAutospacing="0" w:line="240" w:lineRule="atLeast"/>
              <w:ind w:left="0" w:right="0" w:firstLine="0" w:firstLineChars="0"/>
              <w:rPr>
                <w:rFonts w:hint="eastAsia" w:ascii="宋体" w:hAnsi="宋体" w:eastAsia="宋体" w:cs="宋体"/>
                <w:szCs w:val="21"/>
              </w:rPr>
            </w:pPr>
          </w:p>
        </w:tc>
        <w:tc>
          <w:tcPr>
            <w:tcW w:w="2116" w:type="dxa"/>
            <w:noWrap w:val="0"/>
            <w:vAlign w:val="center"/>
          </w:tcPr>
          <w:p w14:paraId="0EC59662">
            <w:pPr>
              <w:keepNext w:val="0"/>
              <w:keepLines w:val="0"/>
              <w:suppressLineNumbers w:val="0"/>
              <w:adjustRightInd w:val="0"/>
              <w:snapToGrid w:val="0"/>
              <w:spacing w:before="0" w:beforeAutospacing="0" w:after="0" w:afterAutospacing="0" w:line="240" w:lineRule="atLeast"/>
              <w:ind w:left="0" w:leftChars="0" w:right="0" w:right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废硅烷处理剂</w:t>
            </w:r>
          </w:p>
        </w:tc>
        <w:tc>
          <w:tcPr>
            <w:tcW w:w="1175" w:type="dxa"/>
            <w:noWrap w:val="0"/>
            <w:vAlign w:val="top"/>
          </w:tcPr>
          <w:p w14:paraId="7D123419">
            <w:pPr>
              <w:keepNext w:val="0"/>
              <w:keepLines w:val="0"/>
              <w:widowControl/>
              <w:suppressLineNumbers w:val="0"/>
              <w:adjustRightInd w:val="0"/>
              <w:snapToGrid w:val="0"/>
              <w:spacing w:before="0" w:beforeAutospacing="0" w:after="0" w:afterAutospacing="0" w:line="240" w:lineRule="atLeast"/>
              <w:ind w:left="0" w:right="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0</w:t>
            </w:r>
          </w:p>
        </w:tc>
        <w:tc>
          <w:tcPr>
            <w:tcW w:w="1415" w:type="dxa"/>
            <w:noWrap w:val="0"/>
            <w:vAlign w:val="top"/>
          </w:tcPr>
          <w:p w14:paraId="5558AB23">
            <w:pPr>
              <w:keepNext w:val="0"/>
              <w:keepLines w:val="0"/>
              <w:widowControl/>
              <w:suppressLineNumbers w:val="0"/>
              <w:adjustRightInd w:val="0"/>
              <w:snapToGrid w:val="0"/>
              <w:spacing w:before="0" w:beforeAutospacing="0" w:after="0" w:afterAutospacing="0" w:line="240" w:lineRule="atLeast"/>
              <w:ind w:left="0" w:right="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0</w:t>
            </w:r>
          </w:p>
        </w:tc>
        <w:tc>
          <w:tcPr>
            <w:tcW w:w="1550" w:type="dxa"/>
            <w:noWrap w:val="0"/>
            <w:vAlign w:val="center"/>
          </w:tcPr>
          <w:p w14:paraId="4961C027">
            <w:pPr>
              <w:keepNext w:val="0"/>
              <w:keepLines w:val="0"/>
              <w:widowControl/>
              <w:suppressLineNumbers w:val="0"/>
              <w:adjustRightInd w:val="0"/>
              <w:snapToGrid w:val="0"/>
              <w:spacing w:before="0" w:beforeAutospacing="0" w:after="0" w:afterAutospacing="0" w:line="240" w:lineRule="atLeast"/>
              <w:ind w:left="0" w:right="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0</w:t>
            </w:r>
          </w:p>
        </w:tc>
        <w:tc>
          <w:tcPr>
            <w:tcW w:w="1807" w:type="dxa"/>
            <w:noWrap w:val="0"/>
            <w:vAlign w:val="center"/>
          </w:tcPr>
          <w:p w14:paraId="343D7D8B">
            <w:pPr>
              <w:keepNext w:val="0"/>
              <w:keepLines w:val="0"/>
              <w:widowControl/>
              <w:suppressLineNumbers w:val="0"/>
              <w:adjustRightInd w:val="0"/>
              <w:snapToGrid w:val="0"/>
              <w:spacing w:before="0" w:beforeAutospacing="0" w:after="0" w:afterAutospacing="0" w:line="240" w:lineRule="atLeast"/>
              <w:ind w:left="0" w:right="0"/>
              <w:jc w:val="center"/>
              <w:textAlignment w:val="center"/>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3</w:t>
            </w:r>
          </w:p>
        </w:tc>
        <w:tc>
          <w:tcPr>
            <w:tcW w:w="1311" w:type="dxa"/>
            <w:noWrap w:val="0"/>
            <w:vAlign w:val="center"/>
          </w:tcPr>
          <w:p w14:paraId="39B8B83C">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0</w:t>
            </w:r>
          </w:p>
        </w:tc>
        <w:tc>
          <w:tcPr>
            <w:tcW w:w="2100" w:type="dxa"/>
            <w:noWrap w:val="0"/>
            <w:vAlign w:val="center"/>
          </w:tcPr>
          <w:p w14:paraId="60BF8016">
            <w:pPr>
              <w:keepNext w:val="0"/>
              <w:keepLines w:val="0"/>
              <w:widowControl/>
              <w:suppressLineNumbers w:val="0"/>
              <w:adjustRightInd w:val="0"/>
              <w:snapToGrid w:val="0"/>
              <w:spacing w:before="0" w:beforeAutospacing="0" w:after="0" w:afterAutospacing="0" w:line="240" w:lineRule="atLeast"/>
              <w:ind w:left="0" w:leftChars="0" w:right="0" w:rightChars="0"/>
              <w:jc w:val="center"/>
              <w:textAlignment w:val="center"/>
              <w:rPr>
                <w:rFonts w:hint="default" w:ascii="宋体" w:hAnsi="宋体" w:eastAsia="宋体" w:cs="宋体"/>
                <w:sz w:val="21"/>
                <w:szCs w:val="21"/>
                <w:lang w:val="en-US" w:eastAsia="zh-CN"/>
              </w:rPr>
            </w:pPr>
            <w:r>
              <w:rPr>
                <w:rFonts w:hint="eastAsia" w:ascii="宋体" w:hAnsi="宋体" w:eastAsia="宋体" w:cs="宋体"/>
                <w:kern w:val="0"/>
                <w:sz w:val="21"/>
                <w:szCs w:val="21"/>
                <w:lang w:val="en-US" w:eastAsia="zh-CN" w:bidi="ar"/>
              </w:rPr>
              <w:t>3</w:t>
            </w:r>
          </w:p>
        </w:tc>
        <w:tc>
          <w:tcPr>
            <w:tcW w:w="2156" w:type="dxa"/>
            <w:noWrap w:val="0"/>
            <w:vAlign w:val="center"/>
          </w:tcPr>
          <w:p w14:paraId="2574EB62">
            <w:pPr>
              <w:keepNext w:val="0"/>
              <w:keepLines w:val="0"/>
              <w:widowControl/>
              <w:suppressLineNumbers w:val="0"/>
              <w:adjustRightInd w:val="0"/>
              <w:snapToGrid w:val="0"/>
              <w:spacing w:before="0" w:beforeAutospacing="0" w:after="0" w:afterAutospacing="0" w:line="240" w:lineRule="atLeast"/>
              <w:ind w:left="0" w:leftChars="0" w:right="0" w:rightChars="0"/>
              <w:jc w:val="center"/>
              <w:textAlignment w:val="center"/>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+3</w:t>
            </w:r>
          </w:p>
        </w:tc>
      </w:tr>
      <w:tr w14:paraId="02645A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976" w:type="dxa"/>
            <w:vMerge w:val="continue"/>
            <w:noWrap w:val="0"/>
            <w:vAlign w:val="center"/>
          </w:tcPr>
          <w:p w14:paraId="0CC5EE87">
            <w:pPr>
              <w:pStyle w:val="13"/>
              <w:keepNext w:val="0"/>
              <w:keepLines w:val="0"/>
              <w:suppressLineNumbers w:val="0"/>
              <w:snapToGrid w:val="0"/>
              <w:spacing w:before="0" w:beforeAutospacing="0" w:after="0" w:afterAutospacing="0" w:line="240" w:lineRule="atLeast"/>
              <w:ind w:left="0" w:right="0" w:firstLine="0" w:firstLineChars="0"/>
              <w:rPr>
                <w:rFonts w:hint="eastAsia" w:ascii="宋体" w:hAnsi="宋体" w:eastAsia="宋体" w:cs="宋体"/>
                <w:szCs w:val="21"/>
              </w:rPr>
            </w:pPr>
          </w:p>
        </w:tc>
        <w:tc>
          <w:tcPr>
            <w:tcW w:w="2116" w:type="dxa"/>
            <w:noWrap w:val="0"/>
            <w:vAlign w:val="center"/>
          </w:tcPr>
          <w:p w14:paraId="0F2DCF7C">
            <w:pPr>
              <w:keepNext w:val="0"/>
              <w:keepLines w:val="0"/>
              <w:suppressLineNumbers w:val="0"/>
              <w:adjustRightInd w:val="0"/>
              <w:snapToGrid w:val="0"/>
              <w:spacing w:before="0" w:beforeAutospacing="0" w:after="0" w:afterAutospacing="0" w:line="240" w:lineRule="atLeast"/>
              <w:ind w:left="0" w:leftChars="0" w:right="0" w:right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水洗废液</w:t>
            </w:r>
          </w:p>
        </w:tc>
        <w:tc>
          <w:tcPr>
            <w:tcW w:w="1175" w:type="dxa"/>
            <w:noWrap w:val="0"/>
            <w:vAlign w:val="top"/>
          </w:tcPr>
          <w:p w14:paraId="071606FF">
            <w:pPr>
              <w:keepNext w:val="0"/>
              <w:keepLines w:val="0"/>
              <w:widowControl/>
              <w:suppressLineNumbers w:val="0"/>
              <w:adjustRightInd w:val="0"/>
              <w:snapToGrid w:val="0"/>
              <w:spacing w:before="0" w:beforeAutospacing="0" w:after="0" w:afterAutospacing="0" w:line="240" w:lineRule="atLeast"/>
              <w:ind w:left="0" w:leftChars="0" w:right="0" w:rightChars="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0</w:t>
            </w:r>
          </w:p>
        </w:tc>
        <w:tc>
          <w:tcPr>
            <w:tcW w:w="1415" w:type="dxa"/>
            <w:noWrap w:val="0"/>
            <w:vAlign w:val="top"/>
          </w:tcPr>
          <w:p w14:paraId="7CC7BD9A">
            <w:pPr>
              <w:keepNext w:val="0"/>
              <w:keepLines w:val="0"/>
              <w:widowControl/>
              <w:suppressLineNumbers w:val="0"/>
              <w:adjustRightInd w:val="0"/>
              <w:snapToGrid w:val="0"/>
              <w:spacing w:before="0" w:beforeAutospacing="0" w:after="0" w:afterAutospacing="0" w:line="240" w:lineRule="atLeast"/>
              <w:ind w:left="0" w:leftChars="0" w:right="0" w:rightChars="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0</w:t>
            </w:r>
          </w:p>
        </w:tc>
        <w:tc>
          <w:tcPr>
            <w:tcW w:w="1550" w:type="dxa"/>
            <w:noWrap w:val="0"/>
            <w:vAlign w:val="center"/>
          </w:tcPr>
          <w:p w14:paraId="0D5C32CF">
            <w:pPr>
              <w:keepNext w:val="0"/>
              <w:keepLines w:val="0"/>
              <w:widowControl/>
              <w:suppressLineNumbers w:val="0"/>
              <w:adjustRightInd w:val="0"/>
              <w:snapToGrid w:val="0"/>
              <w:spacing w:before="0" w:beforeAutospacing="0" w:after="0" w:afterAutospacing="0" w:line="240" w:lineRule="atLeast"/>
              <w:ind w:left="0" w:leftChars="0" w:right="0" w:rightChars="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0</w:t>
            </w:r>
          </w:p>
        </w:tc>
        <w:tc>
          <w:tcPr>
            <w:tcW w:w="1807" w:type="dxa"/>
            <w:noWrap w:val="0"/>
            <w:vAlign w:val="center"/>
          </w:tcPr>
          <w:p w14:paraId="29EE0E24">
            <w:pPr>
              <w:keepNext w:val="0"/>
              <w:keepLines w:val="0"/>
              <w:widowControl/>
              <w:suppressLineNumbers w:val="0"/>
              <w:adjustRightInd w:val="0"/>
              <w:snapToGrid w:val="0"/>
              <w:spacing w:before="0" w:beforeAutospacing="0" w:after="0" w:afterAutospacing="0" w:line="240" w:lineRule="atLeast"/>
              <w:ind w:left="0" w:right="0"/>
              <w:jc w:val="center"/>
              <w:textAlignment w:val="center"/>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13.8</w:t>
            </w:r>
          </w:p>
        </w:tc>
        <w:tc>
          <w:tcPr>
            <w:tcW w:w="1311" w:type="dxa"/>
            <w:noWrap w:val="0"/>
            <w:vAlign w:val="center"/>
          </w:tcPr>
          <w:p w14:paraId="482536E4">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w:t>
            </w:r>
          </w:p>
        </w:tc>
        <w:tc>
          <w:tcPr>
            <w:tcW w:w="2100" w:type="dxa"/>
            <w:noWrap w:val="0"/>
            <w:vAlign w:val="center"/>
          </w:tcPr>
          <w:p w14:paraId="6DF82F42">
            <w:pPr>
              <w:keepNext w:val="0"/>
              <w:keepLines w:val="0"/>
              <w:widowControl/>
              <w:suppressLineNumbers w:val="0"/>
              <w:adjustRightInd w:val="0"/>
              <w:snapToGrid w:val="0"/>
              <w:spacing w:before="0" w:beforeAutospacing="0" w:after="0" w:afterAutospacing="0" w:line="240" w:lineRule="atLeast"/>
              <w:ind w:left="0" w:leftChars="0" w:right="0" w:rightChars="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13.8</w:t>
            </w:r>
          </w:p>
        </w:tc>
        <w:tc>
          <w:tcPr>
            <w:tcW w:w="2156" w:type="dxa"/>
            <w:noWrap w:val="0"/>
            <w:vAlign w:val="center"/>
          </w:tcPr>
          <w:p w14:paraId="61C1BCEA">
            <w:pPr>
              <w:keepNext w:val="0"/>
              <w:keepLines w:val="0"/>
              <w:widowControl/>
              <w:suppressLineNumbers w:val="0"/>
              <w:adjustRightInd w:val="0"/>
              <w:snapToGrid w:val="0"/>
              <w:spacing w:before="0" w:beforeAutospacing="0" w:after="0" w:afterAutospacing="0" w:line="240" w:lineRule="atLeast"/>
              <w:ind w:left="0" w:leftChars="0" w:right="0" w:rightChars="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+13.8</w:t>
            </w:r>
          </w:p>
        </w:tc>
      </w:tr>
      <w:tr w14:paraId="5EA6F8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976" w:type="dxa"/>
            <w:vMerge w:val="continue"/>
            <w:noWrap w:val="0"/>
            <w:vAlign w:val="center"/>
          </w:tcPr>
          <w:p w14:paraId="08310F2D">
            <w:pPr>
              <w:pStyle w:val="13"/>
              <w:keepNext w:val="0"/>
              <w:keepLines w:val="0"/>
              <w:suppressLineNumbers w:val="0"/>
              <w:snapToGrid w:val="0"/>
              <w:spacing w:before="0" w:beforeAutospacing="0" w:after="0" w:afterAutospacing="0" w:line="240" w:lineRule="atLeast"/>
              <w:ind w:left="0" w:right="0" w:firstLine="0" w:firstLineChars="0"/>
              <w:rPr>
                <w:rFonts w:hint="eastAsia" w:ascii="宋体" w:hAnsi="宋体" w:eastAsia="宋体" w:cs="宋体"/>
                <w:szCs w:val="21"/>
              </w:rPr>
            </w:pPr>
          </w:p>
        </w:tc>
        <w:tc>
          <w:tcPr>
            <w:tcW w:w="2116" w:type="dxa"/>
            <w:noWrap w:val="0"/>
            <w:vAlign w:val="center"/>
          </w:tcPr>
          <w:p w14:paraId="4A8F177A">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槽渣</w:t>
            </w:r>
          </w:p>
        </w:tc>
        <w:tc>
          <w:tcPr>
            <w:tcW w:w="1175" w:type="dxa"/>
            <w:noWrap w:val="0"/>
            <w:vAlign w:val="top"/>
          </w:tcPr>
          <w:p w14:paraId="3C0CF1CD">
            <w:pPr>
              <w:keepNext w:val="0"/>
              <w:keepLines w:val="0"/>
              <w:widowControl/>
              <w:suppressLineNumbers w:val="0"/>
              <w:adjustRightInd w:val="0"/>
              <w:snapToGrid w:val="0"/>
              <w:spacing w:before="0" w:beforeAutospacing="0" w:after="0" w:afterAutospacing="0" w:line="240" w:lineRule="atLeast"/>
              <w:ind w:left="0" w:right="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0</w:t>
            </w:r>
          </w:p>
        </w:tc>
        <w:tc>
          <w:tcPr>
            <w:tcW w:w="1415" w:type="dxa"/>
            <w:noWrap w:val="0"/>
            <w:vAlign w:val="top"/>
          </w:tcPr>
          <w:p w14:paraId="17EF8E4C">
            <w:pPr>
              <w:keepNext w:val="0"/>
              <w:keepLines w:val="0"/>
              <w:widowControl/>
              <w:suppressLineNumbers w:val="0"/>
              <w:adjustRightInd w:val="0"/>
              <w:snapToGrid w:val="0"/>
              <w:spacing w:before="0" w:beforeAutospacing="0" w:after="0" w:afterAutospacing="0" w:line="240" w:lineRule="atLeast"/>
              <w:ind w:left="0" w:right="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0</w:t>
            </w:r>
          </w:p>
        </w:tc>
        <w:tc>
          <w:tcPr>
            <w:tcW w:w="1550" w:type="dxa"/>
            <w:noWrap w:val="0"/>
            <w:vAlign w:val="center"/>
          </w:tcPr>
          <w:p w14:paraId="6543B8C0">
            <w:pPr>
              <w:keepNext w:val="0"/>
              <w:keepLines w:val="0"/>
              <w:widowControl/>
              <w:suppressLineNumbers w:val="0"/>
              <w:adjustRightInd w:val="0"/>
              <w:snapToGrid w:val="0"/>
              <w:spacing w:before="0" w:beforeAutospacing="0" w:after="0" w:afterAutospacing="0" w:line="240" w:lineRule="atLeast"/>
              <w:ind w:left="0" w:right="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0</w:t>
            </w:r>
          </w:p>
        </w:tc>
        <w:tc>
          <w:tcPr>
            <w:tcW w:w="1807" w:type="dxa"/>
            <w:noWrap w:val="0"/>
            <w:vAlign w:val="center"/>
          </w:tcPr>
          <w:p w14:paraId="0BE1A3A0">
            <w:pPr>
              <w:keepNext w:val="0"/>
              <w:keepLines w:val="0"/>
              <w:widowControl/>
              <w:suppressLineNumbers w:val="0"/>
              <w:adjustRightInd w:val="0"/>
              <w:snapToGrid w:val="0"/>
              <w:spacing w:before="0" w:beforeAutospacing="0" w:after="0" w:afterAutospacing="0" w:line="240" w:lineRule="atLeast"/>
              <w:ind w:left="0" w:right="0"/>
              <w:jc w:val="center"/>
              <w:textAlignment w:val="center"/>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0.5</w:t>
            </w:r>
          </w:p>
        </w:tc>
        <w:tc>
          <w:tcPr>
            <w:tcW w:w="1311" w:type="dxa"/>
            <w:noWrap w:val="0"/>
            <w:vAlign w:val="center"/>
          </w:tcPr>
          <w:p w14:paraId="6E333AA2">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0</w:t>
            </w:r>
          </w:p>
        </w:tc>
        <w:tc>
          <w:tcPr>
            <w:tcW w:w="2100" w:type="dxa"/>
            <w:noWrap w:val="0"/>
            <w:vAlign w:val="center"/>
          </w:tcPr>
          <w:p w14:paraId="3FA4542A">
            <w:pPr>
              <w:keepNext w:val="0"/>
              <w:keepLines w:val="0"/>
              <w:widowControl/>
              <w:suppressLineNumbers w:val="0"/>
              <w:adjustRightInd w:val="0"/>
              <w:snapToGrid w:val="0"/>
              <w:spacing w:before="0" w:beforeAutospacing="0" w:after="0" w:afterAutospacing="0" w:line="240" w:lineRule="atLeast"/>
              <w:ind w:left="0" w:leftChars="0" w:right="0" w:rightChars="0"/>
              <w:jc w:val="center"/>
              <w:textAlignment w:val="center"/>
              <w:rPr>
                <w:rFonts w:hint="default" w:ascii="宋体" w:hAnsi="宋体" w:eastAsia="宋体" w:cs="宋体"/>
                <w:sz w:val="21"/>
                <w:szCs w:val="21"/>
                <w:lang w:val="en-US" w:eastAsia="zh-CN"/>
              </w:rPr>
            </w:pPr>
            <w:r>
              <w:rPr>
                <w:rFonts w:hint="eastAsia" w:ascii="宋体" w:hAnsi="宋体" w:eastAsia="宋体" w:cs="宋体"/>
                <w:kern w:val="0"/>
                <w:sz w:val="21"/>
                <w:szCs w:val="21"/>
                <w:lang w:val="en-US" w:eastAsia="zh-CN" w:bidi="ar"/>
              </w:rPr>
              <w:t>0.5</w:t>
            </w:r>
          </w:p>
        </w:tc>
        <w:tc>
          <w:tcPr>
            <w:tcW w:w="2156" w:type="dxa"/>
            <w:noWrap w:val="0"/>
            <w:vAlign w:val="center"/>
          </w:tcPr>
          <w:p w14:paraId="05BEB175">
            <w:pPr>
              <w:keepNext w:val="0"/>
              <w:keepLines w:val="0"/>
              <w:widowControl/>
              <w:suppressLineNumbers w:val="0"/>
              <w:adjustRightInd w:val="0"/>
              <w:snapToGrid w:val="0"/>
              <w:spacing w:before="0" w:beforeAutospacing="0" w:after="0" w:afterAutospacing="0" w:line="240" w:lineRule="atLeast"/>
              <w:ind w:left="0" w:leftChars="0" w:right="0" w:rightChars="0"/>
              <w:jc w:val="center"/>
              <w:textAlignment w:val="center"/>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+0.5</w:t>
            </w:r>
          </w:p>
        </w:tc>
      </w:tr>
      <w:tr w14:paraId="55F1BE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976" w:type="dxa"/>
            <w:vMerge w:val="continue"/>
            <w:noWrap w:val="0"/>
            <w:vAlign w:val="center"/>
          </w:tcPr>
          <w:p w14:paraId="04B8321E">
            <w:pPr>
              <w:pStyle w:val="13"/>
              <w:keepNext w:val="0"/>
              <w:keepLines w:val="0"/>
              <w:suppressLineNumbers w:val="0"/>
              <w:snapToGrid w:val="0"/>
              <w:spacing w:before="0" w:beforeAutospacing="0" w:after="0" w:afterAutospacing="0" w:line="240" w:lineRule="atLeast"/>
              <w:ind w:left="0" w:right="0" w:firstLine="420"/>
              <w:rPr>
                <w:rFonts w:hint="eastAsia" w:ascii="宋体" w:hAnsi="宋体" w:eastAsia="宋体" w:cs="宋体"/>
                <w:szCs w:val="21"/>
              </w:rPr>
            </w:pPr>
          </w:p>
        </w:tc>
        <w:tc>
          <w:tcPr>
            <w:tcW w:w="2116" w:type="dxa"/>
            <w:noWrap w:val="0"/>
            <w:vAlign w:val="center"/>
          </w:tcPr>
          <w:p w14:paraId="00A11E3B">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废包装桶</w:t>
            </w:r>
          </w:p>
        </w:tc>
        <w:tc>
          <w:tcPr>
            <w:tcW w:w="1175" w:type="dxa"/>
            <w:noWrap w:val="0"/>
            <w:vAlign w:val="top"/>
          </w:tcPr>
          <w:p w14:paraId="0D340282">
            <w:pPr>
              <w:keepNext w:val="0"/>
              <w:keepLines w:val="0"/>
              <w:widowControl/>
              <w:suppressLineNumbers w:val="0"/>
              <w:adjustRightInd w:val="0"/>
              <w:snapToGrid w:val="0"/>
              <w:spacing w:before="0" w:beforeAutospacing="0" w:after="0" w:afterAutospacing="0" w:line="240" w:lineRule="atLeast"/>
              <w:ind w:left="0" w:right="0"/>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0</w:t>
            </w:r>
          </w:p>
        </w:tc>
        <w:tc>
          <w:tcPr>
            <w:tcW w:w="1415" w:type="dxa"/>
            <w:noWrap w:val="0"/>
            <w:vAlign w:val="top"/>
          </w:tcPr>
          <w:p w14:paraId="5175FF85">
            <w:pPr>
              <w:keepNext w:val="0"/>
              <w:keepLines w:val="0"/>
              <w:widowControl/>
              <w:suppressLineNumbers w:val="0"/>
              <w:adjustRightInd w:val="0"/>
              <w:snapToGrid w:val="0"/>
              <w:spacing w:before="0" w:beforeAutospacing="0" w:after="0" w:afterAutospacing="0" w:line="240" w:lineRule="atLeast"/>
              <w:ind w:left="0" w:right="0"/>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0</w:t>
            </w:r>
          </w:p>
        </w:tc>
        <w:tc>
          <w:tcPr>
            <w:tcW w:w="1550" w:type="dxa"/>
            <w:noWrap w:val="0"/>
            <w:vAlign w:val="center"/>
          </w:tcPr>
          <w:p w14:paraId="5F8C6BF9">
            <w:pPr>
              <w:keepNext w:val="0"/>
              <w:keepLines w:val="0"/>
              <w:widowControl/>
              <w:suppressLineNumbers w:val="0"/>
              <w:adjustRightInd w:val="0"/>
              <w:snapToGrid w:val="0"/>
              <w:spacing w:before="0" w:beforeAutospacing="0" w:after="0" w:afterAutospacing="0" w:line="240" w:lineRule="atLeast"/>
              <w:ind w:left="0" w:right="0"/>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0</w:t>
            </w:r>
          </w:p>
        </w:tc>
        <w:tc>
          <w:tcPr>
            <w:tcW w:w="1807" w:type="dxa"/>
            <w:noWrap w:val="0"/>
            <w:vAlign w:val="center"/>
          </w:tcPr>
          <w:p w14:paraId="3ACF82ED">
            <w:pPr>
              <w:keepNext w:val="0"/>
              <w:keepLines w:val="0"/>
              <w:widowControl/>
              <w:suppressLineNumbers w:val="0"/>
              <w:adjustRightInd w:val="0"/>
              <w:snapToGrid w:val="0"/>
              <w:spacing w:before="0" w:beforeAutospacing="0" w:after="0" w:afterAutospacing="0" w:line="240" w:lineRule="atLeast"/>
              <w:ind w:left="0" w:right="0"/>
              <w:jc w:val="center"/>
              <w:textAlignment w:val="center"/>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0.016</w:t>
            </w:r>
          </w:p>
        </w:tc>
        <w:tc>
          <w:tcPr>
            <w:tcW w:w="1311" w:type="dxa"/>
            <w:noWrap w:val="0"/>
            <w:vAlign w:val="center"/>
          </w:tcPr>
          <w:p w14:paraId="4EF673CB">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rPr>
            </w:pPr>
            <w:r>
              <w:rPr>
                <w:rFonts w:hint="eastAsia" w:ascii="宋体" w:hAnsi="宋体" w:eastAsia="宋体" w:cs="宋体"/>
                <w:sz w:val="21"/>
                <w:szCs w:val="21"/>
              </w:rPr>
              <w:t>0</w:t>
            </w:r>
          </w:p>
        </w:tc>
        <w:tc>
          <w:tcPr>
            <w:tcW w:w="2100" w:type="dxa"/>
            <w:noWrap w:val="0"/>
            <w:vAlign w:val="center"/>
          </w:tcPr>
          <w:p w14:paraId="012178BF">
            <w:pPr>
              <w:keepNext w:val="0"/>
              <w:keepLines w:val="0"/>
              <w:widowControl/>
              <w:suppressLineNumbers w:val="0"/>
              <w:adjustRightInd w:val="0"/>
              <w:snapToGrid w:val="0"/>
              <w:spacing w:before="0" w:beforeAutospacing="0" w:after="0" w:afterAutospacing="0" w:line="240" w:lineRule="atLeast"/>
              <w:ind w:left="0" w:leftChars="0" w:right="0" w:rightChars="0"/>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0.016</w:t>
            </w:r>
          </w:p>
        </w:tc>
        <w:tc>
          <w:tcPr>
            <w:tcW w:w="2156" w:type="dxa"/>
            <w:noWrap w:val="0"/>
            <w:vAlign w:val="center"/>
          </w:tcPr>
          <w:p w14:paraId="5D122C15">
            <w:pPr>
              <w:keepNext w:val="0"/>
              <w:keepLines w:val="0"/>
              <w:widowControl/>
              <w:suppressLineNumbers w:val="0"/>
              <w:adjustRightInd w:val="0"/>
              <w:snapToGrid w:val="0"/>
              <w:spacing w:before="0" w:beforeAutospacing="0" w:after="0" w:afterAutospacing="0" w:line="240" w:lineRule="atLeast"/>
              <w:ind w:left="0" w:leftChars="0" w:right="0" w:rightChars="0"/>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val="en-US" w:eastAsia="zh-CN" w:bidi="ar"/>
              </w:rPr>
              <w:t>+0.016</w:t>
            </w:r>
          </w:p>
        </w:tc>
      </w:tr>
      <w:tr w14:paraId="57FF24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976" w:type="dxa"/>
            <w:vMerge w:val="continue"/>
            <w:noWrap w:val="0"/>
            <w:vAlign w:val="center"/>
          </w:tcPr>
          <w:p w14:paraId="3718FFC2">
            <w:pPr>
              <w:pStyle w:val="13"/>
              <w:keepNext w:val="0"/>
              <w:keepLines w:val="0"/>
              <w:suppressLineNumbers w:val="0"/>
              <w:snapToGrid w:val="0"/>
              <w:spacing w:before="0" w:beforeAutospacing="0" w:after="0" w:afterAutospacing="0" w:line="240" w:lineRule="atLeast"/>
              <w:ind w:left="0" w:right="0" w:firstLine="420"/>
              <w:rPr>
                <w:rFonts w:hint="eastAsia" w:ascii="宋体" w:hAnsi="宋体" w:eastAsia="宋体" w:cs="宋体"/>
                <w:szCs w:val="21"/>
              </w:rPr>
            </w:pPr>
          </w:p>
        </w:tc>
        <w:tc>
          <w:tcPr>
            <w:tcW w:w="2116" w:type="dxa"/>
            <w:noWrap w:val="0"/>
            <w:vAlign w:val="center"/>
          </w:tcPr>
          <w:p w14:paraId="0A7DCC7C">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污泥</w:t>
            </w:r>
          </w:p>
        </w:tc>
        <w:tc>
          <w:tcPr>
            <w:tcW w:w="1175" w:type="dxa"/>
            <w:noWrap w:val="0"/>
            <w:vAlign w:val="top"/>
          </w:tcPr>
          <w:p w14:paraId="5F675F32">
            <w:pPr>
              <w:keepNext w:val="0"/>
              <w:keepLines w:val="0"/>
              <w:widowControl/>
              <w:suppressLineNumbers w:val="0"/>
              <w:adjustRightInd w:val="0"/>
              <w:snapToGrid w:val="0"/>
              <w:spacing w:before="0" w:beforeAutospacing="0" w:after="0" w:afterAutospacing="0" w:line="240" w:lineRule="atLeast"/>
              <w:ind w:left="0" w:right="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0</w:t>
            </w:r>
          </w:p>
        </w:tc>
        <w:tc>
          <w:tcPr>
            <w:tcW w:w="1415" w:type="dxa"/>
            <w:noWrap w:val="0"/>
            <w:vAlign w:val="top"/>
          </w:tcPr>
          <w:p w14:paraId="4FCEC4D2">
            <w:pPr>
              <w:keepNext w:val="0"/>
              <w:keepLines w:val="0"/>
              <w:widowControl/>
              <w:suppressLineNumbers w:val="0"/>
              <w:adjustRightInd w:val="0"/>
              <w:snapToGrid w:val="0"/>
              <w:spacing w:before="0" w:beforeAutospacing="0" w:after="0" w:afterAutospacing="0" w:line="240" w:lineRule="atLeast"/>
              <w:ind w:left="0" w:right="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0</w:t>
            </w:r>
          </w:p>
        </w:tc>
        <w:tc>
          <w:tcPr>
            <w:tcW w:w="1550" w:type="dxa"/>
            <w:noWrap w:val="0"/>
            <w:vAlign w:val="center"/>
          </w:tcPr>
          <w:p w14:paraId="7C9D1B06">
            <w:pPr>
              <w:keepNext w:val="0"/>
              <w:keepLines w:val="0"/>
              <w:widowControl/>
              <w:suppressLineNumbers w:val="0"/>
              <w:adjustRightInd w:val="0"/>
              <w:snapToGrid w:val="0"/>
              <w:spacing w:before="0" w:beforeAutospacing="0" w:after="0" w:afterAutospacing="0" w:line="240" w:lineRule="atLeast"/>
              <w:ind w:left="0" w:right="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0</w:t>
            </w:r>
          </w:p>
        </w:tc>
        <w:tc>
          <w:tcPr>
            <w:tcW w:w="1807" w:type="dxa"/>
            <w:noWrap w:val="0"/>
            <w:vAlign w:val="center"/>
          </w:tcPr>
          <w:p w14:paraId="0F3826A2">
            <w:pPr>
              <w:keepNext w:val="0"/>
              <w:keepLines w:val="0"/>
              <w:widowControl/>
              <w:suppressLineNumbers w:val="0"/>
              <w:adjustRightInd w:val="0"/>
              <w:snapToGrid w:val="0"/>
              <w:spacing w:before="0" w:beforeAutospacing="0" w:after="0" w:afterAutospacing="0" w:line="240" w:lineRule="atLeast"/>
              <w:ind w:left="0" w:right="0"/>
              <w:jc w:val="center"/>
              <w:textAlignment w:val="center"/>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5</w:t>
            </w:r>
          </w:p>
        </w:tc>
        <w:tc>
          <w:tcPr>
            <w:tcW w:w="1311" w:type="dxa"/>
            <w:noWrap w:val="0"/>
            <w:vAlign w:val="center"/>
          </w:tcPr>
          <w:p w14:paraId="1435AA11">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0</w:t>
            </w:r>
          </w:p>
        </w:tc>
        <w:tc>
          <w:tcPr>
            <w:tcW w:w="2100" w:type="dxa"/>
            <w:noWrap w:val="0"/>
            <w:vAlign w:val="center"/>
          </w:tcPr>
          <w:p w14:paraId="717D7944">
            <w:pPr>
              <w:keepNext w:val="0"/>
              <w:keepLines w:val="0"/>
              <w:widowControl/>
              <w:suppressLineNumbers w:val="0"/>
              <w:adjustRightInd w:val="0"/>
              <w:snapToGrid w:val="0"/>
              <w:spacing w:before="0" w:beforeAutospacing="0" w:after="0" w:afterAutospacing="0" w:line="240" w:lineRule="atLeast"/>
              <w:ind w:left="0" w:leftChars="0" w:right="0" w:right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val="en-US" w:eastAsia="zh-CN" w:bidi="ar"/>
              </w:rPr>
              <w:t>5</w:t>
            </w:r>
          </w:p>
        </w:tc>
        <w:tc>
          <w:tcPr>
            <w:tcW w:w="2156" w:type="dxa"/>
            <w:noWrap w:val="0"/>
            <w:vAlign w:val="center"/>
          </w:tcPr>
          <w:p w14:paraId="281386D6">
            <w:pPr>
              <w:keepNext w:val="0"/>
              <w:keepLines w:val="0"/>
              <w:widowControl/>
              <w:suppressLineNumbers w:val="0"/>
              <w:adjustRightInd w:val="0"/>
              <w:snapToGrid w:val="0"/>
              <w:spacing w:before="0" w:beforeAutospacing="0" w:after="0" w:afterAutospacing="0" w:line="240" w:lineRule="atLeast"/>
              <w:ind w:left="0" w:leftChars="0" w:right="0" w:rightChars="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+5</w:t>
            </w:r>
          </w:p>
        </w:tc>
      </w:tr>
      <w:tr w14:paraId="5674C1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976" w:type="dxa"/>
            <w:vMerge w:val="continue"/>
            <w:noWrap w:val="0"/>
            <w:vAlign w:val="center"/>
          </w:tcPr>
          <w:p w14:paraId="07A32719">
            <w:pPr>
              <w:pStyle w:val="13"/>
              <w:keepNext w:val="0"/>
              <w:keepLines w:val="0"/>
              <w:suppressLineNumbers w:val="0"/>
              <w:snapToGrid w:val="0"/>
              <w:spacing w:before="0" w:beforeAutospacing="0" w:after="0" w:afterAutospacing="0" w:line="240" w:lineRule="atLeast"/>
              <w:ind w:left="0" w:right="0" w:firstLine="420"/>
              <w:rPr>
                <w:rFonts w:hint="eastAsia" w:ascii="宋体" w:hAnsi="宋体" w:eastAsia="宋体" w:cs="宋体"/>
                <w:szCs w:val="21"/>
              </w:rPr>
            </w:pPr>
          </w:p>
        </w:tc>
        <w:tc>
          <w:tcPr>
            <w:tcW w:w="2116" w:type="dxa"/>
            <w:noWrap w:val="0"/>
            <w:vAlign w:val="center"/>
          </w:tcPr>
          <w:p w14:paraId="0ED06425">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废活性炭</w:t>
            </w:r>
          </w:p>
        </w:tc>
        <w:tc>
          <w:tcPr>
            <w:tcW w:w="1175" w:type="dxa"/>
            <w:noWrap w:val="0"/>
            <w:vAlign w:val="top"/>
          </w:tcPr>
          <w:p w14:paraId="0F258F18">
            <w:pPr>
              <w:keepNext w:val="0"/>
              <w:keepLines w:val="0"/>
              <w:widowControl/>
              <w:suppressLineNumbers w:val="0"/>
              <w:adjustRightInd w:val="0"/>
              <w:snapToGrid w:val="0"/>
              <w:spacing w:before="0" w:beforeAutospacing="0" w:after="0" w:afterAutospacing="0" w:line="240" w:lineRule="atLeast"/>
              <w:ind w:left="0" w:right="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0</w:t>
            </w:r>
          </w:p>
        </w:tc>
        <w:tc>
          <w:tcPr>
            <w:tcW w:w="1415" w:type="dxa"/>
            <w:noWrap w:val="0"/>
            <w:vAlign w:val="top"/>
          </w:tcPr>
          <w:p w14:paraId="3EABD5A6">
            <w:pPr>
              <w:keepNext w:val="0"/>
              <w:keepLines w:val="0"/>
              <w:widowControl/>
              <w:suppressLineNumbers w:val="0"/>
              <w:adjustRightInd w:val="0"/>
              <w:snapToGrid w:val="0"/>
              <w:spacing w:before="0" w:beforeAutospacing="0" w:after="0" w:afterAutospacing="0" w:line="240" w:lineRule="atLeast"/>
              <w:ind w:left="0" w:right="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0</w:t>
            </w:r>
          </w:p>
        </w:tc>
        <w:tc>
          <w:tcPr>
            <w:tcW w:w="1550" w:type="dxa"/>
            <w:noWrap w:val="0"/>
            <w:vAlign w:val="center"/>
          </w:tcPr>
          <w:p w14:paraId="3D9B6561">
            <w:pPr>
              <w:keepNext w:val="0"/>
              <w:keepLines w:val="0"/>
              <w:widowControl/>
              <w:suppressLineNumbers w:val="0"/>
              <w:adjustRightInd w:val="0"/>
              <w:snapToGrid w:val="0"/>
              <w:spacing w:before="0" w:beforeAutospacing="0" w:after="0" w:afterAutospacing="0" w:line="240" w:lineRule="atLeast"/>
              <w:ind w:left="0" w:right="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0</w:t>
            </w:r>
          </w:p>
        </w:tc>
        <w:tc>
          <w:tcPr>
            <w:tcW w:w="1807" w:type="dxa"/>
            <w:noWrap w:val="0"/>
            <w:vAlign w:val="center"/>
          </w:tcPr>
          <w:p w14:paraId="0F4CB69D">
            <w:pPr>
              <w:keepNext w:val="0"/>
              <w:keepLines w:val="0"/>
              <w:widowControl/>
              <w:suppressLineNumbers w:val="0"/>
              <w:adjustRightInd w:val="0"/>
              <w:snapToGrid w:val="0"/>
              <w:spacing w:before="0" w:beforeAutospacing="0" w:after="0" w:afterAutospacing="0" w:line="240" w:lineRule="atLeast"/>
              <w:ind w:left="0" w:right="0"/>
              <w:jc w:val="center"/>
              <w:textAlignment w:val="center"/>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1.22</w:t>
            </w:r>
          </w:p>
        </w:tc>
        <w:tc>
          <w:tcPr>
            <w:tcW w:w="1311" w:type="dxa"/>
            <w:noWrap w:val="0"/>
            <w:vAlign w:val="center"/>
          </w:tcPr>
          <w:p w14:paraId="5726EC1A">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0</w:t>
            </w:r>
          </w:p>
        </w:tc>
        <w:tc>
          <w:tcPr>
            <w:tcW w:w="2100" w:type="dxa"/>
            <w:noWrap w:val="0"/>
            <w:vAlign w:val="center"/>
          </w:tcPr>
          <w:p w14:paraId="789F7BAD">
            <w:pPr>
              <w:keepNext w:val="0"/>
              <w:keepLines w:val="0"/>
              <w:widowControl/>
              <w:suppressLineNumbers w:val="0"/>
              <w:adjustRightInd w:val="0"/>
              <w:snapToGrid w:val="0"/>
              <w:spacing w:before="0" w:beforeAutospacing="0" w:after="0" w:afterAutospacing="0" w:line="240" w:lineRule="atLeast"/>
              <w:ind w:left="0" w:leftChars="0" w:right="0" w:right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val="en-US" w:eastAsia="zh-CN" w:bidi="ar"/>
              </w:rPr>
              <w:t>1.22</w:t>
            </w:r>
          </w:p>
        </w:tc>
        <w:tc>
          <w:tcPr>
            <w:tcW w:w="2156" w:type="dxa"/>
            <w:noWrap w:val="0"/>
            <w:vAlign w:val="center"/>
          </w:tcPr>
          <w:p w14:paraId="15FA07B3">
            <w:pPr>
              <w:keepNext w:val="0"/>
              <w:keepLines w:val="0"/>
              <w:widowControl/>
              <w:suppressLineNumbers w:val="0"/>
              <w:adjustRightInd w:val="0"/>
              <w:snapToGrid w:val="0"/>
              <w:spacing w:before="0" w:beforeAutospacing="0" w:after="0" w:afterAutospacing="0" w:line="240" w:lineRule="atLeast"/>
              <w:ind w:left="0" w:leftChars="0" w:right="0" w:rightChars="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+1.22</w:t>
            </w:r>
          </w:p>
        </w:tc>
      </w:tr>
    </w:tbl>
    <w:p w14:paraId="232F72EE">
      <w:pPr>
        <w:outlineLvl w:val="0"/>
        <w:rPr>
          <w:rFonts w:hint="eastAsia" w:ascii="宋体" w:hAnsi="宋体" w:eastAsia="宋体" w:cs="宋体"/>
        </w:rPr>
      </w:pPr>
      <w:bookmarkStart w:id="186" w:name="_Toc9569"/>
      <w:r>
        <w:rPr>
          <w:rFonts w:hint="eastAsia" w:ascii="宋体" w:hAnsi="宋体" w:eastAsia="宋体" w:cs="宋体"/>
        </w:rPr>
        <w:t>注：</w:t>
      </w:r>
      <w:r>
        <w:rPr>
          <w:rFonts w:hint="eastAsia" w:ascii="宋体" w:hAnsi="宋体" w:eastAsia="宋体" w:cs="宋体"/>
        </w:rPr>
        <w:fldChar w:fldCharType="begin"/>
      </w:r>
      <w:r>
        <w:rPr>
          <w:rFonts w:hint="eastAsia" w:ascii="宋体" w:hAnsi="宋体" w:eastAsia="宋体" w:cs="宋体"/>
        </w:rPr>
        <w:instrText xml:space="preserve"> = 6 \* GB3 \* MERGEFORMAT </w:instrText>
      </w:r>
      <w:r>
        <w:rPr>
          <w:rFonts w:hint="eastAsia" w:ascii="宋体" w:hAnsi="宋体" w:eastAsia="宋体" w:cs="宋体"/>
        </w:rPr>
        <w:fldChar w:fldCharType="separate"/>
      </w:r>
      <w:r>
        <w:rPr>
          <w:rFonts w:hint="eastAsia" w:ascii="宋体" w:hAnsi="宋体" w:eastAsia="宋体" w:cs="宋体"/>
        </w:rPr>
        <w:t>⑥</w:t>
      </w:r>
      <w:r>
        <w:rPr>
          <w:rFonts w:hint="eastAsia" w:ascii="宋体" w:hAnsi="宋体" w:eastAsia="宋体" w:cs="宋体"/>
        </w:rPr>
        <w:fldChar w:fldCharType="end"/>
      </w:r>
      <w:r>
        <w:rPr>
          <w:rFonts w:hint="eastAsia" w:ascii="宋体" w:hAnsi="宋体" w:eastAsia="宋体" w:cs="宋体"/>
        </w:rPr>
        <w:t>=</w:t>
      </w:r>
      <w:r>
        <w:rPr>
          <w:rFonts w:hint="eastAsia" w:ascii="宋体" w:hAnsi="宋体" w:eastAsia="宋体" w:cs="宋体"/>
        </w:rPr>
        <w:fldChar w:fldCharType="begin"/>
      </w:r>
      <w:r>
        <w:rPr>
          <w:rFonts w:hint="eastAsia" w:ascii="宋体" w:hAnsi="宋体" w:eastAsia="宋体" w:cs="宋体"/>
        </w:rPr>
        <w:instrText xml:space="preserve"> = 1 \* GB3 \* MERGEFORMAT </w:instrText>
      </w:r>
      <w:r>
        <w:rPr>
          <w:rFonts w:hint="eastAsia" w:ascii="宋体" w:hAnsi="宋体" w:eastAsia="宋体" w:cs="宋体"/>
        </w:rPr>
        <w:fldChar w:fldCharType="separate"/>
      </w:r>
      <w:r>
        <w:rPr>
          <w:rFonts w:hint="eastAsia" w:ascii="宋体" w:hAnsi="宋体" w:eastAsia="宋体" w:cs="宋体"/>
        </w:rPr>
        <w:t>①</w:t>
      </w:r>
      <w:r>
        <w:rPr>
          <w:rFonts w:hint="eastAsia" w:ascii="宋体" w:hAnsi="宋体" w:eastAsia="宋体" w:cs="宋体"/>
        </w:rPr>
        <w:fldChar w:fldCharType="end"/>
      </w:r>
      <w:r>
        <w:rPr>
          <w:rFonts w:hint="eastAsia" w:ascii="宋体" w:hAnsi="宋体" w:eastAsia="宋体" w:cs="宋体"/>
        </w:rPr>
        <w:t>+</w:t>
      </w:r>
      <w:r>
        <w:rPr>
          <w:rFonts w:hint="eastAsia" w:ascii="宋体" w:hAnsi="宋体" w:eastAsia="宋体" w:cs="宋体"/>
        </w:rPr>
        <w:fldChar w:fldCharType="begin"/>
      </w:r>
      <w:r>
        <w:rPr>
          <w:rFonts w:hint="eastAsia" w:ascii="宋体" w:hAnsi="宋体" w:eastAsia="宋体" w:cs="宋体"/>
        </w:rPr>
        <w:instrText xml:space="preserve"> = 3 \* GB3 \* MERGEFORMAT </w:instrText>
      </w:r>
      <w:r>
        <w:rPr>
          <w:rFonts w:hint="eastAsia" w:ascii="宋体" w:hAnsi="宋体" w:eastAsia="宋体" w:cs="宋体"/>
        </w:rPr>
        <w:fldChar w:fldCharType="separate"/>
      </w:r>
      <w:r>
        <w:rPr>
          <w:rFonts w:hint="eastAsia" w:ascii="宋体" w:hAnsi="宋体" w:eastAsia="宋体" w:cs="宋体"/>
        </w:rPr>
        <w:t>③</w:t>
      </w:r>
      <w:r>
        <w:rPr>
          <w:rFonts w:hint="eastAsia" w:ascii="宋体" w:hAnsi="宋体" w:eastAsia="宋体" w:cs="宋体"/>
        </w:rPr>
        <w:fldChar w:fldCharType="end"/>
      </w:r>
      <w:r>
        <w:rPr>
          <w:rFonts w:hint="eastAsia" w:ascii="宋体" w:hAnsi="宋体" w:eastAsia="宋体" w:cs="宋体"/>
        </w:rPr>
        <w:t>+</w:t>
      </w:r>
      <w:r>
        <w:rPr>
          <w:rFonts w:hint="eastAsia" w:ascii="宋体" w:hAnsi="宋体" w:eastAsia="宋体" w:cs="宋体"/>
        </w:rPr>
        <w:fldChar w:fldCharType="begin"/>
      </w:r>
      <w:r>
        <w:rPr>
          <w:rFonts w:hint="eastAsia" w:ascii="宋体" w:hAnsi="宋体" w:eastAsia="宋体" w:cs="宋体"/>
        </w:rPr>
        <w:instrText xml:space="preserve"> = 4 \* GB3 \* MERGEFORMAT </w:instrText>
      </w:r>
      <w:r>
        <w:rPr>
          <w:rFonts w:hint="eastAsia" w:ascii="宋体" w:hAnsi="宋体" w:eastAsia="宋体" w:cs="宋体"/>
        </w:rPr>
        <w:fldChar w:fldCharType="separate"/>
      </w:r>
      <w:r>
        <w:rPr>
          <w:rFonts w:hint="eastAsia" w:ascii="宋体" w:hAnsi="宋体" w:eastAsia="宋体" w:cs="宋体"/>
        </w:rPr>
        <w:t>④</w:t>
      </w:r>
      <w:r>
        <w:rPr>
          <w:rFonts w:hint="eastAsia" w:ascii="宋体" w:hAnsi="宋体" w:eastAsia="宋体" w:cs="宋体"/>
        </w:rPr>
        <w:fldChar w:fldCharType="end"/>
      </w:r>
      <w:r>
        <w:rPr>
          <w:rFonts w:hint="eastAsia" w:ascii="宋体" w:hAnsi="宋体" w:eastAsia="宋体" w:cs="宋体"/>
        </w:rPr>
        <w:t>-</w:t>
      </w:r>
      <w:r>
        <w:rPr>
          <w:rFonts w:hint="eastAsia" w:ascii="宋体" w:hAnsi="宋体" w:eastAsia="宋体" w:cs="宋体"/>
        </w:rPr>
        <w:fldChar w:fldCharType="begin"/>
      </w:r>
      <w:r>
        <w:rPr>
          <w:rFonts w:hint="eastAsia" w:ascii="宋体" w:hAnsi="宋体" w:eastAsia="宋体" w:cs="宋体"/>
        </w:rPr>
        <w:instrText xml:space="preserve"> = 5 \* GB3 \* MERGEFORMAT </w:instrText>
      </w:r>
      <w:r>
        <w:rPr>
          <w:rFonts w:hint="eastAsia" w:ascii="宋体" w:hAnsi="宋体" w:eastAsia="宋体" w:cs="宋体"/>
        </w:rPr>
        <w:fldChar w:fldCharType="separate"/>
      </w:r>
      <w:r>
        <w:rPr>
          <w:rFonts w:hint="eastAsia" w:ascii="宋体" w:hAnsi="宋体" w:eastAsia="宋体" w:cs="宋体"/>
        </w:rPr>
        <w:t>⑤</w:t>
      </w:r>
      <w:r>
        <w:rPr>
          <w:rFonts w:hint="eastAsia" w:ascii="宋体" w:hAnsi="宋体" w:eastAsia="宋体" w:cs="宋体"/>
        </w:rPr>
        <w:fldChar w:fldCharType="end"/>
      </w:r>
      <w:r>
        <w:rPr>
          <w:rFonts w:hint="eastAsia" w:ascii="宋体" w:hAnsi="宋体" w:eastAsia="宋体" w:cs="宋体"/>
        </w:rPr>
        <w:t>；</w:t>
      </w:r>
      <w:r>
        <w:rPr>
          <w:rFonts w:hint="eastAsia" w:ascii="宋体" w:hAnsi="宋体" w:eastAsia="宋体" w:cs="宋体"/>
        </w:rPr>
        <w:fldChar w:fldCharType="begin"/>
      </w:r>
      <w:r>
        <w:rPr>
          <w:rFonts w:hint="eastAsia" w:ascii="宋体" w:hAnsi="宋体" w:eastAsia="宋体" w:cs="宋体"/>
        </w:rPr>
        <w:instrText xml:space="preserve"> = 7 \* GB3 \* MERGEFORMAT </w:instrText>
      </w:r>
      <w:r>
        <w:rPr>
          <w:rFonts w:hint="eastAsia" w:ascii="宋体" w:hAnsi="宋体" w:eastAsia="宋体" w:cs="宋体"/>
        </w:rPr>
        <w:fldChar w:fldCharType="separate"/>
      </w:r>
      <w:r>
        <w:rPr>
          <w:rFonts w:hint="eastAsia" w:ascii="宋体" w:hAnsi="宋体" w:eastAsia="宋体" w:cs="宋体"/>
        </w:rPr>
        <w:t>⑦</w:t>
      </w:r>
      <w:r>
        <w:rPr>
          <w:rFonts w:hint="eastAsia" w:ascii="宋体" w:hAnsi="宋体" w:eastAsia="宋体" w:cs="宋体"/>
        </w:rPr>
        <w:fldChar w:fldCharType="end"/>
      </w:r>
      <w:r>
        <w:rPr>
          <w:rFonts w:hint="eastAsia" w:ascii="宋体" w:hAnsi="宋体" w:eastAsia="宋体" w:cs="宋体"/>
        </w:rPr>
        <w:t>=</w:t>
      </w:r>
      <w:r>
        <w:rPr>
          <w:rFonts w:hint="eastAsia" w:ascii="宋体" w:hAnsi="宋体" w:eastAsia="宋体" w:cs="宋体"/>
        </w:rPr>
        <w:fldChar w:fldCharType="begin"/>
      </w:r>
      <w:r>
        <w:rPr>
          <w:rFonts w:hint="eastAsia" w:ascii="宋体" w:hAnsi="宋体" w:eastAsia="宋体" w:cs="宋体"/>
        </w:rPr>
        <w:instrText xml:space="preserve"> = 6 \* GB3 \* MERGEFORMAT </w:instrText>
      </w:r>
      <w:r>
        <w:rPr>
          <w:rFonts w:hint="eastAsia" w:ascii="宋体" w:hAnsi="宋体" w:eastAsia="宋体" w:cs="宋体"/>
        </w:rPr>
        <w:fldChar w:fldCharType="separate"/>
      </w:r>
      <w:r>
        <w:rPr>
          <w:rFonts w:hint="eastAsia" w:ascii="宋体" w:hAnsi="宋体" w:eastAsia="宋体" w:cs="宋体"/>
        </w:rPr>
        <w:t>⑥</w:t>
      </w:r>
      <w:r>
        <w:rPr>
          <w:rFonts w:hint="eastAsia" w:ascii="宋体" w:hAnsi="宋体" w:eastAsia="宋体" w:cs="宋体"/>
        </w:rPr>
        <w:fldChar w:fldCharType="end"/>
      </w:r>
      <w:r>
        <w:rPr>
          <w:rFonts w:hint="eastAsia" w:ascii="宋体" w:hAnsi="宋体" w:eastAsia="宋体" w:cs="宋体"/>
        </w:rPr>
        <w:t>-</w:t>
      </w:r>
      <w:r>
        <w:rPr>
          <w:rFonts w:hint="eastAsia" w:ascii="宋体" w:hAnsi="宋体" w:eastAsia="宋体" w:cs="宋体"/>
        </w:rPr>
        <w:fldChar w:fldCharType="begin"/>
      </w:r>
      <w:r>
        <w:rPr>
          <w:rFonts w:hint="eastAsia" w:ascii="宋体" w:hAnsi="宋体" w:eastAsia="宋体" w:cs="宋体"/>
        </w:rPr>
        <w:instrText xml:space="preserve"> = 1 \* GB3 \* MERGEFORMAT </w:instrText>
      </w:r>
      <w:r>
        <w:rPr>
          <w:rFonts w:hint="eastAsia" w:ascii="宋体" w:hAnsi="宋体" w:eastAsia="宋体" w:cs="宋体"/>
        </w:rPr>
        <w:fldChar w:fldCharType="separate"/>
      </w:r>
      <w:r>
        <w:rPr>
          <w:rFonts w:hint="eastAsia" w:ascii="宋体" w:hAnsi="宋体" w:eastAsia="宋体" w:cs="宋体"/>
        </w:rPr>
        <w:t>①</w:t>
      </w:r>
      <w:r>
        <w:rPr>
          <w:rFonts w:hint="eastAsia" w:ascii="宋体" w:hAnsi="宋体" w:eastAsia="宋体" w:cs="宋体"/>
        </w:rPr>
        <w:fldChar w:fldCharType="end"/>
      </w:r>
      <w:bookmarkEnd w:id="186"/>
    </w:p>
    <w:sectPr>
      <w:footerReference r:id="rId9" w:type="default"/>
      <w:pgSz w:w="16838" w:h="11906" w:orient="landscape"/>
      <w:pgMar w:top="1440" w:right="1800" w:bottom="1440" w:left="1800" w:header="851" w:footer="851" w:gutter="0"/>
      <w:pgBorders>
        <w:top w:val="none" w:sz="0" w:space="0"/>
        <w:left w:val="none" w:sz="0" w:space="0"/>
        <w:bottom w:val="none" w:sz="0" w:space="0"/>
        <w:right w:val="none" w:sz="0" w:space="0"/>
      </w:pgBorders>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3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仿宋简体">
    <w:altName w:val="微软雅黑"/>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auto"/>
    <w:pitch w:val="default"/>
    <w:sig w:usb0="00000000" w:usb1="00000000" w:usb2="00000000" w:usb3="00000000" w:csb0="00040000" w:csb1="00000000"/>
  </w:font>
  <w:font w:name="Alaska">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_GB2312">
    <w:altName w:val="Times New Roman"/>
    <w:panose1 w:val="00000000000000000000"/>
    <w:charset w:val="00"/>
    <w:family w:val="auto"/>
    <w:pitch w:val="default"/>
    <w:sig w:usb0="00000000" w:usb1="00000000" w:usb2="00000000" w:usb3="00000000" w:csb0="00000001" w:csb1="00000000"/>
  </w:font>
  <w:font w:name="Wingdings 2">
    <w:altName w:val="Wingdings"/>
    <w:panose1 w:val="05020102010507070707"/>
    <w:charset w:val="02"/>
    <w:family w:val="roman"/>
    <w:pitch w:val="default"/>
    <w:sig w:usb0="00000000" w:usb1="00000000" w:usb2="00000000" w:usb3="00000000" w:csb0="80000000" w:csb1="00000000"/>
  </w:font>
  <w:font w:name="Cambria Math">
    <w:panose1 w:val="02040503050406030204"/>
    <w:charset w:val="00"/>
    <w:family w:val="auto"/>
    <w:pitch w:val="default"/>
    <w:sig w:usb0="E00006FF" w:usb1="420024FF" w:usb2="02000000" w:usb3="00000000" w:csb0="2000019F"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A4374">
    <w:pPr>
      <w:tabs>
        <w:tab w:val="center" w:pos="4153"/>
        <w:tab w:val="right" w:pos="8306"/>
      </w:tabs>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26B41">
    <w:pPr>
      <w:framePr w:wrap="around" w:vAnchor="text" w:hAnchor="margin" w:xAlign="center" w:y="1"/>
      <w:tabs>
        <w:tab w:val="center" w:pos="4153"/>
        <w:tab w:val="right" w:pos="8306"/>
      </w:tabs>
    </w:pPr>
    <w:r>
      <w:fldChar w:fldCharType="begin"/>
    </w:r>
    <w:r>
      <w:instrText xml:space="preserve">PAGE  </w:instrText>
    </w:r>
    <w:r>
      <w:fldChar w:fldCharType="end"/>
    </w:r>
  </w:p>
  <w:p w14:paraId="162C4F45">
    <w:pPr>
      <w:tabs>
        <w:tab w:val="center" w:pos="4153"/>
        <w:tab w:val="right" w:pos="8306"/>
      </w:tabs>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369DD">
    <w:pPr>
      <w:tabs>
        <w:tab w:val="center" w:pos="4153"/>
        <w:tab w:val="right" w:pos="8306"/>
      </w:tabs>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BDE34">
    <w:pPr>
      <w:pStyle w:val="1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5C27EC5">
                          <w:pPr>
                            <w:pStyle w:val="19"/>
                          </w:pPr>
                          <w:r>
                            <w:fldChar w:fldCharType="begin"/>
                          </w:r>
                          <w:r>
                            <w:instrText xml:space="preserve"> PAGE  \* MERGEFORMAT </w:instrText>
                          </w:r>
                          <w:r>
                            <w:fldChar w:fldCharType="separate"/>
                          </w:r>
                          <w:r>
                            <w:t>38</w:t>
                          </w:r>
                          <w:r>
                            <w:fldChar w:fldCharType="end"/>
                          </w:r>
                        </w:p>
                      </w:txbxContent>
                    </wps:txbx>
                    <wps:bodyPr wrap="none" lIns="0" tIns="0" rIns="0" bIns="0" upright="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safx8gBAACa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EtbgLO3XGLEz///HH+9Xh++E7e&#10;Zn36ADWm3QVMTMN7P2Du7Ad0ZtqDijZ/kRDBOKp7uqgrh0REfrRarlYVhgTG5gvis6fnIUL6IL0l&#10;2WhoxPEVVfnxE6QxdU7J1Zy/1caUERr3lwMxs4fl3sces5WG3TAR2vn2hHx6nHxDHS46JeajQ2Hz&#10;ksxGnI3dbBxC1PuubFGuB+HdIWETpbdcYYSdCuPICrtpvfJO/HkvWU+/1OY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KrGn8fIAQAAmgMAAA4AAAAAAAAAAQAgAAAAHgEAAGRycy9lMm9Eb2Mu&#10;eG1sUEsFBgAAAAAGAAYAWQEAAFgFAAAAAA==&#10;">
              <v:fill on="f" focussize="0,0"/>
              <v:stroke on="f"/>
              <v:imagedata o:title=""/>
              <o:lock v:ext="edit" aspectratio="f"/>
              <v:textbox inset="0mm,0mm,0mm,0mm" style="mso-fit-shape-to-text:t;">
                <w:txbxContent>
                  <w:p w14:paraId="75C27EC5">
                    <w:pPr>
                      <w:pStyle w:val="19"/>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86FCF">
    <w:pPr>
      <w:tabs>
        <w:tab w:val="center" w:pos="4153"/>
        <w:tab w:val="right" w:pos="8306"/>
      </w:tabs>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E68E085">
                          <w:pPr>
                            <w:pStyle w:val="19"/>
                          </w:pPr>
                          <w:r>
                            <w:fldChar w:fldCharType="begin"/>
                          </w:r>
                          <w:r>
                            <w:instrText xml:space="preserve"> PAGE  \* MERGEFORMAT </w:instrText>
                          </w:r>
                          <w:r>
                            <w:fldChar w:fldCharType="separate"/>
                          </w:r>
                          <w:r>
                            <w:t>80</w:t>
                          </w:r>
                          <w:r>
                            <w:fldChar w:fldCharType="end"/>
                          </w:r>
                        </w:p>
                      </w:txbxContent>
                    </wps:txbx>
                    <wps:bodyPr wrap="none" lIns="0" tIns="0" rIns="0" bIns="0" upright="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VBZZcccBAACaAwAADgAAAAAAAAABACAAAAAeAQAAZHJzL2Uyb0RvYy54&#10;bWxQSwUGAAAAAAYABgBZAQAAVwUAAAAA&#10;">
              <v:fill on="f" focussize="0,0"/>
              <v:stroke on="f"/>
              <v:imagedata o:title=""/>
              <o:lock v:ext="edit" aspectratio="f"/>
              <v:textbox inset="0mm,0mm,0mm,0mm" style="mso-fit-shape-to-text:t;">
                <w:txbxContent>
                  <w:p w14:paraId="4E68E085">
                    <w:pPr>
                      <w:pStyle w:val="19"/>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D34B689"/>
    <w:multiLevelType w:val="singleLevel"/>
    <w:tmpl w:val="FD34B689"/>
    <w:lvl w:ilvl="0" w:tentative="0">
      <w:start w:val="1"/>
      <w:numFmt w:val="bullet"/>
      <w:pStyle w:val="16"/>
      <w:lvlText w:val=""/>
      <w:lvlJc w:val="left"/>
      <w:pPr>
        <w:tabs>
          <w:tab w:val="left" w:pos="2040"/>
        </w:tabs>
        <w:ind w:left="2040" w:hanging="360"/>
      </w:pPr>
      <w:rPr>
        <w:rFonts w:hint="default" w:ascii="Wingdings" w:hAnsi="Wingdings"/>
      </w:rPr>
    </w:lvl>
  </w:abstractNum>
  <w:abstractNum w:abstractNumId="1">
    <w:nsid w:val="210FCD4E"/>
    <w:multiLevelType w:val="singleLevel"/>
    <w:tmpl w:val="210FCD4E"/>
    <w:lvl w:ilvl="0" w:tentative="0">
      <w:start w:val="2"/>
      <w:numFmt w:val="decimal"/>
      <w:suff w:val="nothing"/>
      <w:lvlText w:val="%1、"/>
      <w:lvlJc w:val="left"/>
    </w:lvl>
  </w:abstractNum>
  <w:abstractNum w:abstractNumId="2">
    <w:nsid w:val="2775A685"/>
    <w:multiLevelType w:val="singleLevel"/>
    <w:tmpl w:val="2775A685"/>
    <w:lvl w:ilvl="0" w:tentative="0">
      <w:start w:val="1"/>
      <w:numFmt w:val="chineseCounting"/>
      <w:suff w:val="nothing"/>
      <w:lvlText w:val="%1、"/>
      <w:lvlJc w:val="left"/>
      <w:rPr>
        <w:rFonts w:hint="eastAsia"/>
      </w:rPr>
    </w:lvl>
  </w:abstractNum>
  <w:abstractNum w:abstractNumId="3">
    <w:nsid w:val="5A0CE017"/>
    <w:multiLevelType w:val="singleLevel"/>
    <w:tmpl w:val="5A0CE017"/>
    <w:lvl w:ilvl="0" w:tentative="0">
      <w:start w:val="1"/>
      <w:numFmt w:val="decimal"/>
      <w:suff w:val="nothing"/>
      <w:lvlText w:val="%1、"/>
      <w:lvlJc w:val="left"/>
    </w:lvl>
  </w:abstractNum>
  <w:abstractNum w:abstractNumId="4">
    <w:nsid w:val="674CF789"/>
    <w:multiLevelType w:val="singleLevel"/>
    <w:tmpl w:val="674CF789"/>
    <w:lvl w:ilvl="0" w:tentative="0">
      <w:start w:val="2"/>
      <w:numFmt w:val="chineseCounting"/>
      <w:suff w:val="nothing"/>
      <w:lvlText w:val="%1、"/>
      <w:lvlJc w:val="left"/>
      <w:rPr>
        <w:rFonts w:hint="eastAsia"/>
      </w:rPr>
    </w:lvl>
  </w:abstractNum>
  <w:num w:numId="1">
    <w:abstractNumId w:val="0"/>
  </w:num>
  <w:num w:numId="2">
    <w:abstractNumId w:val="2"/>
  </w:num>
  <w:num w:numId="3">
    <w:abstractNumId w:val="4"/>
  </w:num>
  <w:num w:numId="4">
    <w:abstractNumId w:val="1"/>
  </w:num>
  <w:num w:numId="5">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鲍旭">
    <w15:presenceInfo w15:providerId="WPS Office" w15:userId="27648671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HorizontalSpacing w:val="210"/>
  <w:drawingGridVerticalSpacing w:val="16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kMDE4ZWQwN2MwMWI2MmUyZmNiMzk5OTYwY2Q5ZmQifQ=="/>
  </w:docVars>
  <w:rsids>
    <w:rsidRoot w:val="00A14947"/>
    <w:rsid w:val="000024FA"/>
    <w:rsid w:val="000060B3"/>
    <w:rsid w:val="0001684A"/>
    <w:rsid w:val="00021BC4"/>
    <w:rsid w:val="00025568"/>
    <w:rsid w:val="00033B7B"/>
    <w:rsid w:val="000426C5"/>
    <w:rsid w:val="0004364B"/>
    <w:rsid w:val="00056164"/>
    <w:rsid w:val="00061B1F"/>
    <w:rsid w:val="00066ACD"/>
    <w:rsid w:val="000733C4"/>
    <w:rsid w:val="00074783"/>
    <w:rsid w:val="000761BB"/>
    <w:rsid w:val="0008070B"/>
    <w:rsid w:val="000810AC"/>
    <w:rsid w:val="00081A00"/>
    <w:rsid w:val="00081A02"/>
    <w:rsid w:val="00082231"/>
    <w:rsid w:val="000853CE"/>
    <w:rsid w:val="00092D38"/>
    <w:rsid w:val="0009377B"/>
    <w:rsid w:val="000A20C9"/>
    <w:rsid w:val="000B058F"/>
    <w:rsid w:val="000B4467"/>
    <w:rsid w:val="000B4DB9"/>
    <w:rsid w:val="000C09AC"/>
    <w:rsid w:val="000C767F"/>
    <w:rsid w:val="000D25D1"/>
    <w:rsid w:val="000D4EE1"/>
    <w:rsid w:val="000D5A44"/>
    <w:rsid w:val="000D6191"/>
    <w:rsid w:val="000E3ED2"/>
    <w:rsid w:val="000F0545"/>
    <w:rsid w:val="000F6D3E"/>
    <w:rsid w:val="00111F7D"/>
    <w:rsid w:val="00115E07"/>
    <w:rsid w:val="001170B4"/>
    <w:rsid w:val="00131F42"/>
    <w:rsid w:val="001357F1"/>
    <w:rsid w:val="00140B7C"/>
    <w:rsid w:val="00140FA8"/>
    <w:rsid w:val="00142FEB"/>
    <w:rsid w:val="00143A2D"/>
    <w:rsid w:val="00145A41"/>
    <w:rsid w:val="00147AC4"/>
    <w:rsid w:val="00151675"/>
    <w:rsid w:val="00157435"/>
    <w:rsid w:val="00165A9E"/>
    <w:rsid w:val="001675FB"/>
    <w:rsid w:val="00171207"/>
    <w:rsid w:val="0017504D"/>
    <w:rsid w:val="0017671A"/>
    <w:rsid w:val="00177422"/>
    <w:rsid w:val="00180F33"/>
    <w:rsid w:val="00184590"/>
    <w:rsid w:val="00184A64"/>
    <w:rsid w:val="001870D1"/>
    <w:rsid w:val="0018781E"/>
    <w:rsid w:val="00190A64"/>
    <w:rsid w:val="0019262D"/>
    <w:rsid w:val="001A1B35"/>
    <w:rsid w:val="001A48A2"/>
    <w:rsid w:val="001A6F61"/>
    <w:rsid w:val="001B2907"/>
    <w:rsid w:val="001B72B8"/>
    <w:rsid w:val="001C69B3"/>
    <w:rsid w:val="001D5595"/>
    <w:rsid w:val="001D7874"/>
    <w:rsid w:val="001D79EE"/>
    <w:rsid w:val="001D7F22"/>
    <w:rsid w:val="001E4365"/>
    <w:rsid w:val="001E5304"/>
    <w:rsid w:val="001E6469"/>
    <w:rsid w:val="001F0F17"/>
    <w:rsid w:val="001F3347"/>
    <w:rsid w:val="001F4C57"/>
    <w:rsid w:val="001F69E4"/>
    <w:rsid w:val="002125B4"/>
    <w:rsid w:val="002155B8"/>
    <w:rsid w:val="00217D36"/>
    <w:rsid w:val="00220622"/>
    <w:rsid w:val="00220A03"/>
    <w:rsid w:val="00223F3A"/>
    <w:rsid w:val="00224839"/>
    <w:rsid w:val="002249B2"/>
    <w:rsid w:val="00226574"/>
    <w:rsid w:val="002278EC"/>
    <w:rsid w:val="00231622"/>
    <w:rsid w:val="0023280E"/>
    <w:rsid w:val="0023455A"/>
    <w:rsid w:val="00234ED7"/>
    <w:rsid w:val="00236AF3"/>
    <w:rsid w:val="002377D1"/>
    <w:rsid w:val="00243010"/>
    <w:rsid w:val="002506BC"/>
    <w:rsid w:val="00254345"/>
    <w:rsid w:val="00255B12"/>
    <w:rsid w:val="00262C70"/>
    <w:rsid w:val="00264557"/>
    <w:rsid w:val="00270FE0"/>
    <w:rsid w:val="00277FD5"/>
    <w:rsid w:val="002805AB"/>
    <w:rsid w:val="00284204"/>
    <w:rsid w:val="00291773"/>
    <w:rsid w:val="002A168C"/>
    <w:rsid w:val="002A3DC7"/>
    <w:rsid w:val="002B49E2"/>
    <w:rsid w:val="002B7B00"/>
    <w:rsid w:val="002B7C44"/>
    <w:rsid w:val="002C2B17"/>
    <w:rsid w:val="002C6B9A"/>
    <w:rsid w:val="002D3DD0"/>
    <w:rsid w:val="002E1F3A"/>
    <w:rsid w:val="002E298A"/>
    <w:rsid w:val="00301978"/>
    <w:rsid w:val="0030332C"/>
    <w:rsid w:val="003051C2"/>
    <w:rsid w:val="00311D1E"/>
    <w:rsid w:val="00312296"/>
    <w:rsid w:val="00314F0E"/>
    <w:rsid w:val="00317C8B"/>
    <w:rsid w:val="00320B43"/>
    <w:rsid w:val="00321D8E"/>
    <w:rsid w:val="00325928"/>
    <w:rsid w:val="00332863"/>
    <w:rsid w:val="0033684D"/>
    <w:rsid w:val="00337B42"/>
    <w:rsid w:val="00341B42"/>
    <w:rsid w:val="0034348F"/>
    <w:rsid w:val="00356653"/>
    <w:rsid w:val="0035743F"/>
    <w:rsid w:val="00357BE2"/>
    <w:rsid w:val="0036170C"/>
    <w:rsid w:val="00366E0F"/>
    <w:rsid w:val="00373621"/>
    <w:rsid w:val="00381A72"/>
    <w:rsid w:val="003835B2"/>
    <w:rsid w:val="00384676"/>
    <w:rsid w:val="00386A49"/>
    <w:rsid w:val="00390857"/>
    <w:rsid w:val="003A4BF3"/>
    <w:rsid w:val="003B0E3D"/>
    <w:rsid w:val="003B420D"/>
    <w:rsid w:val="003C6C16"/>
    <w:rsid w:val="003D252A"/>
    <w:rsid w:val="003D499E"/>
    <w:rsid w:val="003D794D"/>
    <w:rsid w:val="003E3058"/>
    <w:rsid w:val="003E6B59"/>
    <w:rsid w:val="003E76A9"/>
    <w:rsid w:val="003F0809"/>
    <w:rsid w:val="003F6A8C"/>
    <w:rsid w:val="003F755C"/>
    <w:rsid w:val="00401330"/>
    <w:rsid w:val="004049B8"/>
    <w:rsid w:val="00406F01"/>
    <w:rsid w:val="00411F65"/>
    <w:rsid w:val="00416D50"/>
    <w:rsid w:val="00416FD5"/>
    <w:rsid w:val="00417772"/>
    <w:rsid w:val="00420E6A"/>
    <w:rsid w:val="00425A9E"/>
    <w:rsid w:val="00426D6B"/>
    <w:rsid w:val="00431E6C"/>
    <w:rsid w:val="00432B58"/>
    <w:rsid w:val="00433CE7"/>
    <w:rsid w:val="0044163B"/>
    <w:rsid w:val="00447183"/>
    <w:rsid w:val="00451483"/>
    <w:rsid w:val="00452738"/>
    <w:rsid w:val="0045309C"/>
    <w:rsid w:val="004539D9"/>
    <w:rsid w:val="00456091"/>
    <w:rsid w:val="00464AE8"/>
    <w:rsid w:val="00466321"/>
    <w:rsid w:val="00467889"/>
    <w:rsid w:val="00484B9B"/>
    <w:rsid w:val="004855F6"/>
    <w:rsid w:val="0048661E"/>
    <w:rsid w:val="00494670"/>
    <w:rsid w:val="004A23D1"/>
    <w:rsid w:val="004A3823"/>
    <w:rsid w:val="004B032B"/>
    <w:rsid w:val="004E6946"/>
    <w:rsid w:val="004F1AD8"/>
    <w:rsid w:val="004F3840"/>
    <w:rsid w:val="005039CB"/>
    <w:rsid w:val="0050558F"/>
    <w:rsid w:val="00506286"/>
    <w:rsid w:val="00510813"/>
    <w:rsid w:val="00511990"/>
    <w:rsid w:val="00511DE0"/>
    <w:rsid w:val="005146D2"/>
    <w:rsid w:val="00514870"/>
    <w:rsid w:val="00514B9B"/>
    <w:rsid w:val="00517F02"/>
    <w:rsid w:val="00524303"/>
    <w:rsid w:val="005258A2"/>
    <w:rsid w:val="00535351"/>
    <w:rsid w:val="005401AE"/>
    <w:rsid w:val="00542E07"/>
    <w:rsid w:val="00545424"/>
    <w:rsid w:val="00554A7B"/>
    <w:rsid w:val="00555385"/>
    <w:rsid w:val="0055572C"/>
    <w:rsid w:val="0056106A"/>
    <w:rsid w:val="005720AE"/>
    <w:rsid w:val="005776C0"/>
    <w:rsid w:val="00594D77"/>
    <w:rsid w:val="005969E4"/>
    <w:rsid w:val="005A06B7"/>
    <w:rsid w:val="005A1759"/>
    <w:rsid w:val="005A68A7"/>
    <w:rsid w:val="005B2DA9"/>
    <w:rsid w:val="005D36AB"/>
    <w:rsid w:val="005E08A8"/>
    <w:rsid w:val="005E0FEE"/>
    <w:rsid w:val="005E2C67"/>
    <w:rsid w:val="005E5F81"/>
    <w:rsid w:val="00617CC3"/>
    <w:rsid w:val="00630414"/>
    <w:rsid w:val="006377A6"/>
    <w:rsid w:val="00637A3D"/>
    <w:rsid w:val="006411EF"/>
    <w:rsid w:val="00657145"/>
    <w:rsid w:val="006748B8"/>
    <w:rsid w:val="006775C3"/>
    <w:rsid w:val="00680AA1"/>
    <w:rsid w:val="00683750"/>
    <w:rsid w:val="00684B1A"/>
    <w:rsid w:val="00691B14"/>
    <w:rsid w:val="0069290A"/>
    <w:rsid w:val="0069373D"/>
    <w:rsid w:val="0069775A"/>
    <w:rsid w:val="00697813"/>
    <w:rsid w:val="006A3EE8"/>
    <w:rsid w:val="006A4611"/>
    <w:rsid w:val="006A72BF"/>
    <w:rsid w:val="006A7548"/>
    <w:rsid w:val="006B03F2"/>
    <w:rsid w:val="006B37DC"/>
    <w:rsid w:val="006B4F68"/>
    <w:rsid w:val="006C0592"/>
    <w:rsid w:val="006C0901"/>
    <w:rsid w:val="006C245E"/>
    <w:rsid w:val="006C272E"/>
    <w:rsid w:val="006C5479"/>
    <w:rsid w:val="006D13B5"/>
    <w:rsid w:val="006D43F5"/>
    <w:rsid w:val="006D77C9"/>
    <w:rsid w:val="006E12FF"/>
    <w:rsid w:val="006E607E"/>
    <w:rsid w:val="006F42D2"/>
    <w:rsid w:val="00706C5D"/>
    <w:rsid w:val="00727987"/>
    <w:rsid w:val="00731E62"/>
    <w:rsid w:val="00732922"/>
    <w:rsid w:val="0074448E"/>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A4657"/>
    <w:rsid w:val="007B4D74"/>
    <w:rsid w:val="007B72B8"/>
    <w:rsid w:val="007B7A58"/>
    <w:rsid w:val="007C21B5"/>
    <w:rsid w:val="007C232E"/>
    <w:rsid w:val="007D1ECF"/>
    <w:rsid w:val="007D4EC4"/>
    <w:rsid w:val="007E14FA"/>
    <w:rsid w:val="007E4BD2"/>
    <w:rsid w:val="007E591D"/>
    <w:rsid w:val="007E6779"/>
    <w:rsid w:val="007F6E0F"/>
    <w:rsid w:val="00801393"/>
    <w:rsid w:val="00802F88"/>
    <w:rsid w:val="00804A02"/>
    <w:rsid w:val="00805D1B"/>
    <w:rsid w:val="0080615D"/>
    <w:rsid w:val="0081293E"/>
    <w:rsid w:val="00812AA3"/>
    <w:rsid w:val="00815465"/>
    <w:rsid w:val="00817E9A"/>
    <w:rsid w:val="008306BD"/>
    <w:rsid w:val="00831A80"/>
    <w:rsid w:val="00833743"/>
    <w:rsid w:val="008340A4"/>
    <w:rsid w:val="00843EEC"/>
    <w:rsid w:val="0084792E"/>
    <w:rsid w:val="00850B13"/>
    <w:rsid w:val="00855272"/>
    <w:rsid w:val="0087135F"/>
    <w:rsid w:val="00872D94"/>
    <w:rsid w:val="00880364"/>
    <w:rsid w:val="00891592"/>
    <w:rsid w:val="00891E1C"/>
    <w:rsid w:val="00891E9E"/>
    <w:rsid w:val="00895777"/>
    <w:rsid w:val="008A2F68"/>
    <w:rsid w:val="008B4FA6"/>
    <w:rsid w:val="008B5282"/>
    <w:rsid w:val="008B7C17"/>
    <w:rsid w:val="008C143C"/>
    <w:rsid w:val="008C2D01"/>
    <w:rsid w:val="008C40E6"/>
    <w:rsid w:val="008C6360"/>
    <w:rsid w:val="008D0F7A"/>
    <w:rsid w:val="008D68E4"/>
    <w:rsid w:val="008D6A39"/>
    <w:rsid w:val="008E0506"/>
    <w:rsid w:val="008E0CFF"/>
    <w:rsid w:val="008E12E0"/>
    <w:rsid w:val="008E5D6B"/>
    <w:rsid w:val="008E76F0"/>
    <w:rsid w:val="008F15FE"/>
    <w:rsid w:val="008F2D29"/>
    <w:rsid w:val="008F3F08"/>
    <w:rsid w:val="008F5187"/>
    <w:rsid w:val="008F5DEA"/>
    <w:rsid w:val="008F60D8"/>
    <w:rsid w:val="00902086"/>
    <w:rsid w:val="00902727"/>
    <w:rsid w:val="0090312B"/>
    <w:rsid w:val="009034BA"/>
    <w:rsid w:val="009040FA"/>
    <w:rsid w:val="0090494E"/>
    <w:rsid w:val="0091736D"/>
    <w:rsid w:val="0093037A"/>
    <w:rsid w:val="0094154D"/>
    <w:rsid w:val="0095155F"/>
    <w:rsid w:val="00954429"/>
    <w:rsid w:val="009563CE"/>
    <w:rsid w:val="009649BA"/>
    <w:rsid w:val="00976328"/>
    <w:rsid w:val="00976735"/>
    <w:rsid w:val="0097680D"/>
    <w:rsid w:val="00982438"/>
    <w:rsid w:val="0098404C"/>
    <w:rsid w:val="00985283"/>
    <w:rsid w:val="00995992"/>
    <w:rsid w:val="009A03E5"/>
    <w:rsid w:val="009A0F3B"/>
    <w:rsid w:val="009A1BB4"/>
    <w:rsid w:val="009A2628"/>
    <w:rsid w:val="009A3200"/>
    <w:rsid w:val="009B0897"/>
    <w:rsid w:val="009B4466"/>
    <w:rsid w:val="009B4BFC"/>
    <w:rsid w:val="009B7BD9"/>
    <w:rsid w:val="009C7DD5"/>
    <w:rsid w:val="009E227D"/>
    <w:rsid w:val="009E5019"/>
    <w:rsid w:val="009F71CE"/>
    <w:rsid w:val="00A04F1B"/>
    <w:rsid w:val="00A0501B"/>
    <w:rsid w:val="00A14947"/>
    <w:rsid w:val="00A2557A"/>
    <w:rsid w:val="00A25E0F"/>
    <w:rsid w:val="00A32A83"/>
    <w:rsid w:val="00A368DB"/>
    <w:rsid w:val="00A423AA"/>
    <w:rsid w:val="00A4372D"/>
    <w:rsid w:val="00A46FE9"/>
    <w:rsid w:val="00A53EC6"/>
    <w:rsid w:val="00A559D5"/>
    <w:rsid w:val="00A55C0F"/>
    <w:rsid w:val="00A8713F"/>
    <w:rsid w:val="00A90BA1"/>
    <w:rsid w:val="00A97A9A"/>
    <w:rsid w:val="00AA0671"/>
    <w:rsid w:val="00AA2531"/>
    <w:rsid w:val="00AA73D0"/>
    <w:rsid w:val="00AB1E09"/>
    <w:rsid w:val="00AB5330"/>
    <w:rsid w:val="00AB7747"/>
    <w:rsid w:val="00AC14CE"/>
    <w:rsid w:val="00AC2A56"/>
    <w:rsid w:val="00AC3DA5"/>
    <w:rsid w:val="00AD055E"/>
    <w:rsid w:val="00AD47A7"/>
    <w:rsid w:val="00AD7338"/>
    <w:rsid w:val="00AE5A69"/>
    <w:rsid w:val="00AF0CBF"/>
    <w:rsid w:val="00AF1894"/>
    <w:rsid w:val="00AF257F"/>
    <w:rsid w:val="00AF33CF"/>
    <w:rsid w:val="00AF4D50"/>
    <w:rsid w:val="00AF6179"/>
    <w:rsid w:val="00B101EB"/>
    <w:rsid w:val="00B1295A"/>
    <w:rsid w:val="00B13A8F"/>
    <w:rsid w:val="00B20A45"/>
    <w:rsid w:val="00B22C5C"/>
    <w:rsid w:val="00B24F30"/>
    <w:rsid w:val="00B31ABF"/>
    <w:rsid w:val="00B31D18"/>
    <w:rsid w:val="00B33BE3"/>
    <w:rsid w:val="00B45112"/>
    <w:rsid w:val="00B45B60"/>
    <w:rsid w:val="00B46C4F"/>
    <w:rsid w:val="00B47D70"/>
    <w:rsid w:val="00B53B5D"/>
    <w:rsid w:val="00B6055E"/>
    <w:rsid w:val="00B6317D"/>
    <w:rsid w:val="00B63C2E"/>
    <w:rsid w:val="00B73E3F"/>
    <w:rsid w:val="00B7723F"/>
    <w:rsid w:val="00B80534"/>
    <w:rsid w:val="00B8433C"/>
    <w:rsid w:val="00B87491"/>
    <w:rsid w:val="00BA29E9"/>
    <w:rsid w:val="00BA7142"/>
    <w:rsid w:val="00BB237C"/>
    <w:rsid w:val="00BB41A3"/>
    <w:rsid w:val="00BB43A7"/>
    <w:rsid w:val="00BC32DC"/>
    <w:rsid w:val="00BC35B6"/>
    <w:rsid w:val="00BD0B84"/>
    <w:rsid w:val="00BD1B51"/>
    <w:rsid w:val="00BD4596"/>
    <w:rsid w:val="00BE1405"/>
    <w:rsid w:val="00BE312D"/>
    <w:rsid w:val="00BE3ED8"/>
    <w:rsid w:val="00BF1C20"/>
    <w:rsid w:val="00C02C2D"/>
    <w:rsid w:val="00C10578"/>
    <w:rsid w:val="00C135BC"/>
    <w:rsid w:val="00C13CE0"/>
    <w:rsid w:val="00C15C95"/>
    <w:rsid w:val="00C23431"/>
    <w:rsid w:val="00C23788"/>
    <w:rsid w:val="00C2596A"/>
    <w:rsid w:val="00C27537"/>
    <w:rsid w:val="00C300EE"/>
    <w:rsid w:val="00C328FE"/>
    <w:rsid w:val="00C33507"/>
    <w:rsid w:val="00C35C9D"/>
    <w:rsid w:val="00C36433"/>
    <w:rsid w:val="00C37A1B"/>
    <w:rsid w:val="00C4409D"/>
    <w:rsid w:val="00C44E72"/>
    <w:rsid w:val="00C45A06"/>
    <w:rsid w:val="00C47C40"/>
    <w:rsid w:val="00C47E5B"/>
    <w:rsid w:val="00C614BF"/>
    <w:rsid w:val="00C61E4B"/>
    <w:rsid w:val="00C642DD"/>
    <w:rsid w:val="00C64BFF"/>
    <w:rsid w:val="00C704E9"/>
    <w:rsid w:val="00C763C9"/>
    <w:rsid w:val="00C80057"/>
    <w:rsid w:val="00C82232"/>
    <w:rsid w:val="00C82913"/>
    <w:rsid w:val="00C972B1"/>
    <w:rsid w:val="00CA2CCE"/>
    <w:rsid w:val="00CA43FD"/>
    <w:rsid w:val="00CA7EF8"/>
    <w:rsid w:val="00CB2FFF"/>
    <w:rsid w:val="00CC489B"/>
    <w:rsid w:val="00CD2BCD"/>
    <w:rsid w:val="00CD3A4C"/>
    <w:rsid w:val="00CE10E9"/>
    <w:rsid w:val="00CE2910"/>
    <w:rsid w:val="00CE5393"/>
    <w:rsid w:val="00CF36BE"/>
    <w:rsid w:val="00CF6000"/>
    <w:rsid w:val="00D003F3"/>
    <w:rsid w:val="00D0364F"/>
    <w:rsid w:val="00D06834"/>
    <w:rsid w:val="00D22DFC"/>
    <w:rsid w:val="00D22FF7"/>
    <w:rsid w:val="00D24FF0"/>
    <w:rsid w:val="00D308ED"/>
    <w:rsid w:val="00D36D86"/>
    <w:rsid w:val="00D408F9"/>
    <w:rsid w:val="00D40BE3"/>
    <w:rsid w:val="00D42770"/>
    <w:rsid w:val="00D428AA"/>
    <w:rsid w:val="00D50A34"/>
    <w:rsid w:val="00D53EFA"/>
    <w:rsid w:val="00D60CCA"/>
    <w:rsid w:val="00D667AE"/>
    <w:rsid w:val="00D67C51"/>
    <w:rsid w:val="00D91E79"/>
    <w:rsid w:val="00D94A7C"/>
    <w:rsid w:val="00D95896"/>
    <w:rsid w:val="00DA1F56"/>
    <w:rsid w:val="00DB2983"/>
    <w:rsid w:val="00DC1257"/>
    <w:rsid w:val="00DC1652"/>
    <w:rsid w:val="00DC3DC0"/>
    <w:rsid w:val="00DC5B2B"/>
    <w:rsid w:val="00DC6932"/>
    <w:rsid w:val="00DD318D"/>
    <w:rsid w:val="00DD7C11"/>
    <w:rsid w:val="00DF2E12"/>
    <w:rsid w:val="00DF514A"/>
    <w:rsid w:val="00DF6690"/>
    <w:rsid w:val="00DF6804"/>
    <w:rsid w:val="00E01F00"/>
    <w:rsid w:val="00E0358D"/>
    <w:rsid w:val="00E04323"/>
    <w:rsid w:val="00E070A2"/>
    <w:rsid w:val="00E16BF0"/>
    <w:rsid w:val="00E2656A"/>
    <w:rsid w:val="00E2781F"/>
    <w:rsid w:val="00E412D0"/>
    <w:rsid w:val="00E5493A"/>
    <w:rsid w:val="00E56322"/>
    <w:rsid w:val="00E60982"/>
    <w:rsid w:val="00E62C62"/>
    <w:rsid w:val="00E643BF"/>
    <w:rsid w:val="00E654C1"/>
    <w:rsid w:val="00E65D97"/>
    <w:rsid w:val="00E72A5A"/>
    <w:rsid w:val="00E73354"/>
    <w:rsid w:val="00E9242D"/>
    <w:rsid w:val="00E9475E"/>
    <w:rsid w:val="00EB5255"/>
    <w:rsid w:val="00EB5C47"/>
    <w:rsid w:val="00EB6086"/>
    <w:rsid w:val="00EC4CDF"/>
    <w:rsid w:val="00ED0639"/>
    <w:rsid w:val="00EF4755"/>
    <w:rsid w:val="00EF7135"/>
    <w:rsid w:val="00F027DB"/>
    <w:rsid w:val="00F0434D"/>
    <w:rsid w:val="00F14940"/>
    <w:rsid w:val="00F14A7A"/>
    <w:rsid w:val="00F22985"/>
    <w:rsid w:val="00F24E42"/>
    <w:rsid w:val="00F3383E"/>
    <w:rsid w:val="00F465A7"/>
    <w:rsid w:val="00F50B7C"/>
    <w:rsid w:val="00F550E6"/>
    <w:rsid w:val="00F67DA0"/>
    <w:rsid w:val="00F701B5"/>
    <w:rsid w:val="00F73C7C"/>
    <w:rsid w:val="00F74345"/>
    <w:rsid w:val="00F80A0A"/>
    <w:rsid w:val="00F82B19"/>
    <w:rsid w:val="00F9212D"/>
    <w:rsid w:val="00F965DA"/>
    <w:rsid w:val="00FA406A"/>
    <w:rsid w:val="00FB503A"/>
    <w:rsid w:val="00FB516C"/>
    <w:rsid w:val="00FC4CAC"/>
    <w:rsid w:val="00FD0236"/>
    <w:rsid w:val="00FD18F4"/>
    <w:rsid w:val="00FD243C"/>
    <w:rsid w:val="00FD54DB"/>
    <w:rsid w:val="00FD619F"/>
    <w:rsid w:val="00FE43E2"/>
    <w:rsid w:val="010328F5"/>
    <w:rsid w:val="01043737"/>
    <w:rsid w:val="011078C7"/>
    <w:rsid w:val="01290F7E"/>
    <w:rsid w:val="012B55FE"/>
    <w:rsid w:val="015679D0"/>
    <w:rsid w:val="015D1E09"/>
    <w:rsid w:val="01735D36"/>
    <w:rsid w:val="0185423A"/>
    <w:rsid w:val="01B1562D"/>
    <w:rsid w:val="01B71D77"/>
    <w:rsid w:val="01CB6FF4"/>
    <w:rsid w:val="01D66DE3"/>
    <w:rsid w:val="01F63231"/>
    <w:rsid w:val="01F8398B"/>
    <w:rsid w:val="01FD27FC"/>
    <w:rsid w:val="020A539C"/>
    <w:rsid w:val="02297BE6"/>
    <w:rsid w:val="023067DB"/>
    <w:rsid w:val="023760F0"/>
    <w:rsid w:val="024A48C9"/>
    <w:rsid w:val="025263E9"/>
    <w:rsid w:val="02647247"/>
    <w:rsid w:val="02697903"/>
    <w:rsid w:val="028A076A"/>
    <w:rsid w:val="029D18AC"/>
    <w:rsid w:val="02A36599"/>
    <w:rsid w:val="02B638E8"/>
    <w:rsid w:val="02C167FE"/>
    <w:rsid w:val="02C41BF8"/>
    <w:rsid w:val="02D8682F"/>
    <w:rsid w:val="02DD7119"/>
    <w:rsid w:val="02EB6275"/>
    <w:rsid w:val="02F96569"/>
    <w:rsid w:val="031046CD"/>
    <w:rsid w:val="03274A6F"/>
    <w:rsid w:val="03343E21"/>
    <w:rsid w:val="03364904"/>
    <w:rsid w:val="034A4DA0"/>
    <w:rsid w:val="034F120A"/>
    <w:rsid w:val="036B7036"/>
    <w:rsid w:val="037D56E7"/>
    <w:rsid w:val="03A42E5E"/>
    <w:rsid w:val="03A63310"/>
    <w:rsid w:val="03AD2BA0"/>
    <w:rsid w:val="03B945B2"/>
    <w:rsid w:val="03E9016B"/>
    <w:rsid w:val="03EA7B21"/>
    <w:rsid w:val="03FE5CD5"/>
    <w:rsid w:val="040C798B"/>
    <w:rsid w:val="042356FB"/>
    <w:rsid w:val="043C7F92"/>
    <w:rsid w:val="043D6C25"/>
    <w:rsid w:val="04404A24"/>
    <w:rsid w:val="04685EF6"/>
    <w:rsid w:val="04806B11"/>
    <w:rsid w:val="04952C33"/>
    <w:rsid w:val="04AA3FA8"/>
    <w:rsid w:val="04BF0077"/>
    <w:rsid w:val="04C11604"/>
    <w:rsid w:val="04D37589"/>
    <w:rsid w:val="04F95927"/>
    <w:rsid w:val="04FF3058"/>
    <w:rsid w:val="05017C52"/>
    <w:rsid w:val="05502988"/>
    <w:rsid w:val="057A6EAD"/>
    <w:rsid w:val="057E3D92"/>
    <w:rsid w:val="059565ED"/>
    <w:rsid w:val="05A459BF"/>
    <w:rsid w:val="05B428CC"/>
    <w:rsid w:val="05BA4D46"/>
    <w:rsid w:val="05D237DE"/>
    <w:rsid w:val="05E534BC"/>
    <w:rsid w:val="05F83EAE"/>
    <w:rsid w:val="062475CD"/>
    <w:rsid w:val="06252479"/>
    <w:rsid w:val="063E7D85"/>
    <w:rsid w:val="06543ADB"/>
    <w:rsid w:val="0658411C"/>
    <w:rsid w:val="06BD7BFE"/>
    <w:rsid w:val="06DB1ACF"/>
    <w:rsid w:val="06EF4291"/>
    <w:rsid w:val="06F061D0"/>
    <w:rsid w:val="07016639"/>
    <w:rsid w:val="07293586"/>
    <w:rsid w:val="07295285"/>
    <w:rsid w:val="072F1BD5"/>
    <w:rsid w:val="07322345"/>
    <w:rsid w:val="073B03A7"/>
    <w:rsid w:val="073F4A62"/>
    <w:rsid w:val="074F679D"/>
    <w:rsid w:val="0756185F"/>
    <w:rsid w:val="075F21D2"/>
    <w:rsid w:val="075F5079"/>
    <w:rsid w:val="07630B93"/>
    <w:rsid w:val="07636392"/>
    <w:rsid w:val="07770C56"/>
    <w:rsid w:val="077B0437"/>
    <w:rsid w:val="0785538E"/>
    <w:rsid w:val="079141D7"/>
    <w:rsid w:val="07977A0D"/>
    <w:rsid w:val="07D33E31"/>
    <w:rsid w:val="07FC3B87"/>
    <w:rsid w:val="07FD28EB"/>
    <w:rsid w:val="0805324C"/>
    <w:rsid w:val="082172AD"/>
    <w:rsid w:val="0822685D"/>
    <w:rsid w:val="08254BCB"/>
    <w:rsid w:val="086A1A04"/>
    <w:rsid w:val="08752CDA"/>
    <w:rsid w:val="087724D0"/>
    <w:rsid w:val="087C3EC0"/>
    <w:rsid w:val="087C4585"/>
    <w:rsid w:val="087F5A5E"/>
    <w:rsid w:val="0882284B"/>
    <w:rsid w:val="08940DDD"/>
    <w:rsid w:val="089F1C5C"/>
    <w:rsid w:val="08A376A3"/>
    <w:rsid w:val="08D37B58"/>
    <w:rsid w:val="08D63930"/>
    <w:rsid w:val="08D66DA8"/>
    <w:rsid w:val="09094970"/>
    <w:rsid w:val="090B48EB"/>
    <w:rsid w:val="091E5277"/>
    <w:rsid w:val="092217DD"/>
    <w:rsid w:val="093A7294"/>
    <w:rsid w:val="09562089"/>
    <w:rsid w:val="09681E7E"/>
    <w:rsid w:val="09767CDF"/>
    <w:rsid w:val="09937125"/>
    <w:rsid w:val="09AC470E"/>
    <w:rsid w:val="09BF1E8A"/>
    <w:rsid w:val="09E047EA"/>
    <w:rsid w:val="0A007128"/>
    <w:rsid w:val="0A0A3BBC"/>
    <w:rsid w:val="0A263993"/>
    <w:rsid w:val="0A285BBA"/>
    <w:rsid w:val="0A290BD6"/>
    <w:rsid w:val="0A2D3AC2"/>
    <w:rsid w:val="0A314573"/>
    <w:rsid w:val="0A3B59B5"/>
    <w:rsid w:val="0A4259FC"/>
    <w:rsid w:val="0A7804F8"/>
    <w:rsid w:val="0A874F7C"/>
    <w:rsid w:val="0AA755DF"/>
    <w:rsid w:val="0ACF3342"/>
    <w:rsid w:val="0AD33F14"/>
    <w:rsid w:val="0AD504FB"/>
    <w:rsid w:val="0B081CE3"/>
    <w:rsid w:val="0B120D44"/>
    <w:rsid w:val="0B2622E9"/>
    <w:rsid w:val="0B27224C"/>
    <w:rsid w:val="0B34770C"/>
    <w:rsid w:val="0B471812"/>
    <w:rsid w:val="0B495EAF"/>
    <w:rsid w:val="0B8F1F58"/>
    <w:rsid w:val="0BB63FC0"/>
    <w:rsid w:val="0BBE2120"/>
    <w:rsid w:val="0BC850C3"/>
    <w:rsid w:val="0BD27BF6"/>
    <w:rsid w:val="0BD4124B"/>
    <w:rsid w:val="0BE0089E"/>
    <w:rsid w:val="0C320B80"/>
    <w:rsid w:val="0C3B3C7D"/>
    <w:rsid w:val="0C3B6140"/>
    <w:rsid w:val="0C49335D"/>
    <w:rsid w:val="0C4E05EF"/>
    <w:rsid w:val="0C667249"/>
    <w:rsid w:val="0C6952B0"/>
    <w:rsid w:val="0C831895"/>
    <w:rsid w:val="0CAB2EAE"/>
    <w:rsid w:val="0CAF3ECD"/>
    <w:rsid w:val="0CBD526B"/>
    <w:rsid w:val="0CD571B5"/>
    <w:rsid w:val="0D091D9A"/>
    <w:rsid w:val="0D103128"/>
    <w:rsid w:val="0D4C35F2"/>
    <w:rsid w:val="0D531267"/>
    <w:rsid w:val="0D621C7D"/>
    <w:rsid w:val="0D6B5B7B"/>
    <w:rsid w:val="0D73610C"/>
    <w:rsid w:val="0D997DCB"/>
    <w:rsid w:val="0DAB7257"/>
    <w:rsid w:val="0DBA311A"/>
    <w:rsid w:val="0DCA684F"/>
    <w:rsid w:val="0DDA351F"/>
    <w:rsid w:val="0DE75691"/>
    <w:rsid w:val="0DF00398"/>
    <w:rsid w:val="0DF97297"/>
    <w:rsid w:val="0E0D2DE5"/>
    <w:rsid w:val="0E225545"/>
    <w:rsid w:val="0E26053F"/>
    <w:rsid w:val="0E5F475B"/>
    <w:rsid w:val="0E6E132D"/>
    <w:rsid w:val="0E73034D"/>
    <w:rsid w:val="0E8A05FB"/>
    <w:rsid w:val="0E985299"/>
    <w:rsid w:val="0EA6712F"/>
    <w:rsid w:val="0EB24A70"/>
    <w:rsid w:val="0EC244A8"/>
    <w:rsid w:val="0EEC0EFD"/>
    <w:rsid w:val="0EF75E51"/>
    <w:rsid w:val="0F13775A"/>
    <w:rsid w:val="0F330D1C"/>
    <w:rsid w:val="0F330DA2"/>
    <w:rsid w:val="0F500F2D"/>
    <w:rsid w:val="0F5F45FE"/>
    <w:rsid w:val="0F834335"/>
    <w:rsid w:val="0F9A112B"/>
    <w:rsid w:val="0FB00316"/>
    <w:rsid w:val="0FE435B4"/>
    <w:rsid w:val="0FEF0518"/>
    <w:rsid w:val="0FF0425F"/>
    <w:rsid w:val="0FF66648"/>
    <w:rsid w:val="10174E76"/>
    <w:rsid w:val="101E353B"/>
    <w:rsid w:val="10253228"/>
    <w:rsid w:val="10290C77"/>
    <w:rsid w:val="103415F7"/>
    <w:rsid w:val="104C6BAE"/>
    <w:rsid w:val="106D2F64"/>
    <w:rsid w:val="10781A82"/>
    <w:rsid w:val="107F0459"/>
    <w:rsid w:val="1094731F"/>
    <w:rsid w:val="10B63710"/>
    <w:rsid w:val="10B91C44"/>
    <w:rsid w:val="10BC3231"/>
    <w:rsid w:val="10C52501"/>
    <w:rsid w:val="10CF50A9"/>
    <w:rsid w:val="10D914F0"/>
    <w:rsid w:val="10F10820"/>
    <w:rsid w:val="10F17C41"/>
    <w:rsid w:val="110A77C0"/>
    <w:rsid w:val="111C2F7A"/>
    <w:rsid w:val="11232F5F"/>
    <w:rsid w:val="11665CA1"/>
    <w:rsid w:val="116D72D3"/>
    <w:rsid w:val="11846AF0"/>
    <w:rsid w:val="11886F21"/>
    <w:rsid w:val="11BC387F"/>
    <w:rsid w:val="11C826B3"/>
    <w:rsid w:val="11E16485"/>
    <w:rsid w:val="11E94BA7"/>
    <w:rsid w:val="11F17FC4"/>
    <w:rsid w:val="12117991"/>
    <w:rsid w:val="12241424"/>
    <w:rsid w:val="12285BB5"/>
    <w:rsid w:val="122E7784"/>
    <w:rsid w:val="1230558C"/>
    <w:rsid w:val="12383C5F"/>
    <w:rsid w:val="123B6920"/>
    <w:rsid w:val="1247075A"/>
    <w:rsid w:val="1265104C"/>
    <w:rsid w:val="126F31A9"/>
    <w:rsid w:val="12A0260F"/>
    <w:rsid w:val="12AD31C8"/>
    <w:rsid w:val="12B24AFD"/>
    <w:rsid w:val="12B96010"/>
    <w:rsid w:val="12F51524"/>
    <w:rsid w:val="134639C0"/>
    <w:rsid w:val="134F620C"/>
    <w:rsid w:val="135C391A"/>
    <w:rsid w:val="13741BA9"/>
    <w:rsid w:val="1383547D"/>
    <w:rsid w:val="138A52B7"/>
    <w:rsid w:val="13951726"/>
    <w:rsid w:val="13C15251"/>
    <w:rsid w:val="13C30897"/>
    <w:rsid w:val="13E974E8"/>
    <w:rsid w:val="13F36530"/>
    <w:rsid w:val="13FA5B27"/>
    <w:rsid w:val="14263CA3"/>
    <w:rsid w:val="14396509"/>
    <w:rsid w:val="146E7CBC"/>
    <w:rsid w:val="14780593"/>
    <w:rsid w:val="147B2251"/>
    <w:rsid w:val="14977E3C"/>
    <w:rsid w:val="14A76342"/>
    <w:rsid w:val="14C174FE"/>
    <w:rsid w:val="14C5491D"/>
    <w:rsid w:val="14C839C6"/>
    <w:rsid w:val="14DD2C3C"/>
    <w:rsid w:val="14EC038C"/>
    <w:rsid w:val="14F26920"/>
    <w:rsid w:val="152A0AFF"/>
    <w:rsid w:val="152B5D8F"/>
    <w:rsid w:val="152F10BB"/>
    <w:rsid w:val="153100E0"/>
    <w:rsid w:val="15414E16"/>
    <w:rsid w:val="154E2755"/>
    <w:rsid w:val="155679F1"/>
    <w:rsid w:val="15603B8F"/>
    <w:rsid w:val="1567274B"/>
    <w:rsid w:val="15681628"/>
    <w:rsid w:val="156D238E"/>
    <w:rsid w:val="15A251B1"/>
    <w:rsid w:val="15DA4542"/>
    <w:rsid w:val="15EF58A5"/>
    <w:rsid w:val="15F829AC"/>
    <w:rsid w:val="15F86789"/>
    <w:rsid w:val="16087E1D"/>
    <w:rsid w:val="16096141"/>
    <w:rsid w:val="162A6887"/>
    <w:rsid w:val="162F252D"/>
    <w:rsid w:val="1644660D"/>
    <w:rsid w:val="1688262A"/>
    <w:rsid w:val="168A1645"/>
    <w:rsid w:val="16B74C2D"/>
    <w:rsid w:val="16D61981"/>
    <w:rsid w:val="16FB2BDD"/>
    <w:rsid w:val="17084E70"/>
    <w:rsid w:val="17156604"/>
    <w:rsid w:val="17203413"/>
    <w:rsid w:val="17256A3B"/>
    <w:rsid w:val="172841DB"/>
    <w:rsid w:val="172F7762"/>
    <w:rsid w:val="173A50FA"/>
    <w:rsid w:val="174E01B8"/>
    <w:rsid w:val="175609DD"/>
    <w:rsid w:val="175B7696"/>
    <w:rsid w:val="17611B63"/>
    <w:rsid w:val="17701D14"/>
    <w:rsid w:val="17735226"/>
    <w:rsid w:val="177B5895"/>
    <w:rsid w:val="1788040B"/>
    <w:rsid w:val="1789188F"/>
    <w:rsid w:val="178A44EC"/>
    <w:rsid w:val="179B5CE4"/>
    <w:rsid w:val="17C36FE9"/>
    <w:rsid w:val="17CF598E"/>
    <w:rsid w:val="17D43474"/>
    <w:rsid w:val="17E4768B"/>
    <w:rsid w:val="180F5419"/>
    <w:rsid w:val="18141E4C"/>
    <w:rsid w:val="181D2B9D"/>
    <w:rsid w:val="18795CED"/>
    <w:rsid w:val="18821591"/>
    <w:rsid w:val="18846779"/>
    <w:rsid w:val="189B4FCD"/>
    <w:rsid w:val="189F624C"/>
    <w:rsid w:val="18AE4EB1"/>
    <w:rsid w:val="18EA588D"/>
    <w:rsid w:val="18F2402A"/>
    <w:rsid w:val="18FD6F5F"/>
    <w:rsid w:val="191A3E6C"/>
    <w:rsid w:val="195350D8"/>
    <w:rsid w:val="19865405"/>
    <w:rsid w:val="198F56D7"/>
    <w:rsid w:val="19923117"/>
    <w:rsid w:val="199444CA"/>
    <w:rsid w:val="199D21C8"/>
    <w:rsid w:val="19B54586"/>
    <w:rsid w:val="19CC6629"/>
    <w:rsid w:val="19D31722"/>
    <w:rsid w:val="19D521F2"/>
    <w:rsid w:val="19E467CB"/>
    <w:rsid w:val="19E5593D"/>
    <w:rsid w:val="1A073B05"/>
    <w:rsid w:val="1A087AF8"/>
    <w:rsid w:val="1A1C66C0"/>
    <w:rsid w:val="1A422D87"/>
    <w:rsid w:val="1A42393B"/>
    <w:rsid w:val="1A736AA5"/>
    <w:rsid w:val="1A79320C"/>
    <w:rsid w:val="1A7D74A3"/>
    <w:rsid w:val="1A8769F4"/>
    <w:rsid w:val="1A8A5A0F"/>
    <w:rsid w:val="1A8E72E7"/>
    <w:rsid w:val="1AA255DC"/>
    <w:rsid w:val="1AAD45DE"/>
    <w:rsid w:val="1ABA0B77"/>
    <w:rsid w:val="1ABF61E9"/>
    <w:rsid w:val="1AC63078"/>
    <w:rsid w:val="1ACA3F5C"/>
    <w:rsid w:val="1AD35795"/>
    <w:rsid w:val="1AD42081"/>
    <w:rsid w:val="1AD56E7E"/>
    <w:rsid w:val="1AF65AC9"/>
    <w:rsid w:val="1B031711"/>
    <w:rsid w:val="1B046507"/>
    <w:rsid w:val="1B046F80"/>
    <w:rsid w:val="1B1A33C4"/>
    <w:rsid w:val="1B1B6542"/>
    <w:rsid w:val="1B262127"/>
    <w:rsid w:val="1B2B1ECB"/>
    <w:rsid w:val="1B3267B5"/>
    <w:rsid w:val="1B40161D"/>
    <w:rsid w:val="1B441859"/>
    <w:rsid w:val="1B454200"/>
    <w:rsid w:val="1B506DE6"/>
    <w:rsid w:val="1B517395"/>
    <w:rsid w:val="1B5E6D26"/>
    <w:rsid w:val="1B655660"/>
    <w:rsid w:val="1B6606B1"/>
    <w:rsid w:val="1B6C6ACE"/>
    <w:rsid w:val="1B8B493E"/>
    <w:rsid w:val="1B9D197E"/>
    <w:rsid w:val="1BA133AD"/>
    <w:rsid w:val="1BA66795"/>
    <w:rsid w:val="1BD0162A"/>
    <w:rsid w:val="1BE10EB0"/>
    <w:rsid w:val="1C307110"/>
    <w:rsid w:val="1C5E7925"/>
    <w:rsid w:val="1C6127C7"/>
    <w:rsid w:val="1C682B14"/>
    <w:rsid w:val="1C817D47"/>
    <w:rsid w:val="1C9B6084"/>
    <w:rsid w:val="1CB82E95"/>
    <w:rsid w:val="1CC7757C"/>
    <w:rsid w:val="1CC9633F"/>
    <w:rsid w:val="1CE33BD8"/>
    <w:rsid w:val="1CE463FA"/>
    <w:rsid w:val="1CE636CB"/>
    <w:rsid w:val="1CFD070F"/>
    <w:rsid w:val="1CFD24FB"/>
    <w:rsid w:val="1D0165EA"/>
    <w:rsid w:val="1D126BF0"/>
    <w:rsid w:val="1D17405F"/>
    <w:rsid w:val="1D1752D6"/>
    <w:rsid w:val="1D1D1B6C"/>
    <w:rsid w:val="1D281EAC"/>
    <w:rsid w:val="1D544B80"/>
    <w:rsid w:val="1D565CFB"/>
    <w:rsid w:val="1D5F6196"/>
    <w:rsid w:val="1D6132A5"/>
    <w:rsid w:val="1D764654"/>
    <w:rsid w:val="1D8E56D5"/>
    <w:rsid w:val="1DA02573"/>
    <w:rsid w:val="1DA46A41"/>
    <w:rsid w:val="1DA91EAE"/>
    <w:rsid w:val="1DEB6284"/>
    <w:rsid w:val="1DF12B02"/>
    <w:rsid w:val="1DFD573A"/>
    <w:rsid w:val="1E302101"/>
    <w:rsid w:val="1E306832"/>
    <w:rsid w:val="1E486559"/>
    <w:rsid w:val="1E5D0533"/>
    <w:rsid w:val="1E7A43DA"/>
    <w:rsid w:val="1E7E4421"/>
    <w:rsid w:val="1E90305C"/>
    <w:rsid w:val="1EBF49AE"/>
    <w:rsid w:val="1EBF7314"/>
    <w:rsid w:val="1ECF343F"/>
    <w:rsid w:val="1EDA22AD"/>
    <w:rsid w:val="1F354C71"/>
    <w:rsid w:val="1F3919F2"/>
    <w:rsid w:val="1F4C6B8E"/>
    <w:rsid w:val="1F5A6485"/>
    <w:rsid w:val="1F6B41EE"/>
    <w:rsid w:val="1F6C409B"/>
    <w:rsid w:val="1F777037"/>
    <w:rsid w:val="1F807A54"/>
    <w:rsid w:val="1FB65DB1"/>
    <w:rsid w:val="1FBC7140"/>
    <w:rsid w:val="1FC52499"/>
    <w:rsid w:val="1FD21407"/>
    <w:rsid w:val="1FD47FE6"/>
    <w:rsid w:val="1FD64740"/>
    <w:rsid w:val="1FE7539E"/>
    <w:rsid w:val="201C7BDE"/>
    <w:rsid w:val="20222EF6"/>
    <w:rsid w:val="20303E66"/>
    <w:rsid w:val="2035094D"/>
    <w:rsid w:val="20430752"/>
    <w:rsid w:val="20671BE0"/>
    <w:rsid w:val="20782DB2"/>
    <w:rsid w:val="20894DB2"/>
    <w:rsid w:val="20950914"/>
    <w:rsid w:val="20963CB8"/>
    <w:rsid w:val="20A81A1B"/>
    <w:rsid w:val="20B07FB6"/>
    <w:rsid w:val="20B646FB"/>
    <w:rsid w:val="20B9542D"/>
    <w:rsid w:val="20DE382C"/>
    <w:rsid w:val="212D46C3"/>
    <w:rsid w:val="213A4FBC"/>
    <w:rsid w:val="213B74B1"/>
    <w:rsid w:val="213D060A"/>
    <w:rsid w:val="21405A30"/>
    <w:rsid w:val="215A2310"/>
    <w:rsid w:val="219A5F56"/>
    <w:rsid w:val="21B14839"/>
    <w:rsid w:val="21C429A2"/>
    <w:rsid w:val="21D82A78"/>
    <w:rsid w:val="21DE318A"/>
    <w:rsid w:val="21E0100F"/>
    <w:rsid w:val="21EF5B80"/>
    <w:rsid w:val="220C174E"/>
    <w:rsid w:val="22161614"/>
    <w:rsid w:val="222D7AFF"/>
    <w:rsid w:val="22394A78"/>
    <w:rsid w:val="22476EF9"/>
    <w:rsid w:val="224B798C"/>
    <w:rsid w:val="22576990"/>
    <w:rsid w:val="22720028"/>
    <w:rsid w:val="22833CE9"/>
    <w:rsid w:val="22892090"/>
    <w:rsid w:val="228A0E2F"/>
    <w:rsid w:val="22AC02F8"/>
    <w:rsid w:val="22C73E40"/>
    <w:rsid w:val="22F368A4"/>
    <w:rsid w:val="22F47480"/>
    <w:rsid w:val="22F90BAF"/>
    <w:rsid w:val="2305457F"/>
    <w:rsid w:val="23203542"/>
    <w:rsid w:val="23204B4E"/>
    <w:rsid w:val="233877B1"/>
    <w:rsid w:val="235F5475"/>
    <w:rsid w:val="23997BFF"/>
    <w:rsid w:val="23A06A7E"/>
    <w:rsid w:val="23A365F0"/>
    <w:rsid w:val="23C014E9"/>
    <w:rsid w:val="23DC771E"/>
    <w:rsid w:val="23DE1C48"/>
    <w:rsid w:val="23E70B56"/>
    <w:rsid w:val="240210CD"/>
    <w:rsid w:val="240B41F2"/>
    <w:rsid w:val="243C1677"/>
    <w:rsid w:val="244119C2"/>
    <w:rsid w:val="2442777F"/>
    <w:rsid w:val="24484829"/>
    <w:rsid w:val="246900C1"/>
    <w:rsid w:val="2469454D"/>
    <w:rsid w:val="247B45CD"/>
    <w:rsid w:val="248144B4"/>
    <w:rsid w:val="24820368"/>
    <w:rsid w:val="249478AC"/>
    <w:rsid w:val="24967F6B"/>
    <w:rsid w:val="249C3655"/>
    <w:rsid w:val="249F4FFD"/>
    <w:rsid w:val="24BF09F7"/>
    <w:rsid w:val="24C6056F"/>
    <w:rsid w:val="24CD67BC"/>
    <w:rsid w:val="24CE08A6"/>
    <w:rsid w:val="24CE5C26"/>
    <w:rsid w:val="24F93409"/>
    <w:rsid w:val="24FC4ED2"/>
    <w:rsid w:val="250A3BED"/>
    <w:rsid w:val="250C3C16"/>
    <w:rsid w:val="250F386E"/>
    <w:rsid w:val="251D5F8B"/>
    <w:rsid w:val="252D53FE"/>
    <w:rsid w:val="25332581"/>
    <w:rsid w:val="25607A7D"/>
    <w:rsid w:val="2574080D"/>
    <w:rsid w:val="257E2913"/>
    <w:rsid w:val="25936E20"/>
    <w:rsid w:val="25942B5D"/>
    <w:rsid w:val="25A641D2"/>
    <w:rsid w:val="25AC6DD7"/>
    <w:rsid w:val="25B7432A"/>
    <w:rsid w:val="25B74631"/>
    <w:rsid w:val="25BB438B"/>
    <w:rsid w:val="25C87E46"/>
    <w:rsid w:val="25CC507B"/>
    <w:rsid w:val="25E1520A"/>
    <w:rsid w:val="25EC2D81"/>
    <w:rsid w:val="25FE2D83"/>
    <w:rsid w:val="260809E9"/>
    <w:rsid w:val="260F30A4"/>
    <w:rsid w:val="26124578"/>
    <w:rsid w:val="26153BA2"/>
    <w:rsid w:val="261D4551"/>
    <w:rsid w:val="263711F2"/>
    <w:rsid w:val="264C775E"/>
    <w:rsid w:val="264E5641"/>
    <w:rsid w:val="265E3071"/>
    <w:rsid w:val="2666570F"/>
    <w:rsid w:val="26810A54"/>
    <w:rsid w:val="268478D3"/>
    <w:rsid w:val="269501FA"/>
    <w:rsid w:val="26B85414"/>
    <w:rsid w:val="26BF4371"/>
    <w:rsid w:val="26D8490C"/>
    <w:rsid w:val="26E86A6C"/>
    <w:rsid w:val="26EF412F"/>
    <w:rsid w:val="270F2FA2"/>
    <w:rsid w:val="271433BD"/>
    <w:rsid w:val="271C5C1E"/>
    <w:rsid w:val="271D04C4"/>
    <w:rsid w:val="272600D8"/>
    <w:rsid w:val="27292E33"/>
    <w:rsid w:val="275B7F6F"/>
    <w:rsid w:val="276A74B3"/>
    <w:rsid w:val="277057A2"/>
    <w:rsid w:val="27897907"/>
    <w:rsid w:val="27B23BDA"/>
    <w:rsid w:val="27EA1D8E"/>
    <w:rsid w:val="27F40B5D"/>
    <w:rsid w:val="27F454C9"/>
    <w:rsid w:val="27F8150A"/>
    <w:rsid w:val="28001F8A"/>
    <w:rsid w:val="280F2FBA"/>
    <w:rsid w:val="2810627B"/>
    <w:rsid w:val="28425D08"/>
    <w:rsid w:val="285F1BAC"/>
    <w:rsid w:val="287F785E"/>
    <w:rsid w:val="288F5A44"/>
    <w:rsid w:val="28B70E48"/>
    <w:rsid w:val="28BB61E6"/>
    <w:rsid w:val="28BC0154"/>
    <w:rsid w:val="28CE2924"/>
    <w:rsid w:val="28E910E0"/>
    <w:rsid w:val="29083430"/>
    <w:rsid w:val="29206EB8"/>
    <w:rsid w:val="29312005"/>
    <w:rsid w:val="29474EBA"/>
    <w:rsid w:val="29595666"/>
    <w:rsid w:val="29653AF3"/>
    <w:rsid w:val="29874881"/>
    <w:rsid w:val="29954C89"/>
    <w:rsid w:val="29E325E0"/>
    <w:rsid w:val="29F31327"/>
    <w:rsid w:val="2A0E0742"/>
    <w:rsid w:val="2A143210"/>
    <w:rsid w:val="2A207314"/>
    <w:rsid w:val="2A266D61"/>
    <w:rsid w:val="2A3C7501"/>
    <w:rsid w:val="2A452503"/>
    <w:rsid w:val="2A8D554F"/>
    <w:rsid w:val="2AED5288"/>
    <w:rsid w:val="2B014EAA"/>
    <w:rsid w:val="2B333728"/>
    <w:rsid w:val="2B344110"/>
    <w:rsid w:val="2B632A20"/>
    <w:rsid w:val="2B7638A5"/>
    <w:rsid w:val="2B9D31E4"/>
    <w:rsid w:val="2BA23E5D"/>
    <w:rsid w:val="2BA936A8"/>
    <w:rsid w:val="2BCA2BE2"/>
    <w:rsid w:val="2BE25474"/>
    <w:rsid w:val="2BF0264B"/>
    <w:rsid w:val="2BF1358C"/>
    <w:rsid w:val="2C00796C"/>
    <w:rsid w:val="2C310329"/>
    <w:rsid w:val="2C315A5A"/>
    <w:rsid w:val="2C351FF6"/>
    <w:rsid w:val="2C4B1C25"/>
    <w:rsid w:val="2C56166B"/>
    <w:rsid w:val="2C650FEA"/>
    <w:rsid w:val="2C701C7D"/>
    <w:rsid w:val="2C8A4CBD"/>
    <w:rsid w:val="2CA80BFB"/>
    <w:rsid w:val="2CD60A74"/>
    <w:rsid w:val="2CDE43CA"/>
    <w:rsid w:val="2CE20C16"/>
    <w:rsid w:val="2CEB4EE3"/>
    <w:rsid w:val="2CEC2E55"/>
    <w:rsid w:val="2CF66158"/>
    <w:rsid w:val="2D29767D"/>
    <w:rsid w:val="2D3D1686"/>
    <w:rsid w:val="2D5269EE"/>
    <w:rsid w:val="2D7F69C0"/>
    <w:rsid w:val="2D920C87"/>
    <w:rsid w:val="2D975023"/>
    <w:rsid w:val="2D9866AA"/>
    <w:rsid w:val="2D9E56F5"/>
    <w:rsid w:val="2DA2341B"/>
    <w:rsid w:val="2DD51DD4"/>
    <w:rsid w:val="2DEC7EB2"/>
    <w:rsid w:val="2DF6113F"/>
    <w:rsid w:val="2DF92ABE"/>
    <w:rsid w:val="2E1568A7"/>
    <w:rsid w:val="2E3031D3"/>
    <w:rsid w:val="2E492531"/>
    <w:rsid w:val="2E534646"/>
    <w:rsid w:val="2E600AF6"/>
    <w:rsid w:val="2E667F96"/>
    <w:rsid w:val="2E7E49CF"/>
    <w:rsid w:val="2E8226AB"/>
    <w:rsid w:val="2EB3170E"/>
    <w:rsid w:val="2F032695"/>
    <w:rsid w:val="2F305FCA"/>
    <w:rsid w:val="2F307202"/>
    <w:rsid w:val="2F450A34"/>
    <w:rsid w:val="2F5D7FDC"/>
    <w:rsid w:val="2F8247F3"/>
    <w:rsid w:val="2F8310E0"/>
    <w:rsid w:val="2FA42FB5"/>
    <w:rsid w:val="2FA82C3E"/>
    <w:rsid w:val="2FAB0637"/>
    <w:rsid w:val="2FD065E6"/>
    <w:rsid w:val="2FD1182F"/>
    <w:rsid w:val="2FD96870"/>
    <w:rsid w:val="2FEA03C2"/>
    <w:rsid w:val="2FF129BB"/>
    <w:rsid w:val="3002614D"/>
    <w:rsid w:val="300C5892"/>
    <w:rsid w:val="300D3BDC"/>
    <w:rsid w:val="30215120"/>
    <w:rsid w:val="3032244E"/>
    <w:rsid w:val="30360E95"/>
    <w:rsid w:val="30580BC9"/>
    <w:rsid w:val="30611217"/>
    <w:rsid w:val="306A6AD1"/>
    <w:rsid w:val="307D1B67"/>
    <w:rsid w:val="307D6477"/>
    <w:rsid w:val="308358C6"/>
    <w:rsid w:val="308570DA"/>
    <w:rsid w:val="309D1C31"/>
    <w:rsid w:val="309F7338"/>
    <w:rsid w:val="30A419DA"/>
    <w:rsid w:val="30B456D5"/>
    <w:rsid w:val="30BC62E7"/>
    <w:rsid w:val="31101492"/>
    <w:rsid w:val="311712AA"/>
    <w:rsid w:val="311B13C5"/>
    <w:rsid w:val="311E2ED7"/>
    <w:rsid w:val="311E5564"/>
    <w:rsid w:val="31247774"/>
    <w:rsid w:val="312C2836"/>
    <w:rsid w:val="313B5AE3"/>
    <w:rsid w:val="313F2C67"/>
    <w:rsid w:val="31502C6F"/>
    <w:rsid w:val="315619EE"/>
    <w:rsid w:val="315C449C"/>
    <w:rsid w:val="31627858"/>
    <w:rsid w:val="31850F5A"/>
    <w:rsid w:val="319C72CA"/>
    <w:rsid w:val="31AC41F9"/>
    <w:rsid w:val="31B42332"/>
    <w:rsid w:val="31B82709"/>
    <w:rsid w:val="31CF77C4"/>
    <w:rsid w:val="31D05482"/>
    <w:rsid w:val="31D76A97"/>
    <w:rsid w:val="31F302DF"/>
    <w:rsid w:val="31F5372B"/>
    <w:rsid w:val="31F77B64"/>
    <w:rsid w:val="31FB2065"/>
    <w:rsid w:val="320958AA"/>
    <w:rsid w:val="320B0B60"/>
    <w:rsid w:val="32303C10"/>
    <w:rsid w:val="32363214"/>
    <w:rsid w:val="32400B34"/>
    <w:rsid w:val="324467B2"/>
    <w:rsid w:val="32655415"/>
    <w:rsid w:val="327F5FC4"/>
    <w:rsid w:val="32915962"/>
    <w:rsid w:val="329E6876"/>
    <w:rsid w:val="32A10934"/>
    <w:rsid w:val="32AE58D7"/>
    <w:rsid w:val="32C739DA"/>
    <w:rsid w:val="32D932E6"/>
    <w:rsid w:val="33045107"/>
    <w:rsid w:val="33121D46"/>
    <w:rsid w:val="333015F2"/>
    <w:rsid w:val="33332F70"/>
    <w:rsid w:val="334B6320"/>
    <w:rsid w:val="335F1E64"/>
    <w:rsid w:val="33610962"/>
    <w:rsid w:val="336E20A7"/>
    <w:rsid w:val="338468EC"/>
    <w:rsid w:val="33870ED6"/>
    <w:rsid w:val="33BD442A"/>
    <w:rsid w:val="33BE4CCF"/>
    <w:rsid w:val="33C16721"/>
    <w:rsid w:val="33D934D4"/>
    <w:rsid w:val="33E23196"/>
    <w:rsid w:val="33EB6A96"/>
    <w:rsid w:val="33ED5408"/>
    <w:rsid w:val="33FE2F6A"/>
    <w:rsid w:val="340E07E5"/>
    <w:rsid w:val="341A41D2"/>
    <w:rsid w:val="341F03B4"/>
    <w:rsid w:val="34235BF7"/>
    <w:rsid w:val="34327E59"/>
    <w:rsid w:val="34411E46"/>
    <w:rsid w:val="34542E80"/>
    <w:rsid w:val="34763906"/>
    <w:rsid w:val="348242D4"/>
    <w:rsid w:val="348B42DC"/>
    <w:rsid w:val="348F6CFC"/>
    <w:rsid w:val="349243FA"/>
    <w:rsid w:val="349B79B7"/>
    <w:rsid w:val="34BD356D"/>
    <w:rsid w:val="34F5482E"/>
    <w:rsid w:val="34FA3BF3"/>
    <w:rsid w:val="35047B46"/>
    <w:rsid w:val="350D0AA1"/>
    <w:rsid w:val="354345B7"/>
    <w:rsid w:val="354F3BF1"/>
    <w:rsid w:val="356F6271"/>
    <w:rsid w:val="357716E7"/>
    <w:rsid w:val="358C5FA8"/>
    <w:rsid w:val="359E4BBC"/>
    <w:rsid w:val="359E79F5"/>
    <w:rsid w:val="35A5343B"/>
    <w:rsid w:val="35BF4766"/>
    <w:rsid w:val="35C15DF1"/>
    <w:rsid w:val="35C17EE1"/>
    <w:rsid w:val="36074A7F"/>
    <w:rsid w:val="36480186"/>
    <w:rsid w:val="36570E70"/>
    <w:rsid w:val="366C15EA"/>
    <w:rsid w:val="368220F2"/>
    <w:rsid w:val="36886ECE"/>
    <w:rsid w:val="36923549"/>
    <w:rsid w:val="369C0B03"/>
    <w:rsid w:val="36AA33F6"/>
    <w:rsid w:val="36AD31C9"/>
    <w:rsid w:val="36B75FBF"/>
    <w:rsid w:val="36BD0C45"/>
    <w:rsid w:val="36C26827"/>
    <w:rsid w:val="36E542EE"/>
    <w:rsid w:val="36ED657D"/>
    <w:rsid w:val="36EE7787"/>
    <w:rsid w:val="36F11025"/>
    <w:rsid w:val="36F4113F"/>
    <w:rsid w:val="37060F75"/>
    <w:rsid w:val="37433459"/>
    <w:rsid w:val="37524F85"/>
    <w:rsid w:val="3752570F"/>
    <w:rsid w:val="376E7A70"/>
    <w:rsid w:val="377619F1"/>
    <w:rsid w:val="37822FAD"/>
    <w:rsid w:val="379933D1"/>
    <w:rsid w:val="37994BDA"/>
    <w:rsid w:val="37AD375F"/>
    <w:rsid w:val="37B24C58"/>
    <w:rsid w:val="37B26974"/>
    <w:rsid w:val="37CC5DFC"/>
    <w:rsid w:val="37DD15AA"/>
    <w:rsid w:val="37E00298"/>
    <w:rsid w:val="37E8067A"/>
    <w:rsid w:val="37EC5E2E"/>
    <w:rsid w:val="37ED5C91"/>
    <w:rsid w:val="37F0752F"/>
    <w:rsid w:val="384F3419"/>
    <w:rsid w:val="385029D5"/>
    <w:rsid w:val="385167B1"/>
    <w:rsid w:val="386636DA"/>
    <w:rsid w:val="38684607"/>
    <w:rsid w:val="386B5EA0"/>
    <w:rsid w:val="387A76A6"/>
    <w:rsid w:val="38804D57"/>
    <w:rsid w:val="38823454"/>
    <w:rsid w:val="38A457B5"/>
    <w:rsid w:val="38A5656B"/>
    <w:rsid w:val="38B302F9"/>
    <w:rsid w:val="38BB0C3C"/>
    <w:rsid w:val="38CA2913"/>
    <w:rsid w:val="38F12CD3"/>
    <w:rsid w:val="38F94775"/>
    <w:rsid w:val="38FE3DBD"/>
    <w:rsid w:val="391659AA"/>
    <w:rsid w:val="391B1DB8"/>
    <w:rsid w:val="391B1E3D"/>
    <w:rsid w:val="392971ED"/>
    <w:rsid w:val="39325651"/>
    <w:rsid w:val="39537D75"/>
    <w:rsid w:val="395B73CE"/>
    <w:rsid w:val="398E5081"/>
    <w:rsid w:val="39C64E20"/>
    <w:rsid w:val="39E35B46"/>
    <w:rsid w:val="39F350B4"/>
    <w:rsid w:val="3A0D1D9E"/>
    <w:rsid w:val="3A192D6D"/>
    <w:rsid w:val="3A227348"/>
    <w:rsid w:val="3A2E20DC"/>
    <w:rsid w:val="3A440941"/>
    <w:rsid w:val="3A442F2D"/>
    <w:rsid w:val="3A6D130B"/>
    <w:rsid w:val="3A7076C4"/>
    <w:rsid w:val="3A807CA1"/>
    <w:rsid w:val="3A872856"/>
    <w:rsid w:val="3AB75C2D"/>
    <w:rsid w:val="3ACD3B57"/>
    <w:rsid w:val="3ACF4749"/>
    <w:rsid w:val="3AE5020B"/>
    <w:rsid w:val="3AED3BAE"/>
    <w:rsid w:val="3AED7D56"/>
    <w:rsid w:val="3AFB5389"/>
    <w:rsid w:val="3B141786"/>
    <w:rsid w:val="3B3763D1"/>
    <w:rsid w:val="3B4B6B8E"/>
    <w:rsid w:val="3B64270E"/>
    <w:rsid w:val="3B775D81"/>
    <w:rsid w:val="3B820DB0"/>
    <w:rsid w:val="3B8B7C9A"/>
    <w:rsid w:val="3B8E2348"/>
    <w:rsid w:val="3B91487D"/>
    <w:rsid w:val="3B996671"/>
    <w:rsid w:val="3B9B5A04"/>
    <w:rsid w:val="3BB954E5"/>
    <w:rsid w:val="3BEF54D3"/>
    <w:rsid w:val="3BFC5511"/>
    <w:rsid w:val="3C2A2D9F"/>
    <w:rsid w:val="3C2F6E1E"/>
    <w:rsid w:val="3C4F64BA"/>
    <w:rsid w:val="3C65530C"/>
    <w:rsid w:val="3C847712"/>
    <w:rsid w:val="3C8647D4"/>
    <w:rsid w:val="3C927D8E"/>
    <w:rsid w:val="3CB7686D"/>
    <w:rsid w:val="3CC3013A"/>
    <w:rsid w:val="3CDA245A"/>
    <w:rsid w:val="3CE753A4"/>
    <w:rsid w:val="3CF278A5"/>
    <w:rsid w:val="3D1E06B7"/>
    <w:rsid w:val="3D1E7ECC"/>
    <w:rsid w:val="3D2D459B"/>
    <w:rsid w:val="3D5450E1"/>
    <w:rsid w:val="3D6469F5"/>
    <w:rsid w:val="3D6540F1"/>
    <w:rsid w:val="3D6A1799"/>
    <w:rsid w:val="3D6F0EF6"/>
    <w:rsid w:val="3D714C6E"/>
    <w:rsid w:val="3D912474"/>
    <w:rsid w:val="3D926392"/>
    <w:rsid w:val="3D97547C"/>
    <w:rsid w:val="3DAE33F4"/>
    <w:rsid w:val="3DD82F3F"/>
    <w:rsid w:val="3DDD2206"/>
    <w:rsid w:val="3DF77869"/>
    <w:rsid w:val="3E130E20"/>
    <w:rsid w:val="3E2B0D83"/>
    <w:rsid w:val="3E336D7A"/>
    <w:rsid w:val="3E500DC6"/>
    <w:rsid w:val="3E566310"/>
    <w:rsid w:val="3E616561"/>
    <w:rsid w:val="3E996776"/>
    <w:rsid w:val="3E9D0742"/>
    <w:rsid w:val="3E9F580B"/>
    <w:rsid w:val="3EA13331"/>
    <w:rsid w:val="3EBE3EE3"/>
    <w:rsid w:val="3ECA770B"/>
    <w:rsid w:val="3EDA0523"/>
    <w:rsid w:val="3EEA051F"/>
    <w:rsid w:val="3EF05CE8"/>
    <w:rsid w:val="3EF23B8C"/>
    <w:rsid w:val="3F052DD0"/>
    <w:rsid w:val="3F1E711F"/>
    <w:rsid w:val="3F471C58"/>
    <w:rsid w:val="3F80488D"/>
    <w:rsid w:val="3F9C055B"/>
    <w:rsid w:val="3FA11A21"/>
    <w:rsid w:val="3FAF2652"/>
    <w:rsid w:val="3FAF7CCF"/>
    <w:rsid w:val="3FD61700"/>
    <w:rsid w:val="3FDB4575"/>
    <w:rsid w:val="3FDE6114"/>
    <w:rsid w:val="3FF878C8"/>
    <w:rsid w:val="3FFC0C9F"/>
    <w:rsid w:val="4018166D"/>
    <w:rsid w:val="40420B44"/>
    <w:rsid w:val="404F03B1"/>
    <w:rsid w:val="405838B6"/>
    <w:rsid w:val="406867FC"/>
    <w:rsid w:val="406A4569"/>
    <w:rsid w:val="407A6407"/>
    <w:rsid w:val="40853923"/>
    <w:rsid w:val="409438A7"/>
    <w:rsid w:val="40C2651B"/>
    <w:rsid w:val="40C36ABE"/>
    <w:rsid w:val="40C97D7D"/>
    <w:rsid w:val="40D95004"/>
    <w:rsid w:val="40EF0DD8"/>
    <w:rsid w:val="41155F1D"/>
    <w:rsid w:val="41540B2E"/>
    <w:rsid w:val="4161339C"/>
    <w:rsid w:val="416F4979"/>
    <w:rsid w:val="418D5DEE"/>
    <w:rsid w:val="418E2292"/>
    <w:rsid w:val="41BD424B"/>
    <w:rsid w:val="41C36261"/>
    <w:rsid w:val="41CA7043"/>
    <w:rsid w:val="41CE4BFC"/>
    <w:rsid w:val="41EB658E"/>
    <w:rsid w:val="41ED183A"/>
    <w:rsid w:val="41FE6503"/>
    <w:rsid w:val="4200449D"/>
    <w:rsid w:val="420F3654"/>
    <w:rsid w:val="421B7BB4"/>
    <w:rsid w:val="421C290C"/>
    <w:rsid w:val="423A3BCC"/>
    <w:rsid w:val="424E57D2"/>
    <w:rsid w:val="424F14CB"/>
    <w:rsid w:val="425152D2"/>
    <w:rsid w:val="425D58A8"/>
    <w:rsid w:val="425D7EB7"/>
    <w:rsid w:val="42723962"/>
    <w:rsid w:val="428471F1"/>
    <w:rsid w:val="42864D18"/>
    <w:rsid w:val="428866B1"/>
    <w:rsid w:val="42905B96"/>
    <w:rsid w:val="42B26C49"/>
    <w:rsid w:val="42B5384F"/>
    <w:rsid w:val="42BC698B"/>
    <w:rsid w:val="42CF0CFB"/>
    <w:rsid w:val="42F93767"/>
    <w:rsid w:val="431A39DA"/>
    <w:rsid w:val="43232085"/>
    <w:rsid w:val="432E5628"/>
    <w:rsid w:val="433125CD"/>
    <w:rsid w:val="433A6FE6"/>
    <w:rsid w:val="43480868"/>
    <w:rsid w:val="4350713C"/>
    <w:rsid w:val="435204A3"/>
    <w:rsid w:val="435F0218"/>
    <w:rsid w:val="436653E0"/>
    <w:rsid w:val="43711E3F"/>
    <w:rsid w:val="43786401"/>
    <w:rsid w:val="437B0D37"/>
    <w:rsid w:val="4398626E"/>
    <w:rsid w:val="43A05706"/>
    <w:rsid w:val="43B95F8D"/>
    <w:rsid w:val="43C4431A"/>
    <w:rsid w:val="43D652CC"/>
    <w:rsid w:val="43D96128"/>
    <w:rsid w:val="43E3170B"/>
    <w:rsid w:val="43E40A5C"/>
    <w:rsid w:val="43ED0DC6"/>
    <w:rsid w:val="441F5BDA"/>
    <w:rsid w:val="44297AA0"/>
    <w:rsid w:val="44410162"/>
    <w:rsid w:val="44780AE7"/>
    <w:rsid w:val="44B951CC"/>
    <w:rsid w:val="44CD14E0"/>
    <w:rsid w:val="44D964D8"/>
    <w:rsid w:val="44E75C39"/>
    <w:rsid w:val="44F20B0B"/>
    <w:rsid w:val="451444EC"/>
    <w:rsid w:val="45146E37"/>
    <w:rsid w:val="45170E84"/>
    <w:rsid w:val="451E375A"/>
    <w:rsid w:val="452E5F4C"/>
    <w:rsid w:val="45360F84"/>
    <w:rsid w:val="453A264A"/>
    <w:rsid w:val="453D2895"/>
    <w:rsid w:val="45612018"/>
    <w:rsid w:val="456A5B7A"/>
    <w:rsid w:val="45877724"/>
    <w:rsid w:val="458946E9"/>
    <w:rsid w:val="45A47C0E"/>
    <w:rsid w:val="45AC3385"/>
    <w:rsid w:val="45BF415B"/>
    <w:rsid w:val="45D43FEC"/>
    <w:rsid w:val="45F520E9"/>
    <w:rsid w:val="46071851"/>
    <w:rsid w:val="46152DCB"/>
    <w:rsid w:val="465113D6"/>
    <w:rsid w:val="46577FD6"/>
    <w:rsid w:val="46647A66"/>
    <w:rsid w:val="466C4C1A"/>
    <w:rsid w:val="46791720"/>
    <w:rsid w:val="469D5EE7"/>
    <w:rsid w:val="469F3567"/>
    <w:rsid w:val="46A76D01"/>
    <w:rsid w:val="46D955A7"/>
    <w:rsid w:val="46E0002B"/>
    <w:rsid w:val="46E12DB3"/>
    <w:rsid w:val="46E41B63"/>
    <w:rsid w:val="46E83418"/>
    <w:rsid w:val="46F54606"/>
    <w:rsid w:val="470F6B67"/>
    <w:rsid w:val="47133957"/>
    <w:rsid w:val="4717109F"/>
    <w:rsid w:val="472433FF"/>
    <w:rsid w:val="47332912"/>
    <w:rsid w:val="4753237F"/>
    <w:rsid w:val="47554B38"/>
    <w:rsid w:val="476C4393"/>
    <w:rsid w:val="477146D1"/>
    <w:rsid w:val="478C2E40"/>
    <w:rsid w:val="479F511B"/>
    <w:rsid w:val="47A07E0C"/>
    <w:rsid w:val="47B73D92"/>
    <w:rsid w:val="47D16515"/>
    <w:rsid w:val="47DC362C"/>
    <w:rsid w:val="47DE682B"/>
    <w:rsid w:val="47FF78BA"/>
    <w:rsid w:val="481112F5"/>
    <w:rsid w:val="48327AB8"/>
    <w:rsid w:val="484464B5"/>
    <w:rsid w:val="4870272E"/>
    <w:rsid w:val="4876582E"/>
    <w:rsid w:val="487A0296"/>
    <w:rsid w:val="488434AE"/>
    <w:rsid w:val="489B20CB"/>
    <w:rsid w:val="48CA79A5"/>
    <w:rsid w:val="48CC4495"/>
    <w:rsid w:val="48DA439B"/>
    <w:rsid w:val="49102B49"/>
    <w:rsid w:val="49221512"/>
    <w:rsid w:val="49373B45"/>
    <w:rsid w:val="494F67AB"/>
    <w:rsid w:val="49522A0C"/>
    <w:rsid w:val="497973E4"/>
    <w:rsid w:val="497A03EC"/>
    <w:rsid w:val="497D150F"/>
    <w:rsid w:val="497E08C6"/>
    <w:rsid w:val="49971EEE"/>
    <w:rsid w:val="49A615D4"/>
    <w:rsid w:val="49AB3D6C"/>
    <w:rsid w:val="49AD5280"/>
    <w:rsid w:val="49C23AEC"/>
    <w:rsid w:val="49DC7715"/>
    <w:rsid w:val="49E320E4"/>
    <w:rsid w:val="4A023139"/>
    <w:rsid w:val="4A0C2CB5"/>
    <w:rsid w:val="4A17094B"/>
    <w:rsid w:val="4A246741"/>
    <w:rsid w:val="4A394D65"/>
    <w:rsid w:val="4A590F64"/>
    <w:rsid w:val="4A5D23C0"/>
    <w:rsid w:val="4A6873F9"/>
    <w:rsid w:val="4A707BAE"/>
    <w:rsid w:val="4A7B576F"/>
    <w:rsid w:val="4A802994"/>
    <w:rsid w:val="4A834C79"/>
    <w:rsid w:val="4AA72928"/>
    <w:rsid w:val="4AB41083"/>
    <w:rsid w:val="4ABA6C09"/>
    <w:rsid w:val="4AE70958"/>
    <w:rsid w:val="4AF561A9"/>
    <w:rsid w:val="4B0F1D7C"/>
    <w:rsid w:val="4B1A3B14"/>
    <w:rsid w:val="4B2C1604"/>
    <w:rsid w:val="4B2E31E0"/>
    <w:rsid w:val="4B6949F4"/>
    <w:rsid w:val="4B6B47DA"/>
    <w:rsid w:val="4B7A3887"/>
    <w:rsid w:val="4B976BAD"/>
    <w:rsid w:val="4B985ABC"/>
    <w:rsid w:val="4B9F7E2A"/>
    <w:rsid w:val="4BBD5522"/>
    <w:rsid w:val="4C133BE9"/>
    <w:rsid w:val="4C4A0649"/>
    <w:rsid w:val="4C5A4E5C"/>
    <w:rsid w:val="4C696756"/>
    <w:rsid w:val="4C717E8C"/>
    <w:rsid w:val="4C7E5ECA"/>
    <w:rsid w:val="4C8124AC"/>
    <w:rsid w:val="4C812ADE"/>
    <w:rsid w:val="4C823A1A"/>
    <w:rsid w:val="4C87638B"/>
    <w:rsid w:val="4C876AA5"/>
    <w:rsid w:val="4CA33CA1"/>
    <w:rsid w:val="4CBD7ED0"/>
    <w:rsid w:val="4CBE5920"/>
    <w:rsid w:val="4CC528E0"/>
    <w:rsid w:val="4CC954F9"/>
    <w:rsid w:val="4CCB07A7"/>
    <w:rsid w:val="4CCD186E"/>
    <w:rsid w:val="4CE214A6"/>
    <w:rsid w:val="4D0E00FB"/>
    <w:rsid w:val="4D143AEC"/>
    <w:rsid w:val="4D146A8D"/>
    <w:rsid w:val="4D153868"/>
    <w:rsid w:val="4D176606"/>
    <w:rsid w:val="4D1F51C3"/>
    <w:rsid w:val="4D236586"/>
    <w:rsid w:val="4D3E1DCF"/>
    <w:rsid w:val="4D3F7154"/>
    <w:rsid w:val="4D6C474F"/>
    <w:rsid w:val="4D6E4D26"/>
    <w:rsid w:val="4DAA57BC"/>
    <w:rsid w:val="4DAE20A0"/>
    <w:rsid w:val="4DEC4FB0"/>
    <w:rsid w:val="4DED20EF"/>
    <w:rsid w:val="4E075D8A"/>
    <w:rsid w:val="4E0D5EC8"/>
    <w:rsid w:val="4E121318"/>
    <w:rsid w:val="4E1C29D4"/>
    <w:rsid w:val="4E3817C3"/>
    <w:rsid w:val="4E404E13"/>
    <w:rsid w:val="4E630B7D"/>
    <w:rsid w:val="4E890B52"/>
    <w:rsid w:val="4EC00FAD"/>
    <w:rsid w:val="4EDE3E33"/>
    <w:rsid w:val="4EE74D90"/>
    <w:rsid w:val="4EFA786F"/>
    <w:rsid w:val="4F0C6EB1"/>
    <w:rsid w:val="4F1D07B2"/>
    <w:rsid w:val="4F1E6B13"/>
    <w:rsid w:val="4F2545F3"/>
    <w:rsid w:val="4F3527CE"/>
    <w:rsid w:val="4F473D86"/>
    <w:rsid w:val="4F5E09AB"/>
    <w:rsid w:val="4F5F578A"/>
    <w:rsid w:val="4F623848"/>
    <w:rsid w:val="4F902A25"/>
    <w:rsid w:val="4F9843DC"/>
    <w:rsid w:val="4FB07878"/>
    <w:rsid w:val="4FB45333"/>
    <w:rsid w:val="4FC62A8C"/>
    <w:rsid w:val="4FE20F0D"/>
    <w:rsid w:val="4FE51552"/>
    <w:rsid w:val="4FEB54D7"/>
    <w:rsid w:val="4FF80E72"/>
    <w:rsid w:val="50052C28"/>
    <w:rsid w:val="50055E16"/>
    <w:rsid w:val="500F031F"/>
    <w:rsid w:val="501A1A87"/>
    <w:rsid w:val="501F04A7"/>
    <w:rsid w:val="502D3BCE"/>
    <w:rsid w:val="50504C4B"/>
    <w:rsid w:val="50524FC7"/>
    <w:rsid w:val="505C7A00"/>
    <w:rsid w:val="505E5526"/>
    <w:rsid w:val="507D4FA5"/>
    <w:rsid w:val="508C6C56"/>
    <w:rsid w:val="509908D0"/>
    <w:rsid w:val="509C6E7C"/>
    <w:rsid w:val="509F1473"/>
    <w:rsid w:val="50A243A4"/>
    <w:rsid w:val="50A3640C"/>
    <w:rsid w:val="50B0309F"/>
    <w:rsid w:val="50B22FE9"/>
    <w:rsid w:val="50B74C36"/>
    <w:rsid w:val="50EA52E4"/>
    <w:rsid w:val="50F8021E"/>
    <w:rsid w:val="51006236"/>
    <w:rsid w:val="51036FC5"/>
    <w:rsid w:val="51052260"/>
    <w:rsid w:val="510F4AE2"/>
    <w:rsid w:val="51151569"/>
    <w:rsid w:val="5139068F"/>
    <w:rsid w:val="513C3DE7"/>
    <w:rsid w:val="5156654C"/>
    <w:rsid w:val="5162104E"/>
    <w:rsid w:val="51730B5D"/>
    <w:rsid w:val="51842958"/>
    <w:rsid w:val="518F170F"/>
    <w:rsid w:val="51906F21"/>
    <w:rsid w:val="51B63452"/>
    <w:rsid w:val="51D21460"/>
    <w:rsid w:val="51D90621"/>
    <w:rsid w:val="51DB758C"/>
    <w:rsid w:val="522226D0"/>
    <w:rsid w:val="52293911"/>
    <w:rsid w:val="524B06FF"/>
    <w:rsid w:val="52547F82"/>
    <w:rsid w:val="525719F4"/>
    <w:rsid w:val="526C7A72"/>
    <w:rsid w:val="52C20404"/>
    <w:rsid w:val="52D54308"/>
    <w:rsid w:val="52F6635C"/>
    <w:rsid w:val="530C74BB"/>
    <w:rsid w:val="530D6D8F"/>
    <w:rsid w:val="532A5FBF"/>
    <w:rsid w:val="53374B84"/>
    <w:rsid w:val="53536E98"/>
    <w:rsid w:val="53551AA7"/>
    <w:rsid w:val="537D2834"/>
    <w:rsid w:val="53824D1E"/>
    <w:rsid w:val="53A039CC"/>
    <w:rsid w:val="53A1505A"/>
    <w:rsid w:val="53A21E5E"/>
    <w:rsid w:val="53AE12CB"/>
    <w:rsid w:val="53C26CE3"/>
    <w:rsid w:val="53D0673A"/>
    <w:rsid w:val="53F04FEF"/>
    <w:rsid w:val="53F8359B"/>
    <w:rsid w:val="54063E08"/>
    <w:rsid w:val="54166C93"/>
    <w:rsid w:val="54212AF2"/>
    <w:rsid w:val="543437E8"/>
    <w:rsid w:val="544307E8"/>
    <w:rsid w:val="544831CA"/>
    <w:rsid w:val="5477195C"/>
    <w:rsid w:val="5495703C"/>
    <w:rsid w:val="54C3720C"/>
    <w:rsid w:val="54CB73FA"/>
    <w:rsid w:val="54DF6509"/>
    <w:rsid w:val="54F41DA7"/>
    <w:rsid w:val="54F5005B"/>
    <w:rsid w:val="54F73313"/>
    <w:rsid w:val="54F80955"/>
    <w:rsid w:val="55214433"/>
    <w:rsid w:val="555170A7"/>
    <w:rsid w:val="557A6F49"/>
    <w:rsid w:val="5587536D"/>
    <w:rsid w:val="559B174B"/>
    <w:rsid w:val="55A46A78"/>
    <w:rsid w:val="55A51501"/>
    <w:rsid w:val="55CE0CF4"/>
    <w:rsid w:val="55D26D6F"/>
    <w:rsid w:val="55D50575"/>
    <w:rsid w:val="55E17088"/>
    <w:rsid w:val="56250812"/>
    <w:rsid w:val="565203AE"/>
    <w:rsid w:val="56685604"/>
    <w:rsid w:val="567F1D52"/>
    <w:rsid w:val="56B22A9C"/>
    <w:rsid w:val="56B80DAF"/>
    <w:rsid w:val="56C65BD3"/>
    <w:rsid w:val="56CA4D65"/>
    <w:rsid w:val="56F30BC9"/>
    <w:rsid w:val="56F830A3"/>
    <w:rsid w:val="56FA762A"/>
    <w:rsid w:val="5713792C"/>
    <w:rsid w:val="57506482"/>
    <w:rsid w:val="57743BF3"/>
    <w:rsid w:val="579C1ECA"/>
    <w:rsid w:val="57B72A76"/>
    <w:rsid w:val="57C03A51"/>
    <w:rsid w:val="57C3426C"/>
    <w:rsid w:val="57C55E8A"/>
    <w:rsid w:val="57CE1F93"/>
    <w:rsid w:val="57FC407F"/>
    <w:rsid w:val="57FF4200"/>
    <w:rsid w:val="58206355"/>
    <w:rsid w:val="58311276"/>
    <w:rsid w:val="584E5E80"/>
    <w:rsid w:val="586B6C0A"/>
    <w:rsid w:val="587470B7"/>
    <w:rsid w:val="588743D1"/>
    <w:rsid w:val="5887701A"/>
    <w:rsid w:val="58947454"/>
    <w:rsid w:val="58B16829"/>
    <w:rsid w:val="58C93758"/>
    <w:rsid w:val="58DD0FB2"/>
    <w:rsid w:val="58E10AA2"/>
    <w:rsid w:val="58FD3402"/>
    <w:rsid w:val="5904146D"/>
    <w:rsid w:val="590F21EB"/>
    <w:rsid w:val="59102D42"/>
    <w:rsid w:val="591114EF"/>
    <w:rsid w:val="591779FF"/>
    <w:rsid w:val="594A55D4"/>
    <w:rsid w:val="595D74BD"/>
    <w:rsid w:val="597F3AB1"/>
    <w:rsid w:val="59977F3A"/>
    <w:rsid w:val="599B3347"/>
    <w:rsid w:val="59B63CDD"/>
    <w:rsid w:val="59C0439F"/>
    <w:rsid w:val="59F965F9"/>
    <w:rsid w:val="5A113D22"/>
    <w:rsid w:val="5A255966"/>
    <w:rsid w:val="5A4A298E"/>
    <w:rsid w:val="5A7D0C9E"/>
    <w:rsid w:val="5AA56856"/>
    <w:rsid w:val="5ABE2233"/>
    <w:rsid w:val="5ABF5032"/>
    <w:rsid w:val="5AE25E65"/>
    <w:rsid w:val="5AF947C9"/>
    <w:rsid w:val="5B060817"/>
    <w:rsid w:val="5B0809A3"/>
    <w:rsid w:val="5B1213E7"/>
    <w:rsid w:val="5B152EC7"/>
    <w:rsid w:val="5B215ACE"/>
    <w:rsid w:val="5B794A56"/>
    <w:rsid w:val="5B95113D"/>
    <w:rsid w:val="5BA87F9D"/>
    <w:rsid w:val="5BBF5A4C"/>
    <w:rsid w:val="5BDF5D95"/>
    <w:rsid w:val="5BE92381"/>
    <w:rsid w:val="5BFE7528"/>
    <w:rsid w:val="5C013209"/>
    <w:rsid w:val="5C3A3388"/>
    <w:rsid w:val="5C4242EF"/>
    <w:rsid w:val="5C4F4C44"/>
    <w:rsid w:val="5C8745A3"/>
    <w:rsid w:val="5C875346"/>
    <w:rsid w:val="5C8D7387"/>
    <w:rsid w:val="5CB03295"/>
    <w:rsid w:val="5CB309D2"/>
    <w:rsid w:val="5CE858F2"/>
    <w:rsid w:val="5CED4BD5"/>
    <w:rsid w:val="5CEE73AC"/>
    <w:rsid w:val="5CF14116"/>
    <w:rsid w:val="5D0358E4"/>
    <w:rsid w:val="5D1149D8"/>
    <w:rsid w:val="5D2B5D3B"/>
    <w:rsid w:val="5D325D70"/>
    <w:rsid w:val="5D362A98"/>
    <w:rsid w:val="5D3C099D"/>
    <w:rsid w:val="5D3D64C3"/>
    <w:rsid w:val="5D4C2DB5"/>
    <w:rsid w:val="5D4D6706"/>
    <w:rsid w:val="5D536553"/>
    <w:rsid w:val="5D5F5016"/>
    <w:rsid w:val="5D6A405A"/>
    <w:rsid w:val="5D8058E3"/>
    <w:rsid w:val="5D81609F"/>
    <w:rsid w:val="5D9C63BB"/>
    <w:rsid w:val="5DCF68EB"/>
    <w:rsid w:val="5DD22162"/>
    <w:rsid w:val="5DEE1DA1"/>
    <w:rsid w:val="5E072B58"/>
    <w:rsid w:val="5E093885"/>
    <w:rsid w:val="5E17100D"/>
    <w:rsid w:val="5E1C257C"/>
    <w:rsid w:val="5E2467F1"/>
    <w:rsid w:val="5E331DA0"/>
    <w:rsid w:val="5E370C8C"/>
    <w:rsid w:val="5E416835"/>
    <w:rsid w:val="5E4B3DB9"/>
    <w:rsid w:val="5E4E654B"/>
    <w:rsid w:val="5E873E9A"/>
    <w:rsid w:val="5EB04FD1"/>
    <w:rsid w:val="5ED2573C"/>
    <w:rsid w:val="5EE06894"/>
    <w:rsid w:val="5F1A2B43"/>
    <w:rsid w:val="5F3B31ED"/>
    <w:rsid w:val="5F61428C"/>
    <w:rsid w:val="5F84177D"/>
    <w:rsid w:val="5F8B75E0"/>
    <w:rsid w:val="5F9A6A69"/>
    <w:rsid w:val="5FA0363D"/>
    <w:rsid w:val="5FB837BB"/>
    <w:rsid w:val="5FC2609C"/>
    <w:rsid w:val="5FC80840"/>
    <w:rsid w:val="5FDA00EA"/>
    <w:rsid w:val="5FE36B26"/>
    <w:rsid w:val="5FE6396F"/>
    <w:rsid w:val="5FE86122"/>
    <w:rsid w:val="5FF11F12"/>
    <w:rsid w:val="603230DB"/>
    <w:rsid w:val="60364CD3"/>
    <w:rsid w:val="604638DA"/>
    <w:rsid w:val="60575608"/>
    <w:rsid w:val="60681AA9"/>
    <w:rsid w:val="60873602"/>
    <w:rsid w:val="60AC3FC4"/>
    <w:rsid w:val="60B267A7"/>
    <w:rsid w:val="60CC405A"/>
    <w:rsid w:val="60E624E2"/>
    <w:rsid w:val="6109328C"/>
    <w:rsid w:val="610F3289"/>
    <w:rsid w:val="611B30E3"/>
    <w:rsid w:val="61306A6A"/>
    <w:rsid w:val="61502C69"/>
    <w:rsid w:val="61940806"/>
    <w:rsid w:val="61A32032"/>
    <w:rsid w:val="61B054B5"/>
    <w:rsid w:val="61E215D8"/>
    <w:rsid w:val="61E66D61"/>
    <w:rsid w:val="61E85EAE"/>
    <w:rsid w:val="61FD322D"/>
    <w:rsid w:val="6202633D"/>
    <w:rsid w:val="621938CA"/>
    <w:rsid w:val="621A3CE1"/>
    <w:rsid w:val="621B3775"/>
    <w:rsid w:val="62364782"/>
    <w:rsid w:val="624B5D28"/>
    <w:rsid w:val="62507854"/>
    <w:rsid w:val="62650996"/>
    <w:rsid w:val="627024DD"/>
    <w:rsid w:val="62A02A2B"/>
    <w:rsid w:val="62AE5E99"/>
    <w:rsid w:val="62B8571B"/>
    <w:rsid w:val="62C53EC1"/>
    <w:rsid w:val="62C61FCA"/>
    <w:rsid w:val="62D20CC4"/>
    <w:rsid w:val="63312903"/>
    <w:rsid w:val="633A3BD0"/>
    <w:rsid w:val="63544250"/>
    <w:rsid w:val="63613B86"/>
    <w:rsid w:val="6378600C"/>
    <w:rsid w:val="637D31D1"/>
    <w:rsid w:val="639257BA"/>
    <w:rsid w:val="63932E6A"/>
    <w:rsid w:val="6394356A"/>
    <w:rsid w:val="63B14C60"/>
    <w:rsid w:val="63B4643A"/>
    <w:rsid w:val="63BA2596"/>
    <w:rsid w:val="63BA4C10"/>
    <w:rsid w:val="63C61B2C"/>
    <w:rsid w:val="63D40BE9"/>
    <w:rsid w:val="63ED29F1"/>
    <w:rsid w:val="64007130"/>
    <w:rsid w:val="640A5070"/>
    <w:rsid w:val="640E3823"/>
    <w:rsid w:val="64102431"/>
    <w:rsid w:val="641B3F8F"/>
    <w:rsid w:val="64266E98"/>
    <w:rsid w:val="64341469"/>
    <w:rsid w:val="643B48B2"/>
    <w:rsid w:val="6440714F"/>
    <w:rsid w:val="64715425"/>
    <w:rsid w:val="64936105"/>
    <w:rsid w:val="64950AE3"/>
    <w:rsid w:val="649703A7"/>
    <w:rsid w:val="64A5243A"/>
    <w:rsid w:val="64B45B14"/>
    <w:rsid w:val="64D642FE"/>
    <w:rsid w:val="64DB6CED"/>
    <w:rsid w:val="64E57A8D"/>
    <w:rsid w:val="64F32C2C"/>
    <w:rsid w:val="64F531DE"/>
    <w:rsid w:val="64F67983"/>
    <w:rsid w:val="650754DB"/>
    <w:rsid w:val="652561BA"/>
    <w:rsid w:val="65294F4E"/>
    <w:rsid w:val="652F0DE7"/>
    <w:rsid w:val="65306815"/>
    <w:rsid w:val="653308D7"/>
    <w:rsid w:val="65373578"/>
    <w:rsid w:val="65423517"/>
    <w:rsid w:val="65440973"/>
    <w:rsid w:val="654E3189"/>
    <w:rsid w:val="65D05538"/>
    <w:rsid w:val="65D338D0"/>
    <w:rsid w:val="65D65E2E"/>
    <w:rsid w:val="65F2100C"/>
    <w:rsid w:val="65FB1154"/>
    <w:rsid w:val="661029C7"/>
    <w:rsid w:val="66246472"/>
    <w:rsid w:val="66340D35"/>
    <w:rsid w:val="6650727B"/>
    <w:rsid w:val="667A3C6D"/>
    <w:rsid w:val="66B27F22"/>
    <w:rsid w:val="66B71094"/>
    <w:rsid w:val="66BD721F"/>
    <w:rsid w:val="66C97829"/>
    <w:rsid w:val="66E77AE1"/>
    <w:rsid w:val="66EA76BB"/>
    <w:rsid w:val="66EC7F19"/>
    <w:rsid w:val="66F62393"/>
    <w:rsid w:val="67034B70"/>
    <w:rsid w:val="670B0D34"/>
    <w:rsid w:val="671F124A"/>
    <w:rsid w:val="6733790A"/>
    <w:rsid w:val="6742744B"/>
    <w:rsid w:val="677A33C6"/>
    <w:rsid w:val="677C3738"/>
    <w:rsid w:val="67BA52E0"/>
    <w:rsid w:val="67BF28F6"/>
    <w:rsid w:val="67D15E19"/>
    <w:rsid w:val="67D57A24"/>
    <w:rsid w:val="67E3058A"/>
    <w:rsid w:val="67FD248E"/>
    <w:rsid w:val="680315E9"/>
    <w:rsid w:val="681175C3"/>
    <w:rsid w:val="68192426"/>
    <w:rsid w:val="681D01CC"/>
    <w:rsid w:val="681F6961"/>
    <w:rsid w:val="68281F3C"/>
    <w:rsid w:val="684E0793"/>
    <w:rsid w:val="68610A2F"/>
    <w:rsid w:val="686674DF"/>
    <w:rsid w:val="686D4100"/>
    <w:rsid w:val="687B6378"/>
    <w:rsid w:val="68805514"/>
    <w:rsid w:val="689B6367"/>
    <w:rsid w:val="68A47AB4"/>
    <w:rsid w:val="68A51A44"/>
    <w:rsid w:val="68CD1EB9"/>
    <w:rsid w:val="68D21444"/>
    <w:rsid w:val="68D66149"/>
    <w:rsid w:val="68DB655E"/>
    <w:rsid w:val="68DE22B1"/>
    <w:rsid w:val="68E20CB3"/>
    <w:rsid w:val="690043F6"/>
    <w:rsid w:val="692A1D8D"/>
    <w:rsid w:val="69316E2F"/>
    <w:rsid w:val="69462CDE"/>
    <w:rsid w:val="694E2071"/>
    <w:rsid w:val="69550D9D"/>
    <w:rsid w:val="69557E3F"/>
    <w:rsid w:val="69570B4B"/>
    <w:rsid w:val="696C43B8"/>
    <w:rsid w:val="69766163"/>
    <w:rsid w:val="69796AD5"/>
    <w:rsid w:val="697A3B33"/>
    <w:rsid w:val="69BE4C56"/>
    <w:rsid w:val="69D44760"/>
    <w:rsid w:val="69E848D1"/>
    <w:rsid w:val="69EC68C9"/>
    <w:rsid w:val="6A1A02B8"/>
    <w:rsid w:val="6A2C2833"/>
    <w:rsid w:val="6A3270BF"/>
    <w:rsid w:val="6A3D5DBC"/>
    <w:rsid w:val="6A486380"/>
    <w:rsid w:val="6A520EC7"/>
    <w:rsid w:val="6A72337E"/>
    <w:rsid w:val="6A8E6301"/>
    <w:rsid w:val="6ACA3A8C"/>
    <w:rsid w:val="6AEF4C04"/>
    <w:rsid w:val="6AF87E20"/>
    <w:rsid w:val="6B013226"/>
    <w:rsid w:val="6B2370D5"/>
    <w:rsid w:val="6B322639"/>
    <w:rsid w:val="6B3C61F6"/>
    <w:rsid w:val="6B460C38"/>
    <w:rsid w:val="6B52437C"/>
    <w:rsid w:val="6B706AF3"/>
    <w:rsid w:val="6B7411F5"/>
    <w:rsid w:val="6B813DDD"/>
    <w:rsid w:val="6BA12B47"/>
    <w:rsid w:val="6BBF5AB6"/>
    <w:rsid w:val="6BD85199"/>
    <w:rsid w:val="6BF13256"/>
    <w:rsid w:val="6C067088"/>
    <w:rsid w:val="6C301B64"/>
    <w:rsid w:val="6C636C38"/>
    <w:rsid w:val="6C7464C4"/>
    <w:rsid w:val="6CAC1145"/>
    <w:rsid w:val="6CAD6650"/>
    <w:rsid w:val="6CB40B13"/>
    <w:rsid w:val="6CDF75D7"/>
    <w:rsid w:val="6CE73B06"/>
    <w:rsid w:val="6CEC361C"/>
    <w:rsid w:val="6CF21FD3"/>
    <w:rsid w:val="6CF90658"/>
    <w:rsid w:val="6D2A0812"/>
    <w:rsid w:val="6D86281A"/>
    <w:rsid w:val="6D9460F5"/>
    <w:rsid w:val="6DAC56CB"/>
    <w:rsid w:val="6DB34098"/>
    <w:rsid w:val="6DB545B6"/>
    <w:rsid w:val="6DCD6F52"/>
    <w:rsid w:val="6DD17DFE"/>
    <w:rsid w:val="6DE02FB4"/>
    <w:rsid w:val="6DEA68C3"/>
    <w:rsid w:val="6DFC4390"/>
    <w:rsid w:val="6E062428"/>
    <w:rsid w:val="6E1C01F8"/>
    <w:rsid w:val="6E216A76"/>
    <w:rsid w:val="6E260038"/>
    <w:rsid w:val="6E267023"/>
    <w:rsid w:val="6E3E7CD4"/>
    <w:rsid w:val="6E514CED"/>
    <w:rsid w:val="6E6C4B83"/>
    <w:rsid w:val="6E717028"/>
    <w:rsid w:val="6E8D4FAB"/>
    <w:rsid w:val="6E8E2CF2"/>
    <w:rsid w:val="6E8E7F24"/>
    <w:rsid w:val="6E9543B1"/>
    <w:rsid w:val="6EA370D9"/>
    <w:rsid w:val="6EB563D5"/>
    <w:rsid w:val="6ED92677"/>
    <w:rsid w:val="6EF472DD"/>
    <w:rsid w:val="6F225983"/>
    <w:rsid w:val="6F485E32"/>
    <w:rsid w:val="6F4F691C"/>
    <w:rsid w:val="6F7D1942"/>
    <w:rsid w:val="6F834283"/>
    <w:rsid w:val="6FB21007"/>
    <w:rsid w:val="6FD8015E"/>
    <w:rsid w:val="6FE615D8"/>
    <w:rsid w:val="6FED2E96"/>
    <w:rsid w:val="6FF34751"/>
    <w:rsid w:val="6FFC5590"/>
    <w:rsid w:val="70264800"/>
    <w:rsid w:val="706D1DD0"/>
    <w:rsid w:val="70811FCA"/>
    <w:rsid w:val="70856B87"/>
    <w:rsid w:val="70860327"/>
    <w:rsid w:val="70934920"/>
    <w:rsid w:val="70AD1CE8"/>
    <w:rsid w:val="70D527EE"/>
    <w:rsid w:val="70E450D1"/>
    <w:rsid w:val="70F57389"/>
    <w:rsid w:val="70FC4278"/>
    <w:rsid w:val="71106E31"/>
    <w:rsid w:val="71121541"/>
    <w:rsid w:val="713810ED"/>
    <w:rsid w:val="713A0BC0"/>
    <w:rsid w:val="714F6A99"/>
    <w:rsid w:val="715B5300"/>
    <w:rsid w:val="716B4799"/>
    <w:rsid w:val="717C1C07"/>
    <w:rsid w:val="717F1555"/>
    <w:rsid w:val="718316F2"/>
    <w:rsid w:val="71890576"/>
    <w:rsid w:val="71973F9C"/>
    <w:rsid w:val="719918CC"/>
    <w:rsid w:val="71A13CF1"/>
    <w:rsid w:val="71AA328E"/>
    <w:rsid w:val="71BA192A"/>
    <w:rsid w:val="71BB7445"/>
    <w:rsid w:val="71C016BB"/>
    <w:rsid w:val="71D27F8A"/>
    <w:rsid w:val="71E956FB"/>
    <w:rsid w:val="71EE38F6"/>
    <w:rsid w:val="71FD4747"/>
    <w:rsid w:val="720E78C0"/>
    <w:rsid w:val="724929C4"/>
    <w:rsid w:val="7254170B"/>
    <w:rsid w:val="72553024"/>
    <w:rsid w:val="7258300B"/>
    <w:rsid w:val="72701F51"/>
    <w:rsid w:val="72796B08"/>
    <w:rsid w:val="72C240B3"/>
    <w:rsid w:val="72D167C3"/>
    <w:rsid w:val="72FE0A90"/>
    <w:rsid w:val="72FF0482"/>
    <w:rsid w:val="7310167F"/>
    <w:rsid w:val="73122968"/>
    <w:rsid w:val="731F5D5E"/>
    <w:rsid w:val="732643D4"/>
    <w:rsid w:val="73422AC0"/>
    <w:rsid w:val="73980D7B"/>
    <w:rsid w:val="73C51A70"/>
    <w:rsid w:val="73C51AD5"/>
    <w:rsid w:val="73CC7EA5"/>
    <w:rsid w:val="741A786D"/>
    <w:rsid w:val="741E793C"/>
    <w:rsid w:val="74253415"/>
    <w:rsid w:val="742600BE"/>
    <w:rsid w:val="7434641A"/>
    <w:rsid w:val="743D6C40"/>
    <w:rsid w:val="74517133"/>
    <w:rsid w:val="745E3944"/>
    <w:rsid w:val="749E5E45"/>
    <w:rsid w:val="74B26437"/>
    <w:rsid w:val="74CA2CD3"/>
    <w:rsid w:val="74CB2B10"/>
    <w:rsid w:val="74F505E0"/>
    <w:rsid w:val="750A2FCD"/>
    <w:rsid w:val="75252865"/>
    <w:rsid w:val="754B3A1B"/>
    <w:rsid w:val="75725FCF"/>
    <w:rsid w:val="757C147C"/>
    <w:rsid w:val="758C40E7"/>
    <w:rsid w:val="75985EFB"/>
    <w:rsid w:val="75BE5F9B"/>
    <w:rsid w:val="75C277B1"/>
    <w:rsid w:val="75C944BE"/>
    <w:rsid w:val="75E308F3"/>
    <w:rsid w:val="75EA24F9"/>
    <w:rsid w:val="76063CFF"/>
    <w:rsid w:val="760B0A3A"/>
    <w:rsid w:val="760B6CB2"/>
    <w:rsid w:val="76140371"/>
    <w:rsid w:val="76152A45"/>
    <w:rsid w:val="76171B4F"/>
    <w:rsid w:val="761832DB"/>
    <w:rsid w:val="7635099D"/>
    <w:rsid w:val="763E631A"/>
    <w:rsid w:val="765D0EBE"/>
    <w:rsid w:val="76760A72"/>
    <w:rsid w:val="768B022F"/>
    <w:rsid w:val="76AF6682"/>
    <w:rsid w:val="76DE3C07"/>
    <w:rsid w:val="77117871"/>
    <w:rsid w:val="772755FA"/>
    <w:rsid w:val="772D4394"/>
    <w:rsid w:val="77300EF7"/>
    <w:rsid w:val="77507521"/>
    <w:rsid w:val="776203D7"/>
    <w:rsid w:val="7771340F"/>
    <w:rsid w:val="77762421"/>
    <w:rsid w:val="77A40E4F"/>
    <w:rsid w:val="77B16A8D"/>
    <w:rsid w:val="77B56B1F"/>
    <w:rsid w:val="77B746D8"/>
    <w:rsid w:val="77B80245"/>
    <w:rsid w:val="77BF0A73"/>
    <w:rsid w:val="77C067B8"/>
    <w:rsid w:val="77C356D5"/>
    <w:rsid w:val="77C656D3"/>
    <w:rsid w:val="78054355"/>
    <w:rsid w:val="780F09F4"/>
    <w:rsid w:val="784D6B38"/>
    <w:rsid w:val="785A3258"/>
    <w:rsid w:val="786C43D6"/>
    <w:rsid w:val="7886343E"/>
    <w:rsid w:val="78A55DCE"/>
    <w:rsid w:val="78A82F32"/>
    <w:rsid w:val="78A90480"/>
    <w:rsid w:val="78AA2807"/>
    <w:rsid w:val="78BD3F89"/>
    <w:rsid w:val="7908577F"/>
    <w:rsid w:val="791E4FA3"/>
    <w:rsid w:val="79425135"/>
    <w:rsid w:val="79506695"/>
    <w:rsid w:val="795F69CB"/>
    <w:rsid w:val="79A36516"/>
    <w:rsid w:val="79B805CD"/>
    <w:rsid w:val="79DB30F4"/>
    <w:rsid w:val="79E12846"/>
    <w:rsid w:val="7A003605"/>
    <w:rsid w:val="7A097C7E"/>
    <w:rsid w:val="7A1426BD"/>
    <w:rsid w:val="7A364017"/>
    <w:rsid w:val="7A3C15C4"/>
    <w:rsid w:val="7A547A0A"/>
    <w:rsid w:val="7A587F40"/>
    <w:rsid w:val="7A7E2403"/>
    <w:rsid w:val="7A8022E7"/>
    <w:rsid w:val="7A8265E1"/>
    <w:rsid w:val="7A990D85"/>
    <w:rsid w:val="7AAF36BC"/>
    <w:rsid w:val="7ABF71E0"/>
    <w:rsid w:val="7AF12E4B"/>
    <w:rsid w:val="7AF51E33"/>
    <w:rsid w:val="7B0A57DF"/>
    <w:rsid w:val="7B686D42"/>
    <w:rsid w:val="7B7202D4"/>
    <w:rsid w:val="7B841746"/>
    <w:rsid w:val="7B8D519B"/>
    <w:rsid w:val="7B9B2A19"/>
    <w:rsid w:val="7BA4201F"/>
    <w:rsid w:val="7BF713E5"/>
    <w:rsid w:val="7C0015F9"/>
    <w:rsid w:val="7C287235"/>
    <w:rsid w:val="7C2B4137"/>
    <w:rsid w:val="7C507B69"/>
    <w:rsid w:val="7C6C5AC7"/>
    <w:rsid w:val="7C701FB9"/>
    <w:rsid w:val="7C705B15"/>
    <w:rsid w:val="7C8A307B"/>
    <w:rsid w:val="7C8C510E"/>
    <w:rsid w:val="7C9874B5"/>
    <w:rsid w:val="7CBF2F7A"/>
    <w:rsid w:val="7CC6544B"/>
    <w:rsid w:val="7CDE5175"/>
    <w:rsid w:val="7CE65DD7"/>
    <w:rsid w:val="7CF404F4"/>
    <w:rsid w:val="7D0239FF"/>
    <w:rsid w:val="7D221505"/>
    <w:rsid w:val="7D3A7184"/>
    <w:rsid w:val="7D5A0580"/>
    <w:rsid w:val="7D5E40CD"/>
    <w:rsid w:val="7D6F5760"/>
    <w:rsid w:val="7D7C1CBC"/>
    <w:rsid w:val="7D991702"/>
    <w:rsid w:val="7DAF37E4"/>
    <w:rsid w:val="7DBA08F7"/>
    <w:rsid w:val="7DC4185A"/>
    <w:rsid w:val="7DCD56F2"/>
    <w:rsid w:val="7DD053FE"/>
    <w:rsid w:val="7DD67854"/>
    <w:rsid w:val="7DDE0761"/>
    <w:rsid w:val="7DEA522F"/>
    <w:rsid w:val="7DF67796"/>
    <w:rsid w:val="7DF764EE"/>
    <w:rsid w:val="7E034BDF"/>
    <w:rsid w:val="7E10135E"/>
    <w:rsid w:val="7E94502E"/>
    <w:rsid w:val="7EA43B12"/>
    <w:rsid w:val="7EA66B57"/>
    <w:rsid w:val="7EBD0283"/>
    <w:rsid w:val="7EEA4FB2"/>
    <w:rsid w:val="7EFE38AC"/>
    <w:rsid w:val="7F001CE7"/>
    <w:rsid w:val="7F034958"/>
    <w:rsid w:val="7F054669"/>
    <w:rsid w:val="7F376710"/>
    <w:rsid w:val="7F3A6186"/>
    <w:rsid w:val="7F4A6AF1"/>
    <w:rsid w:val="7F5958F8"/>
    <w:rsid w:val="7F5C05D3"/>
    <w:rsid w:val="7FE378A6"/>
    <w:rsid w:val="7FE47E50"/>
    <w:rsid w:val="7FE63E7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1"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jc w:val="both"/>
    </w:pPr>
    <w:rPr>
      <w:rFonts w:ascii="Times New Roman" w:hAnsi="Times New Roman" w:eastAsia="仿宋" w:cs="Times New Roman"/>
      <w:kern w:val="2"/>
      <w:sz w:val="24"/>
      <w:szCs w:val="24"/>
      <w:lang w:val="en-US" w:eastAsia="zh-CN" w:bidi="ar-SA"/>
    </w:rPr>
  </w:style>
  <w:style w:type="paragraph" w:styleId="2">
    <w:name w:val="heading 1"/>
    <w:basedOn w:val="1"/>
    <w:next w:val="1"/>
    <w:link w:val="36"/>
    <w:autoRedefine/>
    <w:qFormat/>
    <w:uiPriority w:val="99"/>
    <w:pPr>
      <w:keepNext/>
      <w:overflowPunct w:val="0"/>
      <w:adjustRightInd w:val="0"/>
      <w:snapToGrid w:val="0"/>
      <w:spacing w:line="240" w:lineRule="atLeast"/>
      <w:ind w:left="0" w:firstLine="0"/>
      <w:jc w:val="center"/>
      <w:outlineLvl w:val="0"/>
    </w:pPr>
    <w:rPr>
      <w:rFonts w:ascii="Calibri" w:hAnsi="Calibri" w:eastAsia="宋体"/>
      <w:b/>
      <w:bCs/>
      <w:color w:val="000000"/>
      <w:kern w:val="44"/>
      <w:sz w:val="28"/>
      <w:szCs w:val="30"/>
    </w:rPr>
  </w:style>
  <w:style w:type="paragraph" w:styleId="3">
    <w:name w:val="heading 2"/>
    <w:basedOn w:val="1"/>
    <w:next w:val="1"/>
    <w:link w:val="37"/>
    <w:autoRedefine/>
    <w:qFormat/>
    <w:uiPriority w:val="1"/>
    <w:pPr>
      <w:ind w:left="0"/>
      <w:jc w:val="left"/>
      <w:outlineLvl w:val="1"/>
    </w:pPr>
    <w:rPr>
      <w:rFonts w:ascii="宋体" w:hAnsi="宋体"/>
      <w:b/>
      <w:bCs/>
      <w:kern w:val="0"/>
      <w:szCs w:val="21"/>
    </w:rPr>
  </w:style>
  <w:style w:type="paragraph" w:styleId="4">
    <w:name w:val="heading 3"/>
    <w:basedOn w:val="1"/>
    <w:next w:val="1"/>
    <w:autoRedefine/>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autoRedefine/>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32">
    <w:name w:val="Default Paragraph Font"/>
    <w:autoRedefine/>
    <w:semiHidden/>
    <w:qFormat/>
    <w:uiPriority w:val="0"/>
  </w:style>
  <w:style w:type="table" w:default="1" w:styleId="30">
    <w:name w:val="Normal Table"/>
    <w:autoRedefin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List 3"/>
    <w:basedOn w:val="1"/>
    <w:autoRedefine/>
    <w:qFormat/>
    <w:uiPriority w:val="0"/>
    <w:pPr>
      <w:spacing w:line="240" w:lineRule="auto"/>
      <w:ind w:left="0" w:leftChars="0" w:firstLine="0" w:firstLineChars="0"/>
      <w:jc w:val="center"/>
      <w:outlineLvl w:val="9"/>
    </w:pPr>
    <w:rPr>
      <w:rFonts w:eastAsia="黑体"/>
      <w:kern w:val="2"/>
      <w:sz w:val="24"/>
      <w:szCs w:val="24"/>
    </w:rPr>
  </w:style>
  <w:style w:type="paragraph" w:styleId="7">
    <w:name w:val="Normal Indent"/>
    <w:basedOn w:val="1"/>
    <w:autoRedefine/>
    <w:qFormat/>
    <w:uiPriority w:val="0"/>
    <w:pPr>
      <w:ind w:firstLine="200" w:firstLineChars="200"/>
    </w:pPr>
    <w:rPr>
      <w:rFonts w:ascii="Times New Roman" w:hAnsi="Times New Roman"/>
    </w:rPr>
  </w:style>
  <w:style w:type="paragraph" w:styleId="8">
    <w:name w:val="toa heading"/>
    <w:basedOn w:val="1"/>
    <w:next w:val="1"/>
    <w:autoRedefine/>
    <w:qFormat/>
    <w:uiPriority w:val="0"/>
    <w:pPr>
      <w:spacing w:line="240" w:lineRule="auto"/>
    </w:pPr>
    <w:rPr>
      <w:rFonts w:ascii="Times New Roman" w:hAnsi="Times New Roman" w:cs="Arial"/>
    </w:rPr>
  </w:style>
  <w:style w:type="paragraph" w:styleId="9">
    <w:name w:val="annotation text"/>
    <w:basedOn w:val="1"/>
    <w:link w:val="38"/>
    <w:autoRedefine/>
    <w:semiHidden/>
    <w:qFormat/>
    <w:uiPriority w:val="0"/>
    <w:pPr>
      <w:jc w:val="left"/>
    </w:pPr>
    <w:rPr>
      <w:kern w:val="0"/>
      <w:szCs w:val="20"/>
    </w:rPr>
  </w:style>
  <w:style w:type="paragraph" w:styleId="10">
    <w:name w:val="Body Text"/>
    <w:basedOn w:val="1"/>
    <w:next w:val="1"/>
    <w:autoRedefine/>
    <w:qFormat/>
    <w:uiPriority w:val="0"/>
    <w:rPr>
      <w:sz w:val="24"/>
    </w:rPr>
  </w:style>
  <w:style w:type="paragraph" w:styleId="11">
    <w:name w:val="Body Text Indent"/>
    <w:basedOn w:val="1"/>
    <w:next w:val="12"/>
    <w:autoRedefine/>
    <w:qFormat/>
    <w:uiPriority w:val="0"/>
    <w:pPr>
      <w:spacing w:line="400" w:lineRule="exact"/>
      <w:ind w:firstLine="560" w:firstLineChars="200"/>
    </w:pPr>
    <w:rPr>
      <w:rFonts w:ascii="方正仿宋简体" w:eastAsia="方正仿宋简体"/>
      <w:sz w:val="28"/>
      <w:szCs w:val="20"/>
    </w:rPr>
  </w:style>
  <w:style w:type="paragraph" w:customStyle="1" w:styleId="12">
    <w:name w:val="表格编号"/>
    <w:basedOn w:val="1"/>
    <w:next w:val="13"/>
    <w:autoRedefine/>
    <w:qFormat/>
    <w:uiPriority w:val="0"/>
    <w:pPr>
      <w:spacing w:line="60" w:lineRule="atLeast"/>
      <w:jc w:val="left"/>
    </w:pPr>
    <w:rPr>
      <w:spacing w:val="10"/>
      <w:kern w:val="0"/>
      <w:szCs w:val="21"/>
    </w:rPr>
  </w:style>
  <w:style w:type="paragraph" w:customStyle="1" w:styleId="13">
    <w:name w:val="表格文字"/>
    <w:basedOn w:val="7"/>
    <w:next w:val="1"/>
    <w:autoRedefine/>
    <w:qFormat/>
    <w:uiPriority w:val="0"/>
    <w:pPr>
      <w:adjustRightInd w:val="0"/>
      <w:snapToGrid/>
      <w:spacing w:line="300" w:lineRule="auto"/>
      <w:jc w:val="center"/>
    </w:pPr>
    <w:rPr>
      <w:rFonts w:ascii="Times New Roman" w:hAnsi="Times New Roman"/>
      <w:kern w:val="44"/>
      <w:sz w:val="21"/>
      <w:szCs w:val="20"/>
    </w:rPr>
  </w:style>
  <w:style w:type="paragraph" w:styleId="14">
    <w:name w:val="List 2"/>
    <w:basedOn w:val="1"/>
    <w:autoRedefine/>
    <w:qFormat/>
    <w:uiPriority w:val="0"/>
    <w:pPr>
      <w:adjustRightInd w:val="0"/>
      <w:snapToGrid w:val="0"/>
      <w:spacing w:line="240" w:lineRule="auto"/>
      <w:ind w:firstLine="0" w:firstLineChars="0"/>
      <w:jc w:val="center"/>
      <w:outlineLvl w:val="9"/>
    </w:pPr>
    <w:rPr>
      <w:sz w:val="21"/>
      <w:szCs w:val="20"/>
    </w:rPr>
  </w:style>
  <w:style w:type="paragraph" w:styleId="15">
    <w:name w:val="Plain Text"/>
    <w:basedOn w:val="1"/>
    <w:autoRedefine/>
    <w:qFormat/>
    <w:uiPriority w:val="0"/>
    <w:rPr>
      <w:rFonts w:ascii="宋体" w:hAnsi="Courier New"/>
    </w:rPr>
  </w:style>
  <w:style w:type="paragraph" w:styleId="16">
    <w:name w:val="List Bullet 5"/>
    <w:basedOn w:val="1"/>
    <w:autoRedefine/>
    <w:qFormat/>
    <w:uiPriority w:val="0"/>
    <w:pPr>
      <w:numPr>
        <w:ilvl w:val="0"/>
        <w:numId w:val="1"/>
      </w:numPr>
    </w:pPr>
  </w:style>
  <w:style w:type="paragraph" w:styleId="17">
    <w:name w:val="Body Text Indent 2"/>
    <w:basedOn w:val="1"/>
    <w:autoRedefine/>
    <w:qFormat/>
    <w:uiPriority w:val="0"/>
    <w:pPr>
      <w:ind w:left="80" w:leftChars="38" w:firstLine="480" w:firstLineChars="200"/>
    </w:pPr>
    <w:rPr>
      <w:sz w:val="24"/>
    </w:rPr>
  </w:style>
  <w:style w:type="paragraph" w:styleId="18">
    <w:name w:val="Balloon Text"/>
    <w:basedOn w:val="1"/>
    <w:link w:val="39"/>
    <w:autoRedefine/>
    <w:qFormat/>
    <w:uiPriority w:val="0"/>
    <w:pPr>
      <w:spacing w:line="240" w:lineRule="auto"/>
    </w:pPr>
    <w:rPr>
      <w:sz w:val="18"/>
      <w:szCs w:val="18"/>
    </w:rPr>
  </w:style>
  <w:style w:type="paragraph" w:styleId="19">
    <w:name w:val="footer"/>
    <w:basedOn w:val="1"/>
    <w:autoRedefine/>
    <w:qFormat/>
    <w:uiPriority w:val="0"/>
    <w:pPr>
      <w:tabs>
        <w:tab w:val="center" w:pos="4153"/>
        <w:tab w:val="right" w:pos="8306"/>
      </w:tabs>
      <w:snapToGrid w:val="0"/>
      <w:jc w:val="left"/>
    </w:pPr>
    <w:rPr>
      <w:sz w:val="18"/>
    </w:rPr>
  </w:style>
  <w:style w:type="paragraph" w:styleId="20">
    <w:name w:val="envelope return"/>
    <w:basedOn w:val="1"/>
    <w:autoRedefine/>
    <w:qFormat/>
    <w:uiPriority w:val="99"/>
    <w:pPr>
      <w:snapToGrid w:val="0"/>
    </w:pPr>
    <w:rPr>
      <w:rFonts w:ascii="Arial" w:hAnsi="Arial"/>
    </w:rPr>
  </w:style>
  <w:style w:type="paragraph" w:styleId="2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2">
    <w:name w:val="toc 1"/>
    <w:basedOn w:val="1"/>
    <w:next w:val="1"/>
    <w:autoRedefine/>
    <w:qFormat/>
    <w:uiPriority w:val="0"/>
  </w:style>
  <w:style w:type="paragraph" w:styleId="23">
    <w:name w:val="List"/>
    <w:basedOn w:val="1"/>
    <w:autoRedefine/>
    <w:qFormat/>
    <w:uiPriority w:val="0"/>
    <w:pPr>
      <w:adjustRightInd w:val="0"/>
      <w:snapToGrid w:val="0"/>
      <w:jc w:val="center"/>
      <w:textAlignment w:val="baseline"/>
    </w:pPr>
    <w:rPr>
      <w:rFonts w:ascii="仿宋_GB2312" w:hAnsi="Alaska" w:eastAsia="仿宋_GB2312"/>
      <w:kern w:val="0"/>
    </w:rPr>
  </w:style>
  <w:style w:type="paragraph" w:styleId="24">
    <w:name w:val="Body Text Indent 3"/>
    <w:basedOn w:val="1"/>
    <w:autoRedefine/>
    <w:qFormat/>
    <w:uiPriority w:val="0"/>
    <w:pPr>
      <w:ind w:left="80" w:firstLine="398" w:firstLineChars="166"/>
    </w:pPr>
    <w:rPr>
      <w:bCs/>
      <w:sz w:val="24"/>
    </w:rPr>
  </w:style>
  <w:style w:type="paragraph" w:styleId="25">
    <w:name w:val="Body Text 2"/>
    <w:basedOn w:val="1"/>
    <w:next w:val="1"/>
    <w:autoRedefine/>
    <w:qFormat/>
    <w:uiPriority w:val="0"/>
    <w:pPr>
      <w:spacing w:after="120" w:line="480" w:lineRule="auto"/>
    </w:pPr>
  </w:style>
  <w:style w:type="paragraph" w:styleId="26">
    <w:name w:val="Normal (Web)"/>
    <w:basedOn w:val="1"/>
    <w:autoRedefine/>
    <w:qFormat/>
    <w:uiPriority w:val="0"/>
    <w:pPr>
      <w:spacing w:before="100" w:beforeAutospacing="1" w:after="100" w:afterAutospacing="1"/>
      <w:ind w:left="0" w:right="0"/>
      <w:jc w:val="left"/>
    </w:pPr>
    <w:rPr>
      <w:kern w:val="0"/>
      <w:sz w:val="24"/>
      <w:lang w:val="en-US" w:eastAsia="zh-CN" w:bidi="ar"/>
    </w:rPr>
  </w:style>
  <w:style w:type="paragraph" w:styleId="27">
    <w:name w:val="annotation subject"/>
    <w:basedOn w:val="9"/>
    <w:next w:val="9"/>
    <w:link w:val="40"/>
    <w:autoRedefine/>
    <w:qFormat/>
    <w:uiPriority w:val="0"/>
    <w:rPr>
      <w:b/>
      <w:bCs/>
      <w:kern w:val="2"/>
      <w:szCs w:val="24"/>
    </w:rPr>
  </w:style>
  <w:style w:type="paragraph" w:styleId="28">
    <w:name w:val="Body Text First Indent"/>
    <w:basedOn w:val="10"/>
    <w:autoRedefine/>
    <w:qFormat/>
    <w:uiPriority w:val="0"/>
    <w:pPr>
      <w:ind w:firstLine="420" w:firstLineChars="100"/>
    </w:pPr>
  </w:style>
  <w:style w:type="paragraph" w:styleId="29">
    <w:name w:val="Body Text First Indent 2"/>
    <w:basedOn w:val="11"/>
    <w:next w:val="1"/>
    <w:autoRedefine/>
    <w:qFormat/>
    <w:uiPriority w:val="0"/>
    <w:pPr>
      <w:spacing w:after="120"/>
      <w:ind w:left="420" w:leftChars="200" w:firstLine="420"/>
    </w:pPr>
    <w:rPr>
      <w:rFonts w:ascii="Times New Roman" w:hAnsi="Times New Roman" w:eastAsia="宋体"/>
      <w:sz w:val="21"/>
      <w:szCs w:val="24"/>
    </w:rPr>
  </w:style>
  <w:style w:type="table" w:styleId="31">
    <w:name w:val="Table Grid"/>
    <w:basedOn w:val="30"/>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Hyperlink"/>
    <w:basedOn w:val="32"/>
    <w:autoRedefine/>
    <w:qFormat/>
    <w:uiPriority w:val="0"/>
    <w:rPr>
      <w:color w:val="0000FF"/>
      <w:u w:val="single"/>
    </w:rPr>
  </w:style>
  <w:style w:type="character" w:styleId="34">
    <w:name w:val="annotation reference"/>
    <w:autoRedefine/>
    <w:qFormat/>
    <w:uiPriority w:val="0"/>
    <w:rPr>
      <w:sz w:val="21"/>
      <w:szCs w:val="21"/>
    </w:rPr>
  </w:style>
  <w:style w:type="paragraph" w:customStyle="1" w:styleId="35">
    <w:name w:val="正文首行缩进  2字符"/>
    <w:basedOn w:val="1"/>
    <w:qFormat/>
    <w:uiPriority w:val="0"/>
    <w:pPr>
      <w:widowControl/>
      <w:ind w:firstLine="480"/>
    </w:pPr>
  </w:style>
  <w:style w:type="character" w:customStyle="1" w:styleId="36">
    <w:name w:val="标题 1 Char"/>
    <w:link w:val="2"/>
    <w:autoRedefine/>
    <w:qFormat/>
    <w:uiPriority w:val="99"/>
    <w:rPr>
      <w:rFonts w:ascii="Calibri" w:hAnsi="Calibri" w:eastAsia="宋体"/>
      <w:b/>
      <w:bCs/>
      <w:color w:val="000000"/>
      <w:kern w:val="44"/>
      <w:sz w:val="28"/>
      <w:szCs w:val="30"/>
    </w:rPr>
  </w:style>
  <w:style w:type="character" w:customStyle="1" w:styleId="37">
    <w:name w:val="标题 2 Char"/>
    <w:link w:val="3"/>
    <w:autoRedefine/>
    <w:qFormat/>
    <w:uiPriority w:val="1"/>
    <w:rPr>
      <w:rFonts w:ascii="宋体" w:hAnsi="宋体" w:eastAsia="仿宋"/>
      <w:b/>
      <w:bCs/>
      <w:sz w:val="24"/>
      <w:szCs w:val="21"/>
    </w:rPr>
  </w:style>
  <w:style w:type="character" w:customStyle="1" w:styleId="38">
    <w:name w:val="批注文字 Char"/>
    <w:link w:val="9"/>
    <w:autoRedefine/>
    <w:semiHidden/>
    <w:qFormat/>
    <w:uiPriority w:val="0"/>
    <w:rPr>
      <w:rFonts w:eastAsia="仿宋"/>
      <w:sz w:val="24"/>
    </w:rPr>
  </w:style>
  <w:style w:type="character" w:customStyle="1" w:styleId="39">
    <w:name w:val="批注框文本 Char"/>
    <w:link w:val="18"/>
    <w:autoRedefine/>
    <w:qFormat/>
    <w:uiPriority w:val="0"/>
    <w:rPr>
      <w:rFonts w:eastAsia="仿宋"/>
      <w:kern w:val="2"/>
      <w:sz w:val="18"/>
      <w:szCs w:val="18"/>
    </w:rPr>
  </w:style>
  <w:style w:type="character" w:customStyle="1" w:styleId="40">
    <w:name w:val="批注主题 Char"/>
    <w:link w:val="27"/>
    <w:autoRedefine/>
    <w:qFormat/>
    <w:uiPriority w:val="0"/>
  </w:style>
  <w:style w:type="paragraph" w:customStyle="1" w:styleId="41">
    <w:name w:val="Default"/>
    <w:basedOn w:val="42"/>
    <w:autoRedefine/>
    <w:qFormat/>
    <w:uiPriority w:val="0"/>
    <w:pPr>
      <w:widowControl w:val="0"/>
      <w:autoSpaceDE w:val="0"/>
      <w:autoSpaceDN w:val="0"/>
      <w:adjustRightInd w:val="0"/>
    </w:pPr>
    <w:rPr>
      <w:rFonts w:ascii="宋体"/>
      <w:color w:val="000000"/>
      <w:sz w:val="24"/>
      <w:szCs w:val="24"/>
      <w:lang w:val="en-US" w:eastAsia="zh-CN" w:bidi="ar-SA"/>
    </w:rPr>
  </w:style>
  <w:style w:type="paragraph" w:customStyle="1" w:styleId="42">
    <w:name w:val="纯文本1"/>
    <w:basedOn w:val="1"/>
    <w:autoRedefine/>
    <w:qFormat/>
    <w:uiPriority w:val="0"/>
    <w:pPr>
      <w:widowControl/>
      <w:spacing w:beforeLines="10" w:afterLines="10"/>
      <w:ind w:firstLine="200"/>
      <w:jc w:val="left"/>
    </w:pPr>
    <w:rPr>
      <w:rFonts w:hAnsi="宋体" w:cs="宋体"/>
      <w:kern w:val="0"/>
    </w:rPr>
  </w:style>
  <w:style w:type="character" w:customStyle="1" w:styleId="43">
    <w:name w:val="表格题目 Char"/>
    <w:link w:val="44"/>
    <w:autoRedefine/>
    <w:qFormat/>
    <w:uiPriority w:val="0"/>
    <w:rPr>
      <w:rFonts w:ascii="Times New Roman" w:hAnsi="Times New Roman" w:eastAsia="仿宋"/>
      <w:b/>
      <w:sz w:val="24"/>
    </w:rPr>
  </w:style>
  <w:style w:type="paragraph" w:customStyle="1" w:styleId="44">
    <w:name w:val="表格题目"/>
    <w:basedOn w:val="13"/>
    <w:next w:val="13"/>
    <w:link w:val="43"/>
    <w:autoRedefine/>
    <w:qFormat/>
    <w:uiPriority w:val="0"/>
    <w:pPr>
      <w:spacing w:line="360" w:lineRule="auto"/>
      <w:jc w:val="center"/>
    </w:pPr>
    <w:rPr>
      <w:b/>
      <w:kern w:val="0"/>
      <w:sz w:val="24"/>
    </w:rPr>
  </w:style>
  <w:style w:type="character" w:customStyle="1" w:styleId="45">
    <w:name w:val="下标 Char"/>
    <w:link w:val="46"/>
    <w:autoRedefine/>
    <w:qFormat/>
    <w:uiPriority w:val="0"/>
    <w:rPr>
      <w:rFonts w:hint="eastAsia"/>
      <w:vertAlign w:val="subscript"/>
    </w:rPr>
  </w:style>
  <w:style w:type="paragraph" w:customStyle="1" w:styleId="46">
    <w:name w:val="下标"/>
    <w:basedOn w:val="1"/>
    <w:link w:val="45"/>
    <w:autoRedefine/>
    <w:qFormat/>
    <w:uiPriority w:val="0"/>
    <w:pPr>
      <w:ind w:firstLine="200" w:firstLineChars="200"/>
    </w:pPr>
    <w:rPr>
      <w:rFonts w:hint="eastAsia" w:eastAsia="宋体"/>
      <w:kern w:val="0"/>
      <w:sz w:val="20"/>
      <w:szCs w:val="20"/>
      <w:vertAlign w:val="subscript"/>
    </w:rPr>
  </w:style>
  <w:style w:type="character" w:customStyle="1" w:styleId="47">
    <w:name w:val="上标 Char"/>
    <w:link w:val="48"/>
    <w:autoRedefine/>
    <w:qFormat/>
    <w:uiPriority w:val="0"/>
    <w:rPr>
      <w:rFonts w:hint="eastAsia"/>
      <w:kern w:val="44"/>
      <w:vertAlign w:val="superscript"/>
    </w:rPr>
  </w:style>
  <w:style w:type="paragraph" w:customStyle="1" w:styleId="48">
    <w:name w:val="上标"/>
    <w:basedOn w:val="1"/>
    <w:link w:val="47"/>
    <w:autoRedefine/>
    <w:qFormat/>
    <w:uiPriority w:val="0"/>
    <w:pPr>
      <w:adjustRightInd w:val="0"/>
      <w:snapToGrid w:val="0"/>
      <w:spacing w:line="240" w:lineRule="auto"/>
      <w:jc w:val="center"/>
    </w:pPr>
    <w:rPr>
      <w:rFonts w:hint="eastAsia" w:eastAsia="宋体"/>
      <w:kern w:val="44"/>
      <w:sz w:val="20"/>
      <w:szCs w:val="20"/>
      <w:vertAlign w:val="superscript"/>
    </w:rPr>
  </w:style>
  <w:style w:type="paragraph" w:customStyle="1" w:styleId="49">
    <w:name w:val="正文1"/>
    <w:next w:val="50"/>
    <w:autoRedefine/>
    <w:qFormat/>
    <w:uiPriority w:val="0"/>
    <w:pPr>
      <w:widowControl w:val="0"/>
      <w:spacing w:line="360" w:lineRule="auto"/>
    </w:pPr>
    <w:rPr>
      <w:rFonts w:ascii="Times New Roman" w:hAnsi="Times New Roman" w:eastAsia="宋体" w:cs="Times New Roman"/>
      <w:b/>
      <w:bCs/>
      <w:lang w:val="en-US" w:eastAsia="zh-CN" w:bidi="ar-SA"/>
    </w:rPr>
  </w:style>
  <w:style w:type="paragraph" w:customStyle="1" w:styleId="50">
    <w:name w:val="页脚1"/>
    <w:basedOn w:val="49"/>
    <w:autoRedefine/>
    <w:qFormat/>
    <w:uiPriority w:val="0"/>
    <w:pPr>
      <w:tabs>
        <w:tab w:val="center" w:pos="4153"/>
        <w:tab w:val="right" w:pos="8306"/>
      </w:tabs>
    </w:pPr>
    <w:rPr>
      <w:b w:val="0"/>
      <w:bCs w:val="0"/>
      <w:sz w:val="18"/>
    </w:rPr>
  </w:style>
  <w:style w:type="paragraph" w:customStyle="1" w:styleId="51">
    <w:name w:val="表格样式赵"/>
    <w:basedOn w:val="1"/>
    <w:next w:val="1"/>
    <w:autoRedefine/>
    <w:qFormat/>
    <w:uiPriority w:val="0"/>
    <w:pPr>
      <w:pBdr>
        <w:top w:val="none" w:color="auto" w:sz="0" w:space="1"/>
        <w:left w:val="none" w:color="auto" w:sz="0" w:space="4"/>
        <w:bottom w:val="none" w:color="auto" w:sz="0" w:space="1"/>
        <w:right w:val="none" w:color="auto" w:sz="0" w:space="4"/>
      </w:pBdr>
      <w:adjustRightInd w:val="0"/>
      <w:snapToGrid w:val="0"/>
      <w:spacing w:line="240" w:lineRule="auto"/>
      <w:ind w:firstLine="0" w:firstLineChars="0"/>
      <w:jc w:val="center"/>
    </w:pPr>
    <w:rPr>
      <w:rFonts w:ascii="Times New Roman" w:hAnsi="Times New Roman" w:eastAsia="仿宋_GB2312"/>
      <w:sz w:val="21"/>
      <w:szCs w:val="21"/>
    </w:rPr>
  </w:style>
  <w:style w:type="paragraph" w:customStyle="1" w:styleId="52">
    <w:name w:val="表头"/>
    <w:basedOn w:val="1"/>
    <w:next w:val="15"/>
    <w:autoRedefine/>
    <w:qFormat/>
    <w:uiPriority w:val="0"/>
    <w:pPr>
      <w:spacing w:line="240" w:lineRule="auto"/>
      <w:ind w:firstLine="0" w:firstLineChars="0"/>
      <w:jc w:val="center"/>
    </w:pPr>
    <w:rPr>
      <w:rFonts w:ascii="黑体" w:hAnsi="黑体" w:eastAsia="黑体" w:cs="仿宋_GB2312"/>
      <w:color w:val="000000"/>
      <w:sz w:val="21"/>
      <w:szCs w:val="36"/>
    </w:rPr>
  </w:style>
  <w:style w:type="paragraph" w:customStyle="1" w:styleId="53">
    <w:name w:val="大表格文字"/>
    <w:basedOn w:val="1"/>
    <w:autoRedefine/>
    <w:qFormat/>
    <w:uiPriority w:val="0"/>
    <w:pPr>
      <w:adjustRightInd w:val="0"/>
      <w:snapToGrid w:val="0"/>
      <w:spacing w:line="240" w:lineRule="auto"/>
      <w:jc w:val="center"/>
    </w:pPr>
    <w:rPr>
      <w:rFonts w:hint="eastAsia" w:ascii="Times New Roman" w:hAnsi="Times New Roman"/>
      <w:kern w:val="44"/>
    </w:rPr>
  </w:style>
  <w:style w:type="paragraph" w:customStyle="1" w:styleId="54">
    <w:name w:val="Body Text 22"/>
    <w:basedOn w:val="1"/>
    <w:autoRedefine/>
    <w:qFormat/>
    <w:uiPriority w:val="0"/>
    <w:pPr>
      <w:adjustRightInd w:val="0"/>
      <w:spacing w:line="440" w:lineRule="atLeast"/>
      <w:ind w:firstLine="480"/>
      <w:textAlignment w:val="baseline"/>
    </w:pPr>
    <w:rPr>
      <w:rFonts w:eastAsia="仿宋_GB2312"/>
      <w:sz w:val="24"/>
      <w:szCs w:val="20"/>
    </w:rPr>
  </w:style>
  <w:style w:type="paragraph" w:customStyle="1" w:styleId="55">
    <w:name w:val="正文-lcc"/>
    <w:basedOn w:val="1"/>
    <w:autoRedefine/>
    <w:qFormat/>
    <w:uiPriority w:val="0"/>
    <w:pPr>
      <w:snapToGrid w:val="0"/>
      <w:spacing w:line="360" w:lineRule="auto"/>
      <w:ind w:firstLine="200" w:firstLineChars="200"/>
    </w:pPr>
    <w:rPr>
      <w:rFonts w:eastAsia="仿宋"/>
      <w:color w:val="000000"/>
      <w:sz w:val="24"/>
      <w:szCs w:val="24"/>
    </w:rPr>
  </w:style>
  <w:style w:type="paragraph" w:customStyle="1" w:styleId="56">
    <w:name w:val="图表 标题"/>
    <w:next w:val="1"/>
    <w:autoRedefine/>
    <w:qFormat/>
    <w:uiPriority w:val="0"/>
    <w:pPr>
      <w:widowControl w:val="0"/>
      <w:spacing w:before="20" w:beforeLines="20"/>
      <w:jc w:val="center"/>
    </w:pPr>
    <w:rPr>
      <w:rFonts w:ascii="Times New Roman" w:hAnsi="Times New Roman" w:eastAsia="仿宋_GB2312" w:cs="Times New Roman"/>
      <w:b/>
      <w:kern w:val="2"/>
      <w:sz w:val="24"/>
      <w:szCs w:val="24"/>
      <w:lang w:val="en-US" w:eastAsia="zh-CN" w:bidi="ar-SA"/>
    </w:rPr>
  </w:style>
  <w:style w:type="paragraph" w:customStyle="1" w:styleId="57">
    <w:name w:val="表格首行"/>
    <w:basedOn w:val="13"/>
    <w:next w:val="13"/>
    <w:autoRedefine/>
    <w:qFormat/>
    <w:uiPriority w:val="0"/>
    <w:pPr>
      <w:snapToGrid w:val="0"/>
      <w:spacing w:before="50" w:beforeLines="50" w:after="50" w:afterLines="50" w:line="240" w:lineRule="auto"/>
    </w:pPr>
    <w:rPr>
      <w:b/>
    </w:rPr>
  </w:style>
  <w:style w:type="paragraph" w:customStyle="1" w:styleId="58">
    <w:name w:val="报告表正文"/>
    <w:basedOn w:val="59"/>
    <w:autoRedefine/>
    <w:qFormat/>
    <w:uiPriority w:val="0"/>
    <w:pPr>
      <w:ind w:firstLine="200" w:firstLineChars="200"/>
      <w:jc w:val="left"/>
    </w:pPr>
    <w:rPr>
      <w:rFonts w:ascii="Times New Roman" w:hAnsi="Times New Roman"/>
      <w:szCs w:val="24"/>
    </w:rPr>
  </w:style>
  <w:style w:type="paragraph" w:customStyle="1" w:styleId="59">
    <w:name w:val="列表1"/>
    <w:basedOn w:val="1"/>
    <w:autoRedefine/>
    <w:qFormat/>
    <w:uiPriority w:val="0"/>
    <w:pPr>
      <w:spacing w:line="400" w:lineRule="exact"/>
      <w:jc w:val="center"/>
    </w:pPr>
    <w:rPr>
      <w:rFonts w:ascii="宋体" w:hAnsi="宋体" w:eastAsia="仿宋_GB2312"/>
      <w:sz w:val="24"/>
      <w:szCs w:val="20"/>
    </w:rPr>
  </w:style>
  <w:style w:type="paragraph" w:customStyle="1" w:styleId="60">
    <w:name w:val="2013 10 22"/>
    <w:basedOn w:val="1"/>
    <w:autoRedefine/>
    <w:qFormat/>
    <w:uiPriority w:val="0"/>
    <w:pPr>
      <w:spacing w:line="360" w:lineRule="auto"/>
      <w:ind w:firstLine="1440" w:firstLineChars="200"/>
    </w:pPr>
    <w:rPr>
      <w:rFonts w:ascii="宋体" w:hAnsi="宋体" w:eastAsia="宋体" w:cs="Times New Roman"/>
      <w:kern w:val="0"/>
      <w:sz w:val="28"/>
      <w:szCs w:val="20"/>
    </w:rPr>
  </w:style>
  <w:style w:type="paragraph" w:customStyle="1" w:styleId="61">
    <w:name w:val="正式文本"/>
    <w:basedOn w:val="1"/>
    <w:autoRedefine/>
    <w:qFormat/>
    <w:uiPriority w:val="0"/>
    <w:pPr>
      <w:ind w:firstLine="480" w:firstLineChars="200"/>
    </w:pPr>
    <w:rPr>
      <w:rFonts w:ascii="Times New Roman" w:hAnsi="Times New Roman"/>
    </w:rPr>
  </w:style>
  <w:style w:type="paragraph" w:customStyle="1" w:styleId="62">
    <w:name w:val="表格"/>
    <w:basedOn w:val="13"/>
    <w:next w:val="1"/>
    <w:autoRedefine/>
    <w:qFormat/>
    <w:uiPriority w:val="0"/>
    <w:pPr>
      <w:autoSpaceDE w:val="0"/>
      <w:autoSpaceDN w:val="0"/>
      <w:adjustRightInd w:val="0"/>
      <w:snapToGrid w:val="0"/>
      <w:jc w:val="center"/>
      <w:outlineLvl w:val="9"/>
    </w:pPr>
  </w:style>
  <w:style w:type="paragraph" w:customStyle="1" w:styleId="63">
    <w:name w:val="表格普通"/>
    <w:basedOn w:val="1"/>
    <w:autoRedefine/>
    <w:qFormat/>
    <w:uiPriority w:val="0"/>
    <w:pPr>
      <w:jc w:val="center"/>
    </w:pPr>
    <w:rPr>
      <w:rFonts w:eastAsia="仿宋_GB2312"/>
      <w:szCs w:val="21"/>
    </w:rPr>
  </w:style>
  <w:style w:type="paragraph" w:customStyle="1" w:styleId="64">
    <w:name w:val="Table Text"/>
    <w:basedOn w:val="1"/>
    <w:autoRedefine/>
    <w:semiHidden/>
    <w:qFormat/>
    <w:uiPriority w:val="0"/>
    <w:rPr>
      <w:rFonts w:ascii="宋体" w:hAnsi="宋体" w:eastAsia="宋体" w:cs="宋体"/>
      <w:sz w:val="20"/>
      <w:szCs w:val="20"/>
      <w:lang w:val="en-US" w:eastAsia="en-US" w:bidi="ar-SA"/>
    </w:rPr>
  </w:style>
  <w:style w:type="paragraph" w:styleId="65">
    <w:name w:val="List Paragraph"/>
    <w:basedOn w:val="1"/>
    <w:autoRedefine/>
    <w:qFormat/>
    <w:uiPriority w:val="34"/>
    <w:pPr>
      <w:ind w:firstLine="420" w:firstLineChars="200"/>
    </w:pPr>
  </w:style>
  <w:style w:type="paragraph" w:customStyle="1" w:styleId="66">
    <w:name w:val="正文_7"/>
    <w:autoRedefine/>
    <w:qFormat/>
    <w:uiPriority w:val="0"/>
    <w:pPr>
      <w:widowControl w:val="0"/>
      <w:jc w:val="both"/>
    </w:pPr>
    <w:rPr>
      <w:rFonts w:ascii="Calibri" w:hAnsi="Calibri" w:eastAsia="宋体" w:cs="Times New Roman"/>
      <w:kern w:val="2"/>
      <w:sz w:val="21"/>
      <w:lang w:val="en-US" w:eastAsia="zh-CN" w:bidi="ar-SA"/>
    </w:rPr>
  </w:style>
  <w:style w:type="paragraph" w:customStyle="1" w:styleId="67">
    <w:name w:val="表图题目"/>
    <w:basedOn w:val="13"/>
    <w:autoRedefine/>
    <w:qFormat/>
    <w:uiPriority w:val="0"/>
    <w:pPr>
      <w:adjustRightInd w:val="0"/>
      <w:snapToGrid/>
      <w:spacing w:line="480" w:lineRule="auto"/>
      <w:ind w:firstLine="482" w:firstLineChars="200"/>
      <w:jc w:val="center"/>
    </w:pPr>
    <w:rPr>
      <w:b/>
      <w:sz w:val="22"/>
    </w:rPr>
  </w:style>
  <w:style w:type="paragraph" w:customStyle="1" w:styleId="68">
    <w:name w:val="Table Paragraph"/>
    <w:basedOn w:val="1"/>
    <w:autoRedefine/>
    <w:qFormat/>
    <w:uiPriority w:val="1"/>
    <w:pPr>
      <w:jc w:val="center"/>
    </w:pPr>
    <w:rPr>
      <w:rFonts w:ascii="宋体" w:hAnsi="宋体" w:eastAsia="宋体" w:cs="宋体"/>
      <w:lang w:val="zh-CN" w:eastAsia="zh-CN" w:bidi="zh-CN"/>
    </w:rPr>
  </w:style>
  <w:style w:type="paragraph" w:customStyle="1" w:styleId="69">
    <w:name w:val="样式 自动设置"/>
    <w:basedOn w:val="1"/>
    <w:autoRedefine/>
    <w:qFormat/>
    <w:uiPriority w:val="0"/>
    <w:pPr>
      <w:autoSpaceDE w:val="0"/>
      <w:autoSpaceDN w:val="0"/>
      <w:adjustRightInd w:val="0"/>
      <w:snapToGrid w:val="0"/>
      <w:spacing w:beforeLines="50" w:line="288" w:lineRule="auto"/>
      <w:ind w:firstLine="200" w:firstLineChars="200"/>
    </w:pPr>
    <w:rPr>
      <w:rFonts w:cs="宋体"/>
      <w:sz w:val="24"/>
    </w:rPr>
  </w:style>
  <w:style w:type="paragraph" w:customStyle="1" w:styleId="70">
    <w:name w:val="YY表格正文"/>
    <w:basedOn w:val="71"/>
    <w:autoRedefine/>
    <w:qFormat/>
    <w:uiPriority w:val="0"/>
    <w:pPr>
      <w:tabs>
        <w:tab w:val="left" w:pos="0"/>
      </w:tabs>
    </w:pPr>
    <w:rPr>
      <w:rFonts w:eastAsia="宋体"/>
      <w:color w:val="000000"/>
      <w:sz w:val="21"/>
    </w:rPr>
  </w:style>
  <w:style w:type="paragraph" w:customStyle="1" w:styleId="71">
    <w:name w:val="表格内文字"/>
    <w:basedOn w:val="1"/>
    <w:autoRedefine/>
    <w:qFormat/>
    <w:uiPriority w:val="0"/>
    <w:pPr>
      <w:tabs>
        <w:tab w:val="left" w:pos="0"/>
      </w:tabs>
      <w:jc w:val="center"/>
    </w:pPr>
    <w:rPr>
      <w:spacing w:val="4"/>
      <w:kern w:val="18"/>
    </w:rPr>
  </w:style>
  <w:style w:type="paragraph" w:customStyle="1" w:styleId="72">
    <w:name w:val="正正文"/>
    <w:basedOn w:val="1"/>
    <w:autoRedefine/>
    <w:qFormat/>
    <w:uiPriority w:val="0"/>
    <w:pPr>
      <w:widowControl/>
      <w:adjustRightInd w:val="0"/>
      <w:snapToGrid w:val="0"/>
      <w:spacing w:line="500" w:lineRule="exact"/>
      <w:ind w:firstLine="200" w:firstLineChars="200"/>
    </w:pPr>
    <w:rPr>
      <w:rFonts w:eastAsia="仿宋_GB2312"/>
      <w:kern w:val="0"/>
      <w:sz w:val="24"/>
      <w:szCs w:val="28"/>
    </w:rPr>
  </w:style>
  <w:style w:type="paragraph" w:customStyle="1" w:styleId="73">
    <w:name w:val="表格 标注"/>
    <w:basedOn w:val="1"/>
    <w:autoRedefine/>
    <w:qFormat/>
    <w:uiPriority w:val="0"/>
    <w:pPr>
      <w:jc w:val="left"/>
    </w:pPr>
    <w:rPr>
      <w:rFonts w:eastAsia="仿宋_GB2312"/>
      <w:sz w:val="18"/>
      <w:szCs w:val="18"/>
    </w:rPr>
  </w:style>
  <w:style w:type="paragraph" w:customStyle="1" w:styleId="74">
    <w:name w:val="报告书 正文"/>
    <w:autoRedefine/>
    <w:qFormat/>
    <w:uiPriority w:val="0"/>
    <w:pPr>
      <w:widowControl w:val="0"/>
      <w:spacing w:line="400" w:lineRule="exact"/>
      <w:ind w:firstLine="200" w:firstLineChars="200"/>
      <w:jc w:val="both"/>
    </w:pPr>
    <w:rPr>
      <w:rFonts w:ascii="Times New Roman" w:hAnsi="Times New Roman" w:eastAsia="仿宋_GB2312" w:cs="Times New Roman"/>
      <w:kern w:val="2"/>
      <w:sz w:val="24"/>
      <w:szCs w:val="24"/>
      <w:lang w:val="en-US" w:eastAsia="zh-CN" w:bidi="ar-SA"/>
    </w:rPr>
  </w:style>
  <w:style w:type="paragraph" w:customStyle="1" w:styleId="75">
    <w:name w:val="YY正文"/>
    <w:basedOn w:val="1"/>
    <w:autoRedefine/>
    <w:qFormat/>
    <w:uiPriority w:val="0"/>
    <w:pPr>
      <w:adjustRightInd w:val="0"/>
      <w:snapToGrid w:val="0"/>
      <w:spacing w:line="360" w:lineRule="auto"/>
      <w:ind w:firstLine="200" w:firstLineChars="200"/>
    </w:pPr>
    <w:rPr>
      <w:sz w:val="24"/>
      <w:szCs w:val="24"/>
      <w:lang w:val="zh-CN"/>
    </w:rPr>
  </w:style>
  <w:style w:type="paragraph" w:customStyle="1" w:styleId="76">
    <w:name w:val="表格 首行文字"/>
    <w:autoRedefine/>
    <w:qFormat/>
    <w:uiPriority w:val="0"/>
    <w:pPr>
      <w:adjustRightInd w:val="0"/>
      <w:snapToGrid w:val="0"/>
      <w:jc w:val="center"/>
    </w:pPr>
    <w:rPr>
      <w:rFonts w:ascii="Times New Roman" w:hAnsi="Times New Roman" w:eastAsia="仿宋_GB2312" w:cs="Times New Roman"/>
      <w:b/>
      <w:kern w:val="2"/>
      <w:sz w:val="21"/>
      <w:szCs w:val="22"/>
      <w:lang w:val="en-US" w:eastAsia="zh-CN" w:bidi="ar-SA"/>
    </w:rPr>
  </w:style>
  <w:style w:type="paragraph" w:customStyle="1" w:styleId="77">
    <w:name w:val="样式2"/>
    <w:basedOn w:val="62"/>
    <w:autoRedefine/>
    <w:qFormat/>
    <w:uiPriority w:val="0"/>
    <w:pPr>
      <w:ind w:left="-97" w:leftChars="-46" w:right="-107" w:rightChars="-51"/>
      <w:jc w:val="center"/>
    </w:pPr>
    <w:rPr>
      <w:rFonts w:ascii="仿宋_GB2312" w:eastAsia="仿宋_GB2312"/>
      <w:color w:val="000000"/>
      <w:sz w:val="18"/>
      <w:szCs w:val="18"/>
    </w:rPr>
  </w:style>
  <w:style w:type="table" w:customStyle="1" w:styleId="78">
    <w:name w:val="Table Normal"/>
    <w:autoRedefine/>
    <w:unhideWhenUsed/>
    <w:qFormat/>
    <w:uiPriority w:val="0"/>
    <w:rPr>
      <w:lang w:val="en-US" w:eastAsia="zh-CN" w:bidi="ar-SA"/>
    </w:rPr>
    <w:tblPr>
      <w:tblCellMar>
        <w:top w:w="0" w:type="dxa"/>
        <w:left w:w="0" w:type="dxa"/>
        <w:bottom w:w="0" w:type="dxa"/>
        <w:right w:w="0" w:type="dxa"/>
      </w:tblCellMar>
    </w:tblPr>
  </w:style>
  <w:style w:type="paragraph" w:customStyle="1" w:styleId="79">
    <w:name w:val="样式1"/>
    <w:basedOn w:val="1"/>
    <w:autoRedefine/>
    <w:qFormat/>
    <w:uiPriority w:val="0"/>
    <w:pPr>
      <w:adjustRightInd w:val="0"/>
      <w:spacing w:line="312" w:lineRule="atLeast"/>
      <w:textAlignment w:val="baseline"/>
    </w:pPr>
    <w:rPr>
      <w:rFonts w:ascii="仿宋_GB2312" w:hAnsi="Alaska"/>
      <w:kern w:val="0"/>
      <w:sz w:val="28"/>
    </w:rPr>
  </w:style>
  <w:style w:type="paragraph" w:customStyle="1" w:styleId="80">
    <w:name w:val="正文加粗"/>
    <w:basedOn w:val="58"/>
    <w:autoRedefine/>
    <w:qFormat/>
    <w:uiPriority w:val="0"/>
    <w:pPr>
      <w:ind w:firstLine="482"/>
    </w:pPr>
    <w:rPr>
      <w:b/>
      <w:snapToGrid w:val="0"/>
    </w:rPr>
  </w:style>
  <w:style w:type="paragraph" w:customStyle="1" w:styleId="81">
    <w:name w:val="正文 4"/>
    <w:basedOn w:val="1"/>
    <w:autoRedefine/>
    <w:qFormat/>
    <w:uiPriority w:val="0"/>
    <w:pPr>
      <w:autoSpaceDE w:val="0"/>
      <w:autoSpaceDN w:val="0"/>
      <w:adjustRightInd w:val="0"/>
      <w:snapToGrid w:val="0"/>
      <w:spacing w:line="360" w:lineRule="auto"/>
      <w:ind w:firstLine="480" w:firstLineChars="200"/>
    </w:pPr>
    <w:rPr>
      <w:rFonts w:ascii="Times New Roman" w:hAnsi="Times New Roman"/>
      <w:bCs/>
      <w:snapToGrid w:val="0"/>
      <w:kern w:val="0"/>
      <w:sz w:val="24"/>
      <w:szCs w:val="24"/>
    </w:rPr>
  </w:style>
  <w:style w:type="paragraph" w:customStyle="1" w:styleId="82">
    <w:name w:val="表标题"/>
    <w:basedOn w:val="1"/>
    <w:autoRedefine/>
    <w:qFormat/>
    <w:uiPriority w:val="99"/>
    <w:pPr>
      <w:spacing w:line="500" w:lineRule="exact"/>
      <w:ind w:firstLine="200" w:firstLineChars="200"/>
      <w:jc w:val="center"/>
    </w:pPr>
    <w:rPr>
      <w:rFonts w:ascii="??_GB2312"/>
      <w:b/>
      <w:bCs/>
      <w:sz w:val="24"/>
    </w:rPr>
  </w:style>
  <w:style w:type="paragraph" w:customStyle="1" w:styleId="83">
    <w:name w:val="1正文"/>
    <w:autoRedefine/>
    <w:qFormat/>
    <w:uiPriority w:val="0"/>
    <w:pPr>
      <w:spacing w:line="48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84">
    <w:name w:val="创业表格"/>
    <w:qFormat/>
    <w:uiPriority w:val="0"/>
    <w:pPr>
      <w:spacing w:line="312" w:lineRule="auto"/>
      <w:ind w:left="51" w:right="51"/>
      <w:jc w:val="center"/>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1" Type="http://schemas.microsoft.com/office/2011/relationships/people" Target="people.xml"/><Relationship Id="rId50" Type="http://schemas.openxmlformats.org/officeDocument/2006/relationships/fontTable" Target="fontTable.xml"/><Relationship Id="rId5" Type="http://schemas.openxmlformats.org/officeDocument/2006/relationships/footer" Target="foot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29.png"/><Relationship Id="rId46" Type="http://schemas.openxmlformats.org/officeDocument/2006/relationships/image" Target="media/image28.png"/><Relationship Id="rId45" Type="http://schemas.openxmlformats.org/officeDocument/2006/relationships/image" Target="media/image27.png"/><Relationship Id="rId44" Type="http://schemas.openxmlformats.org/officeDocument/2006/relationships/image" Target="media/image26.png"/><Relationship Id="rId43" Type="http://schemas.openxmlformats.org/officeDocument/2006/relationships/image" Target="media/image25.png"/><Relationship Id="rId42" Type="http://schemas.openxmlformats.org/officeDocument/2006/relationships/image" Target="media/image24.png"/><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endnotes" Target="endnotes.xml"/><Relationship Id="rId39" Type="http://schemas.openxmlformats.org/officeDocument/2006/relationships/image" Target="media/image21.png"/><Relationship Id="rId38" Type="http://schemas.openxmlformats.org/officeDocument/2006/relationships/image" Target="media/image20.wmf"/><Relationship Id="rId37" Type="http://schemas.openxmlformats.org/officeDocument/2006/relationships/oleObject" Target="embeddings/oleObject8.bin"/><Relationship Id="rId36" Type="http://schemas.openxmlformats.org/officeDocument/2006/relationships/image" Target="media/image19.emf"/><Relationship Id="rId35" Type="http://schemas.openxmlformats.org/officeDocument/2006/relationships/oleObject" Target="embeddings/oleObject7.bin"/><Relationship Id="rId34" Type="http://schemas.openxmlformats.org/officeDocument/2006/relationships/image" Target="media/image18.emf"/><Relationship Id="rId33" Type="http://schemas.openxmlformats.org/officeDocument/2006/relationships/image" Target="media/image17.jpe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footnotes" Target="footnotes.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jpe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emf"/><Relationship Id="rId21" Type="http://schemas.openxmlformats.org/officeDocument/2006/relationships/oleObject" Target="embeddings/oleObject6.bin"/><Relationship Id="rId20" Type="http://schemas.openxmlformats.org/officeDocument/2006/relationships/image" Target="media/image5.e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4.emf"/><Relationship Id="rId17" Type="http://schemas.openxmlformats.org/officeDocument/2006/relationships/oleObject" Target="embeddings/oleObject4.bin"/><Relationship Id="rId16" Type="http://schemas.openxmlformats.org/officeDocument/2006/relationships/image" Target="media/image3.emf"/><Relationship Id="rId15" Type="http://schemas.openxmlformats.org/officeDocument/2006/relationships/oleObject" Target="embeddings/oleObject3.bin"/><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88</Pages>
  <Words>23895</Words>
  <Characters>25821</Characters>
  <Lines>435</Lines>
  <Paragraphs>122</Paragraphs>
  <TotalTime>1</TotalTime>
  <ScaleCrop>false</ScaleCrop>
  <LinksUpToDate>false</LinksUpToDate>
  <CharactersWithSpaces>26070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2023-09-25T00:34:00Z</dcterms:created>
  <dc:creator>lhj</dc:creator>
  <cp:lastModifiedBy>Rebecca 杨</cp:lastModifiedBy>
  <cp:lastPrinted>2025-01-07T08:36:00Z</cp:lastPrinted>
  <dcterms:modified xsi:type="dcterms:W3CDTF">2025-07-18T07:25:37Z</dcterms:modified>
  <dc:title>附件2</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4967BA2B5F254E36937B6E9931A21AD5_13</vt:lpwstr>
  </property>
  <property fmtid="{D5CDD505-2E9C-101B-9397-08002B2CF9AE}" pid="4" name="KSOTemplateDocerSaveRecord">
    <vt:lpwstr>eyJoZGlkIjoiNTE4ODViYzQxNGU4NWNlNGQyM2I3ZGVmNDQ1MzczMmMiLCJ1c2VySWQiOiIxMDU3NTU0OTEzIn0=</vt:lpwstr>
  </property>
</Properties>
</file>